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MATHMAG BUILDERS LIMITED</w:t>
      </w:r>
    </w:p>
    <w:p>
      <w:pPr>
        <w:spacing w:before="840"/>
      </w:pPr>
      <w:r>
        <w:rPr>
          <w:b/>
          <w:color w:val="117D74"/>
          <w:sz w:val="26"/>
        </w:rPr>
        <w:t>MANAGEMENT SYSTEM</w:t>
      </w:r>
    </w:p>
    <w:p>
      <w:pPr>
        <w:pStyle w:val="Title"/>
      </w:pPr>
      <w:r>
        <w:t>Developer Integration &amp; Test Blueprint</w:t>
      </w:r>
    </w:p>
    <w:p>
      <w:r>
        <w:rPr>
          <w:b/>
          <w:color w:val="117D74"/>
          <w:sz w:val="24"/>
        </w:rPr>
        <w:t>System interfaces • Permission policy • Workflow gates • Delivery acceptance</w:t>
      </w:r>
    </w:p>
    <w:p>
      <w:pPr>
        <w:spacing w:before="540"/>
      </w:pPr>
      <w:r>
        <w:rPr>
          <w:i/>
        </w:rPr>
        <w:t>Plan better, build better.</w:t>
      </w:r>
    </w:p>
    <w:p>
      <w:pPr>
        <w:spacing w:before="1160"/>
      </w:pPr>
      <w:r>
        <w:rPr>
          <w:sz w:val="19"/>
        </w:rPr>
        <w:t>Document ID: MBMS-DEV-08</w:t>
        <w:br/>
        <w:t>Version 3.0 • 25 October 2026</w:t>
        <w:br/>
        <w:t>Status: Business requirements harmonized • Developer implementation not yet performed</w:t>
      </w:r>
    </w:p>
    <w:p>
      <w:r>
        <w:br w:type="page"/>
      </w:r>
    </w:p>
    <w:p>
      <w:pPr>
        <w:pStyle w:val="Heading1"/>
      </w:pPr>
      <w:r>
        <w:t>01. Developer scope and working agreements</w:t>
      </w:r>
    </w:p>
    <w:p>
      <w:r>
        <w:t>Build one secure, mobile-capable management platform with seven domain modules plus common portals. Distinct project modules are joined by canonical project identifiers, signed approvals, event history and independent role permissions. Module 7 supplies common services continuously; do not build it as a project step that starts only after construction.</w:t>
      </w:r>
    </w:p>
    <w:p>
      <w:pPr>
        <w:pStyle w:val="ListBullet"/>
      </w:pPr>
      <w:r>
        <w:t>Deliver responsive employee (including low-bandwidth skilled worker), supervisor, PM, department, GM, protected auditor, owner, subcontractor, supplier and client role experiences.</w:t>
      </w:r>
    </w:p>
    <w:p>
      <w:pPr>
        <w:pStyle w:val="ListBullet"/>
      </w:pPr>
      <w:r>
        <w:t>Use strong authentication/MFA for approvals/payee changes and protected audit; role-based plus project-scoped authorization validated on server.</w:t>
      </w:r>
    </w:p>
    <w:p>
      <w:pPr>
        <w:pStyle w:val="ListBullet"/>
      </w:pPr>
      <w:r>
        <w:t>Never silently edit original submitted evidence. Expose corrected/reviewed versions and preserve immutable original to authorized auditors.</w:t>
      </w:r>
    </w:p>
    <w:p>
      <w:pPr>
        <w:pStyle w:val="ListBullet"/>
      </w:pPr>
      <w:r>
        <w:t>Treat permission, contract, statutory, financial and safety gates as server-side invariants, not only disabled browser buttons.</w:t>
      </w:r>
    </w:p>
    <w:p>
      <w:pPr>
        <w:pStyle w:val="ListBullet"/>
      </w:pPr>
      <w:r>
        <w:t>Provide API docs, tests, migrations, backups, staging deployments, source ownership handover and staff training.</w:t>
      </w:r>
    </w:p>
    <w:p>
      <w:pPr>
        <w:pStyle w:val="Heading1"/>
      </w:pPr>
      <w:r>
        <w:t>02. Top-level navigation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Portal</w:t>
            </w:r>
          </w:p>
        </w:tc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Minimum screens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Intake / Site Visits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Omnichannel lead inbox, agreed booking wizard, site survey mobile capture, generated report, lead review, publication.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Design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Department pipeline boards, task assignment, 2D client review, 3D, working-file revisions, engineering discipline QA, QS budget.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Client Proposal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Summary/detailed finance controls, published revisions, identity/acceptance, receipts, exception and handover to M4.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Approvals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Authority case queue, regulatory obligation checklist, controlled issue sets, fee proofs, correction tasks, conditional close.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Contracts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Service selection, agreements and versions, negotiation register, management signed offer, acceptance and signatures, PM appointment.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Construction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PM overview, supervisor tasks, worker personal portal, original report comparison, GRN, inventory, supplier, finance forecast, equipment, safety, claims and warranty.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Administration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HR, staff records and privileges; central Finance/Accounts; supplier master; QA/Compliance; auditor; GM/company administration.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Client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Projects, signed 2D, approved PDFs/images, budget acceptance, billing, final contracts, PM updates, warranties.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Owner / executive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Owner strategic governance and independent oversight; GM operational command separate.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Settings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Authority matrix, thresholds, roles, credential types, licenses, statutory checklists, integrations, retention, backups.</w:t>
            </w:r>
          </w:p>
        </w:tc>
      </w:tr>
    </w:tbl>
    <w:p>
      <w:pPr>
        <w:spacing w:after="20"/>
      </w:pPr>
    </w:p>
    <w:p>
      <w:pPr>
        <w:pStyle w:val="Heading1"/>
      </w:pPr>
      <w:r>
        <w:t>03. Proposed backend service boundaries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Domain / API example</w:t>
            </w:r>
          </w:p>
        </w:tc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Authorization and business invariant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/enquiries/{id}/confirm-visit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Agreement evidence required to instantiate ProjectId.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POST /projects/{id}/surveys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Project membership; creator original cannot be overwritten.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/projects/{id}/design/2d-acceptances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 exact 2D revision and client identity/acceptance proof.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POST /design-packages/{id}/technical-approvals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Authorized qualified discipline lead; predecessor stage satisfied.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/projects/{id}/proposals/{id}/publish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Eligible manager grant and QS approved exact budget version.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POST /projects/{id}/client-acceptances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Client or trusted uploaded signed evidence, immutable revision.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/projects/{id}/module4-releases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Management acceptance checked and Accounts verified milestone/exception.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POST /projects/{id}/compliance/cases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Applicable jurisdiction obligation and authorization.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/contracts/{id}/execute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Final terms approved; signer legal mandate; counterpart evidence.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POST /projects/{id}/mobilization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Accounts gate, compliance permit, PM readiness, delegated physical-start decision.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/projects/{id}/worker-reports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Worker-only own report; immediate independent manager visibility.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POST /worker-reports/{id}/verifications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Separate supervisor review; originals immutable.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/purchase-orders/{id}/amendments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Version-specific QS/Accounts reviews, management authorization, supplier notice.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POST /goods-receipts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Storekeeper physical actual accepted quantity, batch, photos and PM verification.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/suppliers/{id}/beneficiary-changes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Out-of-band known-contact verification and dual-control; payment hold.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POST /assets/{id}/pre-use-inspections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Equipment-licensed operator check; serious failure creates targeted hold.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/fuel-issues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Measured liters/quantity, asset, operator/site/custody, stores reconciliation.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POST /assets/{id}/return-to-service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Qualified independent release; no repairer self-approval.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/projects/{id}/variation-acceptances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Exact version, client accepted, manager approved, QS and required technical approval.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POST /projects/{id}/handover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PM technical pack, accounts/contract check, authorized management release.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/audits/cases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Protected auditor workflow; no manager edit to independent originals.</w:t>
            </w:r>
          </w:p>
        </w:tc>
      </w:tr>
    </w:tbl>
    <w:p>
      <w:pPr>
        <w:spacing w:after="20"/>
      </w:pPr>
    </w:p>
    <w:p>
      <w:pPr>
        <w:pStyle w:val="Heading1"/>
      </w:pPr>
      <w:r>
        <w:t>04. Common request and evidence schema</w:t>
      </w:r>
    </w:p>
    <w:p>
      <w:r>
        <w:t>Suggested minimal request envelope; naming and exact object shape are developer choices, while the semantics below are mandatory.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Type / rule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id / projectId / engagementId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Stable identifiers; project references may not change between modules.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entityType / entityId / action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Controlled resource, action and audit intent.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actorId / representedRole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Actual authenticated identity, acting authority and role at time of action.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authorityGrantId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Specific valid mandate for actions requiring delegated approval.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timestamp / clientSubmittedAt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Authoritative server timestamp plus claimed device time when offline.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sourceRevision / latestApprovedRevision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Hash/version protection; old client signatures still point to old version.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originalEvidenceHashes / attachmentRefs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Evidence ownership, object authorization, checksum and retention.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previousState / nextState / reason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Append-only workflow transition; exception reason and approver.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idempotencyKey / correlationId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Prevent duplicate writes and trace event flows.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visibilityClass / publicationGrantId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Role/project-specific confidentiality and exact client file publication.</w:t>
            </w:r>
          </w:p>
        </w:tc>
      </w:tr>
    </w:tbl>
    <w:p>
      <w:pPr>
        <w:spacing w:after="20"/>
      </w:pPr>
    </w:p>
    <w:p>
      <w:pPr>
        <w:pStyle w:val="Heading1"/>
      </w:pPr>
      <w:r>
        <w:t>05. End-to-end integration sequence</w:t>
      </w:r>
    </w:p>
    <w:p>
      <w:pPr>
        <w:pStyle w:val="ListBullet"/>
      </w:pPr>
      <w:r>
        <w:t>Enquiry -&gt; confirmed visit -&gt; project ID -&gt; mobile original survey -&gt; generated site report -&gt; architect review/assign -&gt; Module 2.</w:t>
      </w:r>
    </w:p>
    <w:p>
      <w:pPr>
        <w:pStyle w:val="ListBullet"/>
      </w:pPr>
      <w:r>
        <w:t>Architectural 2D -&gt; client versioned approval -&gt; 3D -&gt; structural -&gt; mechanical/plumbing -&gt; electrical -&gt; QS -&gt; proposal snapshot.</w:t>
      </w:r>
    </w:p>
    <w:p>
      <w:pPr>
        <w:pStyle w:val="ListBullet"/>
      </w:pPr>
      <w:r>
        <w:t>Management-approved publication -&gt; client portal/physical approval -&gt; management verifies -&gt; Accounts checks milestone -&gt; separate Module 4 release.</w:t>
      </w:r>
    </w:p>
    <w:p>
      <w:pPr>
        <w:pStyle w:val="ListBullet"/>
      </w:pPr>
      <w:r>
        <w:t>Applications and professional certification -&gt; corrections/version control -&gt; conditional planning approval -&gt; contracted service choice and sign.</w:t>
      </w:r>
    </w:p>
    <w:p>
      <w:pPr>
        <w:pStyle w:val="ListBullet"/>
      </w:pPr>
      <w:r>
        <w:t>Executed contract -&gt; PM appointed -&gt; planning-only construction -&gt; Accounts and Compliance readiness -&gt; manager physical mobilization authorization.</w:t>
      </w:r>
    </w:p>
    <w:p>
      <w:pPr>
        <w:pStyle w:val="ListBullet"/>
      </w:pPr>
      <w:r>
        <w:t>Worker tasks and originals -&gt; supervisor verification -&gt; PM analysis and authorized client publication; store and asset events link project cost.</w:t>
      </w:r>
    </w:p>
    <w:p>
      <w:pPr>
        <w:pStyle w:val="ListBullet"/>
      </w:pPr>
      <w:r>
        <w:t>Procurement approved PO -&gt; supplier -&gt; actual accepted GRN -&gt; match invoicing -&gt; independent authorized payment and Accounts reconciliation.</w:t>
      </w:r>
    </w:p>
    <w:p>
      <w:pPr>
        <w:pStyle w:val="ListBullet"/>
      </w:pPr>
      <w:r>
        <w:t>Safety / quality / statutory hold -&gt; independent qualified review -&gt; documented clearance -&gt; authorized affected work release.</w:t>
      </w:r>
    </w:p>
    <w:p>
      <w:pPr>
        <w:pStyle w:val="ListBullet"/>
      </w:pPr>
      <w:r>
        <w:t>Variations / milestone billing / time impacts -&gt; QS/Contracts/Accounts -&gt; management approved client terms and signature.</w:t>
      </w:r>
    </w:p>
    <w:p>
      <w:pPr>
        <w:pStyle w:val="ListBullet"/>
      </w:pPr>
      <w:r>
        <w:t>Practical completion -&gt; separate handover, financial final account, retention, defects, warranty case and final closure.</w:t>
      </w:r>
    </w:p>
    <w:p>
      <w:pPr>
        <w:pStyle w:val="Heading1"/>
      </w:pPr>
      <w:r>
        <w:t>06. Non-negotiable business invariants</w:t>
      </w:r>
    </w:p>
    <w:p>
      <w:pPr>
        <w:pStyle w:val="ListBullet"/>
      </w:pPr>
      <w:r>
        <w:t>Platform owner must not inherit unrestricted superuser audit data or daily operational approvals just because they own shares.</w:t>
      </w:r>
    </w:p>
    <w:p>
      <w:pPr>
        <w:pStyle w:val="ListBullet"/>
      </w:pPr>
      <w:r>
        <w:t>GM and departmental managers cannot unilaterally alter independent whistleblower evidence or audit case attribution.</w:t>
      </w:r>
    </w:p>
    <w:p>
      <w:pPr>
        <w:pStyle w:val="ListBullet"/>
      </w:pPr>
      <w:r>
        <w:t>No automated arrears reminders: Accounts must explicitly initiate and log each client payment reminder.</w:t>
      </w:r>
    </w:p>
    <w:p>
      <w:pPr>
        <w:pStyle w:val="ListBullet"/>
      </w:pPr>
      <w:r>
        <w:t>No construction use of expired/unsafe asset, unqualified operator, statutory noncompliant site or professionally uncleared structural stage.</w:t>
      </w:r>
    </w:p>
    <w:p>
      <w:pPr>
        <w:pStyle w:val="ListBullet"/>
      </w:pPr>
      <w:r>
        <w:t>Financial exceptions only affect eligible financial gate and retain actual balance; they never forgive debt or override statute.</w:t>
      </w:r>
    </w:p>
    <w:p>
      <w:pPr>
        <w:pStyle w:val="ListBullet"/>
      </w:pPr>
      <w:r>
        <w:t>Never issue a purchase order from a request alone. Supplier evaluation, commitments, management authorization and PO remain separate.</w:t>
      </w:r>
    </w:p>
    <w:p>
      <w:pPr>
        <w:pStyle w:val="ListBullet"/>
      </w:pPr>
      <w:r>
        <w:t>Never pay changed supplier bank/M-Pesa details until independent out-of-band trusted-contact verification and reauthorization.</w:t>
      </w:r>
    </w:p>
    <w:p>
      <w:pPr>
        <w:pStyle w:val="ListBullet"/>
      </w:pPr>
      <w:r>
        <w:t>No wage deduction as an automatic variance/loss response; all responsibility decisions require fair and lawful procedure.</w:t>
      </w:r>
    </w:p>
    <w:p>
      <w:pPr>
        <w:pStyle w:val="ListBullet"/>
      </w:pPr>
      <w:r>
        <w:t>Advance accounting impairment differs from legal waiver or debt extinguishment; audit both.</w:t>
      </w:r>
    </w:p>
    <w:p>
      <w:pPr>
        <w:pStyle w:val="ListBullet"/>
      </w:pPr>
      <w:r>
        <w:t>Opening Module 7 controls does not automatically activate a project stage; service scope per client contract is authoritative.</w:t>
      </w:r>
    </w:p>
    <w:p>
      <w:pPr>
        <w:pStyle w:val="Heading1"/>
      </w:pPr>
      <w:r>
        <w:t>07. Acceptance tests and expected behavior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Test situation</w:t>
            </w:r>
          </w:p>
        </w:tc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Expected system result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UAT-01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Booking without client-agreed site date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Reject project activation and record enquiry only.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UAT-02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Junior 3D attempted before 2D client signature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Reject; show required exact 2D version and evidence.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UAT-03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Client accepts proposal then QS revises quantities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Preserve original, require applicable reacceptance, block old acceptance from satisfying new version.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UAT-04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Accounts inserts unverified mobile money receipt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Do not clear milestone or generate “verified” payment receipt.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UAT-05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Automated nightly client debtor reminder schedule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Must not send unless Accounts deliberately initiates each reminder.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UAT-06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Approvals Officer stamps professional drawing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Deny, independent verified professional required.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UAT-07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Conditional Module 4 complete but NCA pending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Construction start blocked; no fake “completed NCA” state.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UAT-08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Client selects labour-only, does not sign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Do not create active binding labour contract.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UAT-09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Owner account tries routine pay authorization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Deny without distinct valid assigned operational role/exception; still allow strategic oversight.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UAT-10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GM away with registered deputy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HR-valid preapproved mandate activates only permitted time-limited powers.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UAT-11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GM absent with no valid deputy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Preapproved emergency committee logs quorum and limited decisions; never owner-reserved.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UAT-12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Worker uploads photographic report and supervisor rejects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Preserve original; PM and GM see it without supervisor gating; rejection is separate.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UAT-13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Supervisor tries to delete accident evidence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Deny, preserve original and audit attempted action.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UAT-14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Supplier changes M-Pesa/bank destination with pending payment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Hold affected payment, trusted-contact verify, and require revised authorization.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UAT-15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Supplier invoice value larger than accepted GRN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Reject noncontracted overpayment, retain partial delivery balance.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UAT-16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PO revision after supplier award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Version, verify independent QS/Accounts and delegated approval before commitments.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UAT-17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Receiving store checks one of two batches only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Only actual independently accepted stock enters receiving store; in-transit remainder distinct.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UAT-18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Client-owned stock transfer to other project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Block without verified title/contract entitlement and required client consent.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UAT-19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Loss reported against worker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Investigate independently; no automatic financial liability or pay deduction.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UAT-20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Operator with expired qualification accesses excavator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Block assignment/operation and alert qualified staff.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UAT-21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Critical pre-use inspection failure on concrete mixer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Targeted asset hold, repair and independent technical release; unaffected assets available.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UAT-22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Fuel diesel issue without machine/project and recipient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Reject record as verified issue until required data/measurement present.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UAT-23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Site Supervisor requests extra chargeable work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Do not execute before professional/QS/Contracts and management-approved client acceptance.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UAT-24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Accounts or PM tries publishing worker raw dispute to client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Deny without valid publication grant and project-scoped redaction.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UAT-25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GM subject of fraud allegation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Protected audit route bypasses GM and escalates to nonconflicted governance.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UAT-26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Site inspector fails reinforcement hold point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No concreting release until competent approval and PM authorization.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UAT-27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Accounts issues final subcontract retention by expiry alone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Blocked until contract conditions and delegated authorization checked.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UAT-28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Warranty period expires with open client complaint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Keep case and all obligations open for proper determination.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UAT-29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Project marked handed over before financial reconciliation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Track handover and financial close as separate explicit pending/completed statuses.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UAT-30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User guesses cross-project attachment URL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Return forbidden; no file bytes or metadata leaked.</w:t>
            </w:r>
          </w:p>
        </w:tc>
      </w:tr>
    </w:tbl>
    <w:p>
      <w:pPr>
        <w:spacing w:after="20"/>
      </w:pPr>
    </w:p>
    <w:p>
      <w:pPr>
        <w:pStyle w:val="Heading1"/>
      </w:pPr>
      <w:r>
        <w:t>08. Non-functional requirements and evidence</w:t>
      </w:r>
    </w:p>
    <w:p>
      <w:pPr>
        <w:pStyle w:val="ListBullet"/>
      </w:pPr>
      <w:r>
        <w:t>Supported use: responsive browser for operations; low-bandwidth mobile employee capture with offline queue and explicit sync acknowledgment.</w:t>
      </w:r>
    </w:p>
    <w:p>
      <w:pPr>
        <w:pStyle w:val="ListBullet"/>
      </w:pPr>
      <w:r>
        <w:t>Availability and recovery targets must be separately approved; implement encrypted offsite backups, restore exercises, encrypted transport, confidentiality and disaster recovery.</w:t>
      </w:r>
    </w:p>
    <w:p>
      <w:pPr>
        <w:pStyle w:val="ListBullet"/>
      </w:pPr>
      <w:r>
        <w:t>Use queue-based resilient notifications; if WhatsApp/TikTok/Facebook/YouTube integration is not approved/available, fall back to staff task queue instead of pretending messages were sent.</w:t>
      </w:r>
    </w:p>
    <w:p>
      <w:pPr>
        <w:pStyle w:val="ListBullet"/>
      </w:pPr>
      <w:r>
        <w:t>Create staging test users for Owner, GM, acting GM, HR, Accounts requester/payee verifier/payer/reconciler, QS, Architects, PM, supervisors, workers, subcontractors, auditors and clients.</w:t>
      </w:r>
    </w:p>
    <w:p>
      <w:pPr>
        <w:pStyle w:val="ListBullet"/>
      </w:pPr>
      <w:r>
        <w:t>Provide documented role matrix, threat model, professional legal regulatory checklist, event-to-record traceability, audit retention and case confidentiality proofs.</w:t>
      </w:r>
    </w:p>
    <w:p>
      <w:pPr>
        <w:pStyle w:val="ListBullet"/>
      </w:pPr>
      <w:r>
        <w:t>Write automatic tests for every table row above, show evidence screenshots and the underlying exact records in demonstrations, and obtain signed acceptance per delivery wave.</w:t>
      </w:r>
    </w:p>
    <w:p>
      <w:pPr>
        <w:pStyle w:val="Heading1"/>
      </w:pPr>
      <w:r>
        <w:t>09. Company configuration required before production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Who validates / supplies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GM delegation caps, owner-reserved matters, emergency quorum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Owner governance + corporate signatories + General Manager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Staff members, payroll classes, contract types and lawful deductions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HR + Accounts + legal advisers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County, NEMA, NCA, statutory forms and expiry durations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Approvals Officer + qualified professionals + Compliance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Trade/plant licensing, daily checklist and maintenance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Technical/Safety + HR + Project Manager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Procurement quoting thresholds, single-source exception, approved suppliers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Procurement + QS + Accounts + GM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Account codes, taxes, funding, retention and payments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Accounts/Finance + external accounting adviser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Client document publication, portal channels and notification cadence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GM/dept heads + Contracts + client project agreement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Backup period, retention, privacy response and forensic access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IT Security + HR + Audit + legal advisers</w:t>
            </w:r>
          </w:p>
        </w:tc>
      </w:tr>
    </w:tbl>
    <w:p>
      <w:pPr>
        <w:spacing w:after="20"/>
      </w:pPr>
    </w:p>
    <w:p>
      <w:pPr>
        <w:pStyle w:val="Heading1"/>
      </w:pPr>
      <w:r>
        <w:t>10. Handover pack and development completion checklist</w:t>
      </w:r>
    </w:p>
    <w:p>
      <w:pPr>
        <w:pStyle w:val="ListBullet"/>
      </w:pPr>
      <w:r>
        <w:t>Approved V3 module specifications and master architecture, version register and change-control process.</w:t>
      </w:r>
    </w:p>
    <w:p>
      <w:pPr>
        <w:pStyle w:val="ListBullet"/>
      </w:pPr>
      <w:r>
        <w:t>Interactive wireframes/user role navigation, mobile-first worker and client flows and accessible field labels.</w:t>
      </w:r>
    </w:p>
    <w:p>
      <w:pPr>
        <w:pStyle w:val="ListBullet"/>
      </w:pPr>
      <w:r>
        <w:t>Entity relationship diagram and data dictionary, migration scripts, API schema and example state transitions.</w:t>
      </w:r>
    </w:p>
    <w:p>
      <w:pPr>
        <w:pStyle w:val="ListBullet"/>
      </w:pPr>
      <w:r>
        <w:t>Security model, identity, confidential audit access, split duties and recovery controls.</w:t>
      </w:r>
    </w:p>
    <w:p>
      <w:pPr>
        <w:pStyle w:val="ListBullet"/>
      </w:pPr>
      <w:r>
        <w:t>Automated integration/unit/UAT suite and sample staging projects for design-only and full construction, including negative tests.</w:t>
      </w:r>
    </w:p>
    <w:p>
      <w:pPr>
        <w:pStyle w:val="ListBullet"/>
      </w:pPr>
      <w:r>
        <w:t>Runbooks, user/admin training, monitoring, error reporting, source/code ownership and deployment documentation.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94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• v3.0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117D74"/>
      </w:rPr>
      <w:t>MATHMAG  |  MANAGEMENT SYSTEM  |  MBMS-DEV-08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8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8364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17D7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8364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" w:hAnsi="Aptos"/>
      <w:b/>
      <w:color w:val="18364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