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19772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Verilog实现全流水矩阵乘法器</w:t>
      </w:r>
    </w:p>
    <w:p w14:paraId="3B086A50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实验手册</w:t>
      </w:r>
    </w:p>
    <w:p w14:paraId="00B7C26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北航集成电路科学与工程学院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授课教师：康旺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助教：寇竞、张梁、姜河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2026年3月30日</w:t>
      </w:r>
    </w:p>
    <w:p w14:paraId="04D39445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课程背景与学习路径</w:t>
      </w:r>
    </w:p>
    <w:p w14:paraId="5970015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字处理器通过算术电路完成数据运算，AI芯片则进一步将大量算术单元组织起来，高效执行神经网络中的矩阵乘法和张量运算。无论是通用处理器中的算术逻辑单元，还是数字信号处理器中的乘加数据通路，都离不开加法、乘法及其组合。理解这些模块，才能进一步理解芯片为什么能够高速计算，以及性能、面积和功耗之间为什么需要权衡。</w:t>
      </w:r>
    </w:p>
    <w:p w14:paraId="7E54FBB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大语言模型中的线性投影、前馈网络和注意力矩阵计算，为学习矩阵运算硬件提供了直接背景。Google公开资料将矩阵乘法单元和脉动阵列列为TPU的重要组成部分，说明这类结构具有实际产业应用价值。[1]</w:t>
      </w:r>
    </w:p>
    <w:p w14:paraId="09B9ABB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课程按照“加法器→乘法器→矩阵计算阵列”的路径展开：第一个实验解决二进制加法中的进位传播问题；第二个实验利用部分积压缩和快速加法实现整数乘法；第三个实验将乘加运算映射到带寄存器的处理单元阵列，通过流水线和数据复用完成矩阵计算。三个实验分别对应位级运算、算术模块和阵列架构三个层次，是入门数字处理器、DSP和AI计算芯片的重要基础。</w:t>
      </w:r>
    </w:p>
    <w:p w14:paraId="5F09EF3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条学习路径既训练Verilog描述与仿真验证能力，也培养从算法到硬件的设计思维：同样一个数学表达式，可以对应不同的电路结构；电路能否算对、能否在目标时钟下运行、能否连续处理数据，是相互关联但需要分别验证的问题。</w:t>
      </w:r>
    </w:p>
    <w:p w14:paraId="6DB43F50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实验一 并行前缀进位加法器</w:t>
      </w:r>
    </w:p>
    <w:p w14:paraId="0E3125F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实验背景</w:t>
      </w:r>
      <w:bookmarkStart w:id="0" w:name="_GoBack"/>
      <w:bookmarkEnd w:id="0"/>
    </w:p>
    <w:p w14:paraId="5D8C8B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加法器用于完成二进制数的求和，是数字处理器算术运算、地址计算以及乘加单元累加路径中的基本电路。在AI计算中，点积需要把多个乘积相加，因此加法器的速度和硬件开销也会影响整个乘加数据通路。</w:t>
      </w:r>
    </w:p>
    <w:p w14:paraId="31432CF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直接的实现是串行进位加法器：将多个全加器级联，每一级把进位送给更高一位。该结构连接简单，但在最坏情况下，高位结果必须等待进位从最低位逐级传来，进位路径随位宽增长而变长。对于需要较高工作频率的处理器和计算单元，这种串行依赖可能成为关键路径。</w:t>
      </w:r>
    </w:p>
    <w:p w14:paraId="365677F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为缩短进位计算的等待时间，可以先描述各位产生和传播进位的条件，再利用具有结合律的区间合并运算，将逐位递推重组为树形前缀网络。Peter M. Kogge与Harold S. Stone于1973年发表的递归倍增研究，是Kogge–Stone结构的重要理论来源。[2]</w:t>
      </w:r>
    </w:p>
    <w:p w14:paraId="3D5C3EE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并行前缀加法器能够将进位计算的逻辑深度由随位宽线性增长，降低为对数级增长。其代价是增加部分逻辑节点和连线，因此不同结构需要在速度、面积、扇出和布线之间取舍。Brent与Kung的工作进一步强调规则布局与面积因素。[3]</w:t>
      </w:r>
    </w:p>
    <w:p w14:paraId="3CA7238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本实验通过19位加法器设计，学习如何把串行数据依赖转换为并行电路，并为后续乘法器的最终求和提供可复用模块。实际性能仍需结合综合与时序结果判断；较少的理论层数并不保证在所有工艺或FPGA上都更快。</w:t>
      </w:r>
    </w:p>
    <w:p w14:paraId="6A3ABA7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实验原理</w:t>
      </w:r>
    </w:p>
    <w:p w14:paraId="056DD95E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（1）加法器为什么需要优化进位？</w:t>
      </w:r>
    </w:p>
    <w:p w14:paraId="6754017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设两个19位输入为A、B，输入进位为cin。加法器计算：</w:t>
      </w:r>
    </w:p>
    <w:p w14:paraId="04367312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{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cout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,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sum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[18:0]} =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cin</m:t>
          </m:r>
        </m:oMath>
      </m:oMathPara>
    </w:p>
    <w:p w14:paraId="3AFCDF9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最低位编号为0，令c₀=cin。对第i位定义进位产生信号和传播信号：</w:t>
      </w:r>
    </w:p>
    <w:p w14:paraId="7D522DA3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a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b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a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b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</m:oMath>
      </m:oMathPara>
    </w:p>
    <w:p w14:paraId="35BD029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于是：</w:t>
      </w:r>
    </w:p>
    <w:p w14:paraId="5743BB4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s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</m:oMath>
      </m:oMathPara>
    </w:p>
    <w:p w14:paraId="198C77F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gᵢ=1表示该位直接产生进位，pᵢ=1表示该位把输入进位向高位传播。串行进位加法器逐位计算cᵢ，高位结果可能需要等待低位进位依次传递。随着位宽增加，这条依赖链会成为速度瓶颈。</w:t>
      </w:r>
    </w:p>
    <w:p w14:paraId="0E280352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（2）将逐位递推变成树形并行计算。</w:t>
      </w:r>
    </w:p>
    <w:p w14:paraId="070A798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对从j到i的一段二进制位，定义区间产生信号Gᵢ:ⱼ和区间传播信号Pᵢ:ⱼ，使其满足：</w:t>
      </w:r>
    </w:p>
    <w:p w14:paraId="7F5AAEDE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: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: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</m:t>
          </m:r>
        </m:oMath>
      </m:oMathPara>
    </w:p>
    <w:p w14:paraId="0B9E0C9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相邻高位区间与低位区间可以合并：</w:t>
      </w:r>
    </w:p>
    <w:p w14:paraId="2313FC55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∘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=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</m:t>
          </m:r>
        </m:oMath>
      </m:oMathPara>
    </w:p>
    <w:p w14:paraId="676E76D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该运算具有结合律，因此可用树形网络同时计算多个前缀区间。得到每个Gᵢ:₀、Pᵢ:₀后，就能结合cin求出各位进位，最后生成sum与cout。这里的“并行”是指电路空间上的并行计算。</w:t>
      </w:r>
    </w:p>
    <w:p w14:paraId="082037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按距离倍增的Kogge–Stone网络为例，19位输入的合并距离依次为1、2、4、8、16，共5层前缀合并。对不满足合并条件的低位节点，直接传递上一层结果。前缀合并层数不等于完整电路的门级延迟，输入预处理、最终求和及连线也会影响实际时序。</w:t>
      </w:r>
    </w:p>
    <w:p w14:paraId="67DE4A43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（3）不同前缀结构体现不同设计取舍。</w:t>
      </w:r>
    </w:p>
    <w:p w14:paraId="29D514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klansky、Kogge–Stone、Brent–Kung和Han–Carlson都围绕同一进位合并运算组织网络，但节点数量、逻辑深度、扇出和连线方式不同。前缀设计的价值在于缩短进位依赖路径，同时必须考虑硬件开销。Brent与Kung的经典工作尤其强调规则布局和面积因素。[3]</w:t>
      </w:r>
    </w:p>
    <w:p w14:paraId="593EA6A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要求采用组合逻辑，因而不能在模块内部加入时钟寄存器。组合逻辑仍有传播延迟；“没有时钟输入”不意味着结果瞬时产生。19也不是2的整数次幂，设计时应特别检查最高位附近的前缀连接以及数组索引边界。</w:t>
      </w:r>
    </w:p>
    <w:p w14:paraId="478C8E9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实验内容和要求</w:t>
      </w:r>
    </w:p>
    <w:p w14:paraId="0D1F045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使用Verilog实现以下模块，并结合课堂讲解完成设计。</w:t>
      </w:r>
    </w:p>
    <w:p w14:paraId="3CB0DCFC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模块接口</w:t>
      </w:r>
    </w:p>
    <w:p w14:paraId="26B1D2F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模块名称：</w:t>
      </w:r>
      <w:r>
        <w:rPr>
          <w:rFonts w:hint="default" w:ascii="Times New Roman" w:hAnsi="Times New Roman" w:eastAsia="宋体" w:cs="Times New Roman"/>
          <w:b w:val="0"/>
          <w:sz w:val="20"/>
        </w:rPr>
        <w:t>ADDER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936"/>
        <w:gridCol w:w="4968"/>
      </w:tblGrid>
      <w:tr w14:paraId="335C7A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32" w:type="dxa"/>
            <w:shd w:val="clear" w:color="auto" w:fill="E7E7E7"/>
          </w:tcPr>
          <w:p w14:paraId="0912142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信号</w:t>
            </w:r>
          </w:p>
        </w:tc>
        <w:tc>
          <w:tcPr>
            <w:tcW w:w="936" w:type="dxa"/>
            <w:shd w:val="clear" w:color="auto" w:fill="E7E7E7"/>
          </w:tcPr>
          <w:p w14:paraId="0E65D1E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方向</w:t>
            </w:r>
          </w:p>
        </w:tc>
        <w:tc>
          <w:tcPr>
            <w:tcW w:w="4968" w:type="dxa"/>
            <w:shd w:val="clear" w:color="auto" w:fill="E7E7E7"/>
          </w:tcPr>
          <w:p w14:paraId="731A37C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说明</w:t>
            </w:r>
          </w:p>
        </w:tc>
      </w:tr>
      <w:tr w14:paraId="77E659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0F1FF52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in1[18:0]、in2[18:0]</w:t>
            </w:r>
          </w:p>
        </w:tc>
        <w:tc>
          <w:tcPr>
            <w:tcW w:w="936" w:type="dxa"/>
          </w:tcPr>
          <w:p w14:paraId="4B90BD9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423FF89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两个19位操作数</w:t>
            </w:r>
          </w:p>
        </w:tc>
      </w:tr>
      <w:tr w14:paraId="1D658D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7386E3D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cin</w:t>
            </w:r>
          </w:p>
        </w:tc>
        <w:tc>
          <w:tcPr>
            <w:tcW w:w="936" w:type="dxa"/>
          </w:tcPr>
          <w:p w14:paraId="483DAC8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30BB96C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输入进位</w:t>
            </w:r>
          </w:p>
        </w:tc>
      </w:tr>
      <w:tr w14:paraId="0A7E7A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437DFBF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sum[18:0]</w:t>
            </w:r>
          </w:p>
        </w:tc>
        <w:tc>
          <w:tcPr>
            <w:tcW w:w="936" w:type="dxa"/>
          </w:tcPr>
          <w:p w14:paraId="144356F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1E96765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19位和</w:t>
            </w:r>
          </w:p>
        </w:tc>
      </w:tr>
      <w:tr w14:paraId="39956D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8AD2D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cout</w:t>
            </w:r>
          </w:p>
        </w:tc>
        <w:tc>
          <w:tcPr>
            <w:tcW w:w="936" w:type="dxa"/>
          </w:tcPr>
          <w:p w14:paraId="510441F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20C15C3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输出进位</w:t>
            </w:r>
          </w:p>
        </w:tc>
      </w:tr>
    </w:tbl>
    <w:p w14:paraId="59DA88D3">
      <w:pPr>
        <w:spacing w:after="0"/>
        <w:rPr>
          <w:rFonts w:hint="default" w:ascii="Times New Roman" w:hAnsi="Times New Roman" w:eastAsia="宋体" w:cs="Times New Roman"/>
        </w:rPr>
      </w:pPr>
    </w:p>
    <w:p w14:paraId="0E6C95A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实现要求</w:t>
      </w:r>
    </w:p>
    <w:p w14:paraId="7CB7F55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完成19位的并行前缀进位加法器。</w:t>
      </w:r>
    </w:p>
    <w:p w14:paraId="319F5B8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Sklansky、Kogge–Stone、Brent–Kung、Han–Carlson结构均可。</w:t>
      </w:r>
    </w:p>
    <w:p w14:paraId="30E1BC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必须采用组合逻辑，模块输入没有时钟信号。</w:t>
      </w:r>
    </w:p>
    <w:p w14:paraId="0B646FFC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实验二 移位相加乘法器</w:t>
      </w:r>
    </w:p>
    <w:p w14:paraId="18FE4E5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实验背景</w:t>
      </w:r>
    </w:p>
    <w:p w14:paraId="3B4280A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乘法器用于计算两个数的乘积，是数字滤波、相关计算和矩阵运算中的基本算术模块。神经网络的点积运算需要重复执行输入与权重相乘，再累加乘积，因此整数乘法器是理解数字信号处理器和低精度AI计算单元的重要起点。</w:t>
      </w:r>
    </w:p>
    <w:p w14:paraId="61344DC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进制乘法可展开为多个移位部分积之和。若逐个累加部分积，或者把多个普通进位传播加法器串接起来，计算就需要经历多轮求和及进位传播。前者在迭代实现中限制吞吐率，后者在组合实现中形成较长的关键路径。问题的核心在于：多个操作数相加时，没有必要在每一步都立即算出完整的二进制和。</w:t>
      </w:r>
    </w:p>
    <w:p w14:paraId="3D73FA2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C. S. Wallace于1964年提出经典的快速乘法方法，使用树形压缩归约部分积。进位保存加法器把三个操作数压缩为两个向量，在压缩层内保留进位而不进行全字长进位传播；重复压缩后，再由一个快速加法器完成最终求和。[4]</w:t>
      </w:r>
    </w:p>
    <w:p w14:paraId="413B3BA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种方法通过并行压缩减少求和的串行依赖，使部分积压缩深度按对数级增长。其优势是能够缩短乘法数据通路，代价则包括压缩单元和互连资源。它与并行前缀加法器形成分工：前者减少操作数数量，后者加速最终两个操作数的进位计算。</w:t>
      </w:r>
    </w:p>
    <w:p w14:paraId="39A3352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本实验以8位无符号整数为对象，将部分积生成、Wallace树压缩和快速加法连接起来。第一代Google TPU的公开论文描述了包含65,536个8位乘加单元的矩阵计算核心，说明低位宽算术具有实际AI推理应用价值；该资料并不据此证明其内部采用本实验指定的乘法器拓扑。[5] 实验中的UINT8运算是基础形式，扩展到量化模型时还需处理符号、缩放因子和零点等数值规则。</w:t>
      </w:r>
    </w:p>
    <w:p w14:paraId="2B881CD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实验原理</w:t>
      </w:r>
    </w:p>
    <w:p w14:paraId="271AE855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（1）从二进制展开得到部分积。</w:t>
      </w:r>
    </w:p>
    <w:p w14:paraId="7664348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令A、B为8位无符号整数，B的第j位为bⱼ，则：</w:t>
      </w:r>
    </w:p>
    <w:p w14:paraId="26C77BD3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×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=0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7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 xml:space="preserve"> ×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j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)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j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</m:oMath>
      </m:oMathPara>
    </w:p>
    <w:p w14:paraId="2E685C6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由于bⱼ只能取0或1，每个部分积只需按位与操作和固定移位即可生成：bⱼ为0时该行全0，为1时该行为A左移j位后的值。移位必须在足够宽的无符号信号上进行，避免中间表达式提前截断。</w:t>
      </w:r>
    </w:p>
    <w:p w14:paraId="2D5696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本实验并行生成8个部分积，并通过Wallace树完成压缩。</w:t>
      </w:r>
    </w:p>
    <w:p w14:paraId="4034E98C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（2）用进位保存加法器压缩多个操作数。</w:t>
      </w:r>
    </w:p>
    <w:p w14:paraId="18CAAED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若直接串接普通加法器，每次求和都需要传播进位。进位保存加法器（Carry-Save Adder，CSA）则把三个输入压缩成两个输出，暂时保留进位。对相同位权的xᵢ、yᵢ、zᵢ：</w:t>
      </w:r>
    </w:p>
    <w:p w14:paraId="1349601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s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z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</m:oMath>
      </m:oMathPara>
    </w:p>
    <w:p w14:paraId="147C606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q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z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z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</m:t>
          </m:r>
        </m:oMath>
      </m:oMathPara>
    </w:p>
    <w:p w14:paraId="7C1ECFA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在保留最高位进位的前提下，向量满足：</w:t>
      </w:r>
    </w:p>
    <w:p w14:paraId="465308FD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=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≪ 1)</m:t>
          </m:r>
        </m:oMath>
      </m:oMathPara>
    </w:p>
    <w:p w14:paraId="086ABCB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S保存本位的和，Q左移一位后表示应计入高一位的进位。一个CSA层内，各位不需要等待相邻低位进位，因此可以并行工作。实现中必须统一约定：若CSA已经输出左移后的进位向量，下一级不能再次移位。</w:t>
      </w:r>
    </w:p>
    <w:p w14:paraId="0FF192D7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（3）Wallace树压缩，再完成最终加法。</w:t>
      </w:r>
    </w:p>
    <w:p w14:paraId="04B0C3E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Wallace树逐层把同权位上的多个比特压缩，直到只剩两个待加向量。采用向量级CSA组织压缩树时，操作数数量依次变化：</w:t>
      </w:r>
    </w:p>
    <w:p w14:paraId="39282A99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8 → 6 → 4 → 3 → 2</m:t>
          </m:r>
        </m:oMath>
      </m:oMathPara>
    </w:p>
    <w:p w14:paraId="19AEF8C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足三个的剩余向量直接送入下一层。最后两项使用实验一的19位并行前缀加法器完成相加，cin置0，并对输入进行必要的零扩展。两种电路分工明确：CSA树减少待加操作数的数量，前缀加法器完成最终的进位传播。</w:t>
      </w:r>
    </w:p>
    <w:p w14:paraId="70D1FFC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8位无符号乘法的最大结果为255×255=65025，小于2¹⁶，因此完整乘积可以用16位表示。内部接入19位加法器便于模块复用，但仍需保证压缩和扩展过程正确；正确结果的第16位以上应为0。</w:t>
      </w:r>
    </w:p>
    <w:p w14:paraId="36E4857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实验内容和要求</w:t>
      </w:r>
    </w:p>
    <w:p w14:paraId="16502EB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使用Verilog实现以下模块，并结合课堂讲解完成设计。</w:t>
      </w:r>
    </w:p>
    <w:p w14:paraId="06E6A44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模块接口</w:t>
      </w:r>
    </w:p>
    <w:p w14:paraId="55DE92F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模块名称：</w:t>
      </w:r>
      <w:r>
        <w:rPr>
          <w:rFonts w:hint="default" w:ascii="Times New Roman" w:hAnsi="Times New Roman" w:eastAsia="宋体" w:cs="Times New Roman"/>
          <w:b w:val="0"/>
          <w:sz w:val="20"/>
        </w:rPr>
        <w:t>MULT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936"/>
        <w:gridCol w:w="4968"/>
      </w:tblGrid>
      <w:tr w14:paraId="3D5A3B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32" w:type="dxa"/>
            <w:shd w:val="clear" w:color="auto" w:fill="E7E7E7"/>
          </w:tcPr>
          <w:p w14:paraId="3C7A792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信号</w:t>
            </w:r>
          </w:p>
        </w:tc>
        <w:tc>
          <w:tcPr>
            <w:tcW w:w="936" w:type="dxa"/>
            <w:shd w:val="clear" w:color="auto" w:fill="E7E7E7"/>
          </w:tcPr>
          <w:p w14:paraId="1D38244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方向</w:t>
            </w:r>
          </w:p>
        </w:tc>
        <w:tc>
          <w:tcPr>
            <w:tcW w:w="4968" w:type="dxa"/>
            <w:shd w:val="clear" w:color="auto" w:fill="E7E7E7"/>
          </w:tcPr>
          <w:p w14:paraId="66C716D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说明</w:t>
            </w:r>
          </w:p>
        </w:tc>
      </w:tr>
      <w:tr w14:paraId="2D3E64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662BDCE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in1[7:0]、in2[7:0]</w:t>
            </w:r>
          </w:p>
        </w:tc>
        <w:tc>
          <w:tcPr>
            <w:tcW w:w="936" w:type="dxa"/>
          </w:tcPr>
          <w:p w14:paraId="5FD9EA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5539745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两个8位无符号整数</w:t>
            </w:r>
          </w:p>
        </w:tc>
      </w:tr>
      <w:tr w14:paraId="2E0DF5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FE742E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res[15:0]</w:t>
            </w:r>
          </w:p>
        </w:tc>
        <w:tc>
          <w:tcPr>
            <w:tcW w:w="936" w:type="dxa"/>
          </w:tcPr>
          <w:p w14:paraId="0506DB8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51289C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16位乘积</w:t>
            </w:r>
          </w:p>
        </w:tc>
      </w:tr>
    </w:tbl>
    <w:p w14:paraId="758138BA">
      <w:pPr>
        <w:spacing w:after="0"/>
        <w:rPr>
          <w:rFonts w:hint="default" w:ascii="Times New Roman" w:hAnsi="Times New Roman" w:eastAsia="宋体" w:cs="Times New Roman"/>
        </w:rPr>
      </w:pPr>
    </w:p>
    <w:p w14:paraId="63AA516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实现要求</w:t>
      </w:r>
    </w:p>
    <w:p w14:paraId="493C218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完成8位无符号整数的移位相加乘法器。</w:t>
      </w:r>
    </w:p>
    <w:p w14:paraId="748E257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8个部分积的相加采用华莱士树结构运算。</w:t>
      </w:r>
    </w:p>
    <w:p w14:paraId="7AF39A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华莱士树压缩后的2个部分和，采用Level1设计的并行前缀进位加法器完成。</w:t>
      </w:r>
    </w:p>
    <w:p w14:paraId="0C878F49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实验三 全流水脉动阵列矩阵乘法器</w:t>
      </w:r>
    </w:p>
    <w:p w14:paraId="7ABD962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实验背景</w:t>
      </w:r>
    </w:p>
    <w:p w14:paraId="659A30D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矩阵乘法用于把多组输入与多组系数进行组合，是线性变换和神经网络计算的重要基础。大语言模型的线性投影、前馈网络及注意力计算均涉及矩阵运算。硬件上，一个矩阵乘法可以分解为大量乘加操作，因此需要研究如何组织多个乘加单元，使它们持续协同工作。</w:t>
      </w:r>
    </w:p>
    <w:p w14:paraId="06D6F39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只复用少量算术单元顺序完成全部乘加，完成一个矩阵所需时间较长；如果简单增加算术单元而缺少数据复用与调度，则可能反复读取相同输入和权重，并让计算单元因等待数据而闲置。扩大并行规模之后，数据供应、互连和存储访问也会成为效率瓶颈。</w:t>
      </w:r>
    </w:p>
    <w:p w14:paraId="13CA4C6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H. T. Kung与Charles E. Leiserson在20世纪70年代末提出并发展了脉动阵列思想，将规则连接的处理单元与按节拍流动的数据结合。其《Systolic Arrays for VLSI》报告初稿标注为1978年，报告编号为CMU-CS-79-103。该结构使计算与局部数据传递协调进行，为重复数值运算提供了适合VLSI实现的组织方式。[6]</w:t>
      </w:r>
    </w:p>
    <w:p w14:paraId="735C107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固定权重脉动阵列把权重保存在处理单元内，使多批输入复用已装载的权重；输入和部分和在相邻单元之间按时钟传递，流水线则让不同数据的计算过程重叠。其优势在于规则的局部连接、权重复用和连续计算能力。实际收益取决于输入调度、阵列利用率和换权重开销，不能仅凭乘加单元数量推断持续吞吐率。</w:t>
      </w:r>
    </w:p>
    <w:p w14:paraId="01F84E0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Google第一代TPU采用256×256规模的矩阵计算结构，是脉动阵列用于AI计算的代表性实例。[7] 本实验以4×4阵列呈现同类核心问题：计算如何映射到处理单元，输入与部分和如何对齐，以及流水线如何持续运行。对于注意力等操作数随输入变化的任务，还需要分析权重驻留的复用机会。完成本实验将为进一步学习AI芯片的存储、调度和算子组织建立基础。</w:t>
      </w:r>
    </w:p>
    <w:p w14:paraId="660584E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实验原理</w:t>
      </w:r>
    </w:p>
    <w:p w14:paraId="6D01FD3A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（1）矩阵乘法由多个点积组成。</w:t>
      </w:r>
    </w:p>
    <w:p w14:paraId="59A951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记权重矩阵为K、输入矩阵为X，输出为Y：</w:t>
      </w:r>
    </w:p>
    <w:p w14:paraId="22FF149B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=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KX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=0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3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ik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kj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</m:oMath>
      </m:oMathPara>
    </w:p>
    <w:p w14:paraId="70F62C8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每个输出元素对应4个乘积之和，16个输出元素共需要64次标量乘法。数学上的直接求和需要48次加法；若硬件从零部分和开始组织计算，也可将其描述为64次乘加更新。性能统计应明确采用哪种计数口径。</w:t>
      </w:r>
    </w:p>
    <w:p w14:paraId="14DA71F7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（2）固定权重，让输入与部分和按节拍移动。</w:t>
      </w:r>
    </w:p>
    <w:p w14:paraId="78F6B0A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脉动阵列由规则连接的处理单元（Processing Element，PE）组成。每个PE保存一个权重，并完成输入与权重相乘、再与传入部分和相加的操作：</w:t>
      </w:r>
    </w:p>
    <w:p w14:paraId="442D2B9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out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in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×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x</m:t>
          </m:r>
        </m:oMath>
      </m:oMathPara>
    </w:p>
    <w:p w14:paraId="35BF543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“固定权重”表示权重在一段计算期间驻留在PE内部，被多批输入复用；输入和部分和则通过相邻PE之间的寄存器逐拍移动。这里的部分和从前一个PE传入，不必采用每个PE在本地反复累加的方式。</w:t>
      </w:r>
    </w:p>
    <w:p w14:paraId="79D15E4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固定权重阵列可以采用如下映射：物理第k行、第i列PE保存Kᵢₖ，输入Xₖⱼ沿第k行从左向右移动，部分和沿第i列从上向下移动。顶部部分和初始化为0，最底部输出yᵢⱼ。物理第一行依次保存K₀₀、K₁₀、K₂₀、K₃₀，使权重布局与输入和部分和的数据流匹配。</w:t>
      </w:r>
    </w:p>
    <w:p w14:paraId="18FC9622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（3）流水线正确运行的关键是数据对齐。</w:t>
      </w:r>
    </w:p>
    <w:p w14:paraId="0083F6F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相乘的输入和权重必须对应同一个求和项，传入部分和也必须属于同一个输出元素。对于上述映射，若输入横向每跨一个PE延迟一拍、部分和纵向每跨一个PE延迟一拍，则第k行输入可相对第0行延迟k拍注入。</w:t>
      </w:r>
    </w:p>
    <w:p w14:paraId="3C40111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例如，在约定的输入节拍t=j+k时，将Xₖⱼ送入第k行左边界；它到达第i列的节拍为j+k+i。该PE所需的上一行部分和也应在这一节拍到达。这个例子说明了输入错位注入的原因。实际首个输出时刻还取决于边界采样和PE内部寄存器定义，需要据此绘制完整周期表。</w:t>
      </w:r>
    </w:p>
    <w:p w14:paraId="2A123A8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阵列输出可能同样带有列间错位。由于输出接口用res[303:0]同时表示16个元素，还需要收集输出，必要时延迟对齐，并明确整组res何时有效。</w:t>
      </w:r>
    </w:p>
    <w:p w14:paraId="3CF42619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（4）区分流水线延迟与吞吐率。</w:t>
      </w:r>
    </w:p>
    <w:p w14:paraId="364140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流水线通过寄存器把长组合路径划分为较短路径，使多组数据在不同级之间重叠处理。延迟描述一组数据从进入到完成经历多少拍；吞吐率描述单位时间能够完成多少数据。“全流水”本身不意味着每拍输出一个完整4×4矩阵。</w:t>
      </w:r>
    </w:p>
    <w:p w14:paraId="0491333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16个PE每拍各完成一次有效乘加，则理想峰值为16次MAC/拍。一个完整矩阵乘法含64个乘积贡献，因此在这一硬件假设下，即使不计填充、排空和装载开销，平均也至少需要4拍的计算容量。实际吞吐率还受输入调度、输出收集及换权重开销影响。</w:t>
      </w:r>
    </w:p>
    <w:p w14:paraId="22EC9030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（5）明确位宽和装载控制。</w:t>
      </w:r>
    </w:p>
    <w:p w14:paraId="798DF16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两路128位输入分别可容纳16个8位元素。每个输出最大为：</w:t>
      </w:r>
    </w:p>
    <w:p w14:paraId="65F50756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ij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max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 4 × 255 × 255 = 260100 &lt;</m:t>
          </m:r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18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</m:oMath>
      </m:oMathPara>
    </w:p>
    <w:p w14:paraId="4B150F5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因此该任务中每个结果用18位即可精确表示。输出接口res宽度为304位，按每元素19位分配，相对本实验所需的18位额外预留一位。</w:t>
      </w:r>
    </w:p>
    <w:p w14:paraId="2774715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oad=1时，停止计算并装入权重；load=0时，阵列执行流水计算。设计还需明确rst_n的复位方式及其与load的优先级。若在旧数据尚未排空时更换权重，旧部分和可能与新权重混合，因此需要约定排空后装载，或在装载时将旧计算作废并重新启动。</w:t>
      </w:r>
    </w:p>
    <w:p w14:paraId="2E1A0DD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实验内容和要求</w:t>
      </w:r>
    </w:p>
    <w:p w14:paraId="6C075E0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使用Verilog实现以下模块，并结合课堂讲解完成设计。</w:t>
      </w:r>
    </w:p>
    <w:p w14:paraId="6565587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模块接口</w:t>
      </w:r>
    </w:p>
    <w:p w14:paraId="58F8C1F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模块名称：</w:t>
      </w:r>
      <w:r>
        <w:rPr>
          <w:rFonts w:hint="default" w:ascii="Times New Roman" w:hAnsi="Times New Roman" w:eastAsia="宋体" w:cs="Times New Roman"/>
          <w:b w:val="0"/>
          <w:sz w:val="20"/>
        </w:rPr>
        <w:t>MULT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936"/>
        <w:gridCol w:w="4968"/>
      </w:tblGrid>
      <w:tr w14:paraId="577AE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32" w:type="dxa"/>
            <w:shd w:val="clear" w:color="auto" w:fill="E7E7E7"/>
          </w:tcPr>
          <w:p w14:paraId="6D6DEBD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信号</w:t>
            </w:r>
          </w:p>
        </w:tc>
        <w:tc>
          <w:tcPr>
            <w:tcW w:w="936" w:type="dxa"/>
            <w:shd w:val="clear" w:color="auto" w:fill="E7E7E7"/>
          </w:tcPr>
          <w:p w14:paraId="7D8DA23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方向</w:t>
            </w:r>
          </w:p>
        </w:tc>
        <w:tc>
          <w:tcPr>
            <w:tcW w:w="4968" w:type="dxa"/>
            <w:shd w:val="clear" w:color="auto" w:fill="E7E7E7"/>
          </w:tcPr>
          <w:p w14:paraId="61C1CFB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说明</w:t>
            </w:r>
          </w:p>
        </w:tc>
      </w:tr>
      <w:tr w14:paraId="3CB38E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5E153F7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input[127:0]</w:t>
            </w:r>
          </w:p>
        </w:tc>
        <w:tc>
          <w:tcPr>
            <w:tcW w:w="936" w:type="dxa"/>
          </w:tcPr>
          <w:p w14:paraId="1F1829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56697D9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输入矩阵</w:t>
            </w:r>
          </w:p>
        </w:tc>
      </w:tr>
      <w:tr w14:paraId="22AEA6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0210D8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weight[127:0]</w:t>
            </w:r>
          </w:p>
        </w:tc>
        <w:tc>
          <w:tcPr>
            <w:tcW w:w="936" w:type="dxa"/>
          </w:tcPr>
          <w:p w14:paraId="416DC7F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02D6C9A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权重矩阵</w:t>
            </w:r>
          </w:p>
        </w:tc>
      </w:tr>
      <w:tr w14:paraId="67C72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ED8509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clk、rst_n、load</w:t>
            </w:r>
          </w:p>
        </w:tc>
        <w:tc>
          <w:tcPr>
            <w:tcW w:w="936" w:type="dxa"/>
          </w:tcPr>
          <w:p w14:paraId="238033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1782027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时钟、复位与权重装载控制</w:t>
            </w:r>
          </w:p>
        </w:tc>
      </w:tr>
      <w:tr w14:paraId="64790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21A65F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res[303:0]</w:t>
            </w:r>
          </w:p>
        </w:tc>
        <w:tc>
          <w:tcPr>
            <w:tcW w:w="936" w:type="dxa"/>
          </w:tcPr>
          <w:p w14:paraId="54D2C9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054A475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矩阵计算结果</w:t>
            </w:r>
          </w:p>
        </w:tc>
      </w:tr>
    </w:tbl>
    <w:p w14:paraId="360F917A">
      <w:pPr>
        <w:spacing w:after="0"/>
        <w:rPr>
          <w:rFonts w:hint="default" w:ascii="Times New Roman" w:hAnsi="Times New Roman" w:eastAsia="宋体" w:cs="Times New Roman"/>
        </w:rPr>
      </w:pPr>
    </w:p>
    <w:p w14:paraId="0615267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实现要求</w:t>
      </w:r>
    </w:p>
    <w:p w14:paraId="2EE1603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完成两个4×4无符号整数矩阵相乘的脉动阵列矩阵乘法器。</w:t>
      </w:r>
    </w:p>
    <w:p w14:paraId="2F42BDC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采用固定权重、输入输出流动的方式。</w:t>
      </w:r>
    </w:p>
    <w:p w14:paraId="01978D8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矩阵乘法器要求采用流水线结构。</w:t>
      </w:r>
    </w:p>
    <w:p w14:paraId="3D1CD3E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Load置0时，阵列正常执行流水线计算；Load置1时，阵列停止计算，将权重导入阵列。</w:t>
      </w:r>
    </w:p>
    <w:p w14:paraId="08C18F3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接口中的 input 表示输入数据总线；由于 input 为Verilog关键字，代码中应使用 input_data 等合法标识符。矩阵总线的元素排列、复位方式、输入接收节拍及输出有效时刻应在设计中明确说明。</w:t>
      </w:r>
    </w:p>
    <w:p w14:paraId="3881FB8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参考资料</w:t>
      </w:r>
    </w:p>
    <w:p w14:paraId="2335C1F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以下列出正文引用的全部资料及完整网址。</w:t>
      </w:r>
    </w:p>
    <w:p w14:paraId="2BA2FE3A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[1] Google TPU介绍</w:t>
      </w:r>
    </w:p>
    <w:p w14:paraId="33F8E84B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https://cloud.google.com/tpu</w:t>
      </w:r>
    </w:p>
    <w:p w14:paraId="0268DA55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[2] Kogge与Stone原论文</w:t>
      </w:r>
    </w:p>
    <w:p w14:paraId="152C2A6F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https://gwern.net/doc/cs/algorithm/1973-kogge.pdf</w:t>
      </w:r>
    </w:p>
    <w:p w14:paraId="0B4099E9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[3] Brent–Kung原论文</w:t>
      </w:r>
    </w:p>
    <w:p w14:paraId="49871DFD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https://www.eecs.harvard.edu/~htk/publication/1982-ton-brent-kung.pdf</w:t>
      </w:r>
    </w:p>
    <w:p w14:paraId="58C9AAD7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[4] Wallace论文记录与原文入口</w:t>
      </w:r>
    </w:p>
    <w:p w14:paraId="0A8A95BA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https://ieeemilestones.ethw.org/File:A_suggestion_for_a_fast_multiplier.pdf</w:t>
      </w:r>
    </w:p>
    <w:p w14:paraId="0519406C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[5] TPU原论文</w:t>
      </w:r>
    </w:p>
    <w:p w14:paraId="45394C28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https://arxiv.org/abs/1704.04760</w:t>
      </w:r>
    </w:p>
    <w:p w14:paraId="58643976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[6] Kung与Leiserson原报告</w:t>
      </w:r>
    </w:p>
    <w:p w14:paraId="5E81DAF9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https://www.eecs.harvard.edu/htk/static/files/1978-cmu-cs-report-kung-leiserson.pdf</w:t>
      </w:r>
    </w:p>
    <w:p w14:paraId="2AAF1C2A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[7] Google第一代TPU架构说明</w:t>
      </w:r>
    </w:p>
    <w:p w14:paraId="09A3856C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https://cloud.google.com/blog/products/ai-machine-learning/an-in-depth-look-at-googles-first-tensor-processing-unit-tpu</w:t>
      </w:r>
    </w:p>
    <w:p>
      <w:r>
        <w:t>[8] 脉动阵列架构图解（Telesens）</w:t>
      </w:r>
    </w:p>
    <w:p>
      <w:r>
        <w:t>https://telesens.co/2018/07/30/systolic-architectures/</w:t>
      </w:r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028A3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1AFC9">
    <w:r>
      <w:rPr>
        <w:sz w:val="18"/>
      </w:rPr>
      <w:t>数字计算系统实验  |  Verilog实现全流水矩阵乘法器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B7031"/>
    <w:rsid w:val="510A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20" w:line="30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20" w:line="300" w:lineRule="auto"/>
      <w:contextualSpacing/>
    </w:pPr>
    <w:rPr>
      <w:rFonts w:ascii="Times New Roman" w:hAnsi="Times New Roman" w:eastAsia="宋体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20" w:line="300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80" w:after="12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1144</Words>
  <Characters>1232</Characters>
  <Lines>0</Lines>
  <Paragraphs>0</Paragraphs>
  <TotalTime>0</TotalTime>
  <ScaleCrop>false</ScaleCrop>
  <LinksUpToDate>false</LinksUpToDate>
  <CharactersWithSpaces>1246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张梁</cp:lastModifiedBy>
  <dcterms:modified xsi:type="dcterms:W3CDTF">2026-09-11T10:11:20Z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eyJoZGlkIjoiNmQyNmY0YTEwNGJjZGI3ZWY4ZTJiMmM0MjM5NDA0MDEiLCJ1c2VySWQiOiI1OTUwMTc0OTQifQ==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8CEB6BBA2E214214ABC508915EDFB661_12</vt:lpwstr>
  </property>
</Properties>
</file>