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219772">
      <w:pPr>
        <w:pStyle w:val="31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Verilog实现全流水矩阵乘法器</w:t>
      </w:r>
    </w:p>
    <w:p w14:paraId="3B086A50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实验手册</w:t>
      </w:r>
    </w:p>
    <w:p w14:paraId="00B7C265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北航集成电路科学与工程学院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Fonts w:hint="default" w:ascii="Times New Roman" w:hAnsi="Times New Roman" w:eastAsia="宋体" w:cs="Times New Roman"/>
        </w:rPr>
        <w:t>授课教师：康旺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Fonts w:hint="default" w:ascii="Times New Roman" w:hAnsi="Times New Roman" w:eastAsia="宋体" w:cs="Times New Roman"/>
        </w:rPr>
        <w:t>助教：寇竞、张梁、姜河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Fonts w:hint="default" w:ascii="Times New Roman" w:hAnsi="Times New Roman" w:eastAsia="宋体" w:cs="Times New Roman"/>
        </w:rPr>
        <w:t>2026年3月30日</w:t>
      </w:r>
    </w:p>
    <w:p w14:paraId="04D39445">
      <w:pPr>
        <w:pStyle w:val="3"/>
        <w:pageBreakBefore w:val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课程背景与学习路径</w:t>
      </w:r>
    </w:p>
    <w:p w14:paraId="59700155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数字处理器通过算术电路完成数据运算，AI芯片则进一步将大量算术单元组织起来，高效执行神经网络中的矩阵乘法和张量运算。无论是通用处理器中的算术逻辑单元，还是数字信号处理器中的乘加数据通路，都离不开加法、乘法及其组合。理解这些模块，才能进一步理解芯片为什么能够高速计算，以及性能、面积和功耗之间为什么需要权衡。</w:t>
      </w:r>
    </w:p>
    <w:p w14:paraId="7E54FBB9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大语言模型中的线性投影、前馈网络和注意力矩阵计算，为学习矩阵运算硬件提供了直接背景。Google公开资料将矩阵乘法单元和脉动阵列列为TPU的重要组成部分，说明这类结构具有实际产业应用价值。[1]</w:t>
      </w:r>
    </w:p>
    <w:p w14:paraId="09B9ABB2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本课程按照“加法器→乘法器→矩阵计算阵列”的路径展开：第一个实验解决二进制加法中的进位传播问题；第二个实验利用部分积压缩和快速加法实现整数乘法；第三个实验将乘加运算映射到带寄存器的处理单元阵列，通过流水线和数据复用完成矩阵计算。三个实验分别对应位级运算、算术模块和阵列架构三个层次，是入门数字处理器、DSP和AI计算芯片的重要基础。</w:t>
      </w:r>
    </w:p>
    <w:p w14:paraId="5F09EF31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这条学习路径既训练Verilog描述与仿真验证能力，也培养从算法到硬件的设计思维：同样一个数学表达式，可以对应不同的电路结构；电路能否算对、能否在目标时钟下运行、能否连续处理数据，是相互关联但需要分别验证的问题。</w:t>
      </w:r>
    </w:p>
    <w:p w14:paraId="6DB43F50">
      <w:pPr>
        <w:pStyle w:val="3"/>
        <w:pageBreakBefore w:val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实验一 并行前缀进位加法器</w:t>
      </w:r>
    </w:p>
    <w:p w14:paraId="0E3125F3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1. 实验背景</w:t>
      </w:r>
      <w:bookmarkStart w:id="0" w:name="_GoBack"/>
      <w:bookmarkEnd w:id="0"/>
    </w:p>
    <w:p w14:paraId="5D8C8BAA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加法器用于完成二进制数的求和，是数字处理器算术运算、地址计算以及乘加单元累加路径中的基本电路。在AI计算中，点积需要把多个乘积相加，因此加法器的速度和硬件开销也会影响整个乘加数据通路。</w:t>
      </w:r>
    </w:p>
    <w:p w14:paraId="31432CF9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最直接的实现是串行进位加法器：将多个全加器级联，每一级把进位送给更高一位。该结构连接简单，但在最坏情况下，高位结果必须等待进位从最低位逐级传来，进位路径随位宽增长而变长。对于需要较高工作频率的处理器和计算单元，这种串行依赖可能成为关键路径。</w:t>
      </w:r>
    </w:p>
    <w:p w14:paraId="365677F6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为缩短进位计算的等待时间，可以先描述各位产生和传播进位的条件，再利用具有结合律的区间合并运算，将逐位递推重组为树形前缀网络。Peter M. Kogge与Harold S. Stone于1973年发表的递归倍增研究，是Kogge–Stone结构的重要理论来源。[2]</w:t>
      </w:r>
    </w:p>
    <w:p w14:paraId="3D5C3EEC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并行前缀加法器能够将进位计算的逻辑深度由随位宽线性增长，降低为对数级增长。其代价是增加部分逻辑节点和连线，因此不同结构需要在速度、面积、扇出和布线之间取舍。Brent与Kung的工作进一步强调规则布局与面积因素。[3]</w:t>
      </w:r>
    </w:p>
    <w:p w14:paraId="3CA72386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本实验通过19位加法器设计，学习如何把串行数据依赖转换为并行电路，并为后续乘法器的最终求和提供可复用模块。实际性能仍需结合综合与时序结果判断；较少的理论层数并不保证在所有工艺或FPGA上都更快。</w:t>
      </w:r>
    </w:p>
    <w:p w14:paraId="6A3ABA75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2. 实验原理</w:t>
      </w:r>
    </w:p>
    <w:p w14:paraId="056DD95E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（1）加法器为什么需要优化进位？</w:t>
      </w:r>
    </w:p>
    <w:p w14:paraId="67540175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设两个19位输入为A、B，输入进位为cin。加法器计算：</w:t>
      </w:r>
    </w:p>
    <w:p w14:paraId="04367312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{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cout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,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sum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[18:0]} =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A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+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B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+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cin</m:t>
          </m:r>
        </m:oMath>
      </m:oMathPara>
    </w:p>
    <w:p w14:paraId="3AFCDF98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最低位编号为0，令c₀=cin。对第i位定义进位产生信号和传播信号：</w:t>
      </w:r>
    </w:p>
    <w:p w14:paraId="7D522DA3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g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=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a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∧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b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,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=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a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⊕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b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</m:oMath>
      </m:oMathPara>
    </w:p>
    <w:p w14:paraId="35BD0297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于是：</w:t>
      </w:r>
    </w:p>
    <w:p w14:paraId="5743BB41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c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+1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=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g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∨ (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∧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c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),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s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=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⊕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c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</m:oMath>
      </m:oMathPara>
    </w:p>
    <w:p w14:paraId="198C77F4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gᵢ=1表示该位直接产生进位，pᵢ=1表示该位把输入进位向高位传播。串行进位加法器逐位计算cᵢ，高位结果可能需要等待低位进位依次传递。随着位宽增加，这条依赖链会成为速度瓶颈。</w:t>
      </w:r>
    </w:p>
    <w:p w14:paraId="0E280352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（2）将逐位递推变成树形并行计算。</w:t>
      </w:r>
    </w:p>
    <w:p w14:paraId="070A798F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对从j到i的一段二进制位，定义区间产生信号Gᵢ:ⱼ和区间传播信号Pᵢ:ⱼ，使其满足：</w:t>
      </w:r>
    </w:p>
    <w:p w14:paraId="7F5AAEDE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c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+1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=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G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:</m:t>
              </m:r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j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∨ (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:</m:t>
              </m:r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j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∧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c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j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)</m:t>
          </m:r>
        </m:oMath>
      </m:oMathPara>
    </w:p>
    <w:p w14:paraId="0B9E0C98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相邻高位区间与低位区间可以合并：</w:t>
      </w:r>
    </w:p>
    <w:p w14:paraId="2313FC55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(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G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H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,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H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) ∘ (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G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L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,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L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) = (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G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H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∨ (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H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∧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G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L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),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H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∧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L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)</m:t>
          </m:r>
        </m:oMath>
      </m:oMathPara>
    </w:p>
    <w:p w14:paraId="676E76D8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该运算具有结合律，因此可用树形网络同时计算多个前缀区间。得到每个Gᵢ:₀、Pᵢ:₀后，就能结合cin求出各位进位，最后生成sum与cout。这里的“并行”是指电路空间上的并行计算。</w:t>
      </w:r>
    </w:p>
    <w:p w14:paraId="082037B8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以按距离倍增的Kogge–Stone网络为例，19位输入的合并距离依次为1、2、4、8、16，共5层前缀合并。对不满足合并条件的低位节点，直接传递上一层结果。前缀合并层数不等于完整电路的门级延迟，输入预处理、最终求和及连线也会影响实际时序。</w:t>
      </w:r>
    </w:p>
    <w:p w14:paraId="67DE4A43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（3）不同前缀结构体现不同设计取舍。</w:t>
      </w:r>
    </w:p>
    <w:p w14:paraId="29D514B8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Sklansky、Kogge–Stone、Brent–Kung和Han–Carlson都围绕同一进位合并运算组织网络，但节点数量、逻辑深度、扇出和连线方式不同。前缀设计的价值在于缩短进位依赖路径，同时必须考虑硬件开销。Brent与Kung的经典工作尤其强调规则布局和面积因素。[3]</w:t>
      </w:r>
    </w:p>
    <w:p w14:paraId="593EA6A0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本实验要求采用组合逻辑，因而不能在模块内部加入时钟寄存器。组合逻辑仍有传播延迟；“没有时钟输入”不意味着结果瞬时产生。19也不是2的整数次幂，设计时应特别检查最高位附近的前缀连接以及数组索引边界。</w:t>
      </w:r>
    </w:p>
    <w:p w14:paraId="478C8E98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 实验内容和要求</w:t>
      </w:r>
    </w:p>
    <w:p w14:paraId="0D1F0459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使用Verilog实现以下模块，并结合课堂讲解完成设计。</w:t>
      </w:r>
    </w:p>
    <w:p w14:paraId="3CB0DCFC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模块接口</w:t>
      </w:r>
    </w:p>
    <w:p w14:paraId="26B1D2F0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模块名称：</w:t>
      </w:r>
      <w:r>
        <w:rPr>
          <w:rFonts w:hint="default" w:ascii="Times New Roman" w:hAnsi="Times New Roman" w:eastAsia="宋体" w:cs="Times New Roman"/>
          <w:b w:val="0"/>
          <w:sz w:val="20"/>
        </w:rPr>
        <w:t>ADDER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2"/>
        <w:gridCol w:w="936"/>
        <w:gridCol w:w="4968"/>
      </w:tblGrid>
      <w:tr w14:paraId="335C7A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4032" w:type="dxa"/>
            <w:shd w:val="clear" w:color="auto" w:fill="E7E7E7"/>
          </w:tcPr>
          <w:p w14:paraId="09121426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0"/>
              </w:rPr>
              <w:t>信号</w:t>
            </w:r>
          </w:p>
        </w:tc>
        <w:tc>
          <w:tcPr>
            <w:tcW w:w="936" w:type="dxa"/>
            <w:shd w:val="clear" w:color="auto" w:fill="E7E7E7"/>
          </w:tcPr>
          <w:p w14:paraId="0E65D1EC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0"/>
              </w:rPr>
              <w:t>方向</w:t>
            </w:r>
          </w:p>
        </w:tc>
        <w:tc>
          <w:tcPr>
            <w:tcW w:w="4968" w:type="dxa"/>
            <w:shd w:val="clear" w:color="auto" w:fill="E7E7E7"/>
          </w:tcPr>
          <w:p w14:paraId="731A37CB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0"/>
              </w:rPr>
              <w:t>说明</w:t>
            </w:r>
          </w:p>
        </w:tc>
      </w:tr>
      <w:tr w14:paraId="77E659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32" w:type="dxa"/>
          </w:tcPr>
          <w:p w14:paraId="0F1FF52A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in1[18:0]、in2[18:0]</w:t>
            </w:r>
          </w:p>
        </w:tc>
        <w:tc>
          <w:tcPr>
            <w:tcW w:w="936" w:type="dxa"/>
          </w:tcPr>
          <w:p w14:paraId="4B90BD98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输入</w:t>
            </w:r>
          </w:p>
        </w:tc>
        <w:tc>
          <w:tcPr>
            <w:tcW w:w="4968" w:type="dxa"/>
          </w:tcPr>
          <w:p w14:paraId="423FF89F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两个19位操作数</w:t>
            </w:r>
          </w:p>
        </w:tc>
      </w:tr>
      <w:tr w14:paraId="1D658D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32" w:type="dxa"/>
          </w:tcPr>
          <w:p w14:paraId="7386E3DB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cin</w:t>
            </w:r>
          </w:p>
        </w:tc>
        <w:tc>
          <w:tcPr>
            <w:tcW w:w="936" w:type="dxa"/>
          </w:tcPr>
          <w:p w14:paraId="483DAC86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输入</w:t>
            </w:r>
          </w:p>
        </w:tc>
        <w:tc>
          <w:tcPr>
            <w:tcW w:w="4968" w:type="dxa"/>
          </w:tcPr>
          <w:p w14:paraId="30BB96C1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输入进位</w:t>
            </w:r>
          </w:p>
        </w:tc>
      </w:tr>
      <w:tr w14:paraId="0A7E7A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32" w:type="dxa"/>
          </w:tcPr>
          <w:p w14:paraId="437DFBF2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sum[18:0]</w:t>
            </w:r>
          </w:p>
        </w:tc>
        <w:tc>
          <w:tcPr>
            <w:tcW w:w="936" w:type="dxa"/>
          </w:tcPr>
          <w:p w14:paraId="144356F7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输出</w:t>
            </w:r>
          </w:p>
        </w:tc>
        <w:tc>
          <w:tcPr>
            <w:tcW w:w="4968" w:type="dxa"/>
          </w:tcPr>
          <w:p w14:paraId="1E967654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19位和</w:t>
            </w:r>
          </w:p>
        </w:tc>
      </w:tr>
      <w:tr w14:paraId="39956D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32" w:type="dxa"/>
          </w:tcPr>
          <w:p w14:paraId="18AD2D3B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cout</w:t>
            </w:r>
          </w:p>
        </w:tc>
        <w:tc>
          <w:tcPr>
            <w:tcW w:w="936" w:type="dxa"/>
          </w:tcPr>
          <w:p w14:paraId="510441FE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输出</w:t>
            </w:r>
          </w:p>
        </w:tc>
        <w:tc>
          <w:tcPr>
            <w:tcW w:w="4968" w:type="dxa"/>
          </w:tcPr>
          <w:p w14:paraId="20C15C34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输出进位</w:t>
            </w:r>
          </w:p>
        </w:tc>
      </w:tr>
    </w:tbl>
    <w:p w14:paraId="59DA88D3">
      <w:pPr>
        <w:spacing w:after="0"/>
        <w:rPr>
          <w:rFonts w:hint="default" w:ascii="Times New Roman" w:hAnsi="Times New Roman" w:eastAsia="宋体" w:cs="Times New Roman"/>
        </w:rPr>
      </w:pPr>
    </w:p>
    <w:p w14:paraId="0E6C95A9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实现要求</w:t>
      </w:r>
    </w:p>
    <w:p w14:paraId="7CB7F55D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1. 完成19位的并行前缀进位加法器。</w:t>
      </w:r>
    </w:p>
    <w:p w14:paraId="319F5B8F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2. Sklansky、Kogge–Stone、Brent–Kung、Han–Carlson结构均可。</w:t>
      </w:r>
    </w:p>
    <w:p w14:paraId="30E1BCB8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 必须采用组合逻辑，模块输入没有时钟信号。</w:t>
      </w:r>
    </w:p>
    <w:p w14:paraId="0B646FFC">
      <w:pPr>
        <w:pStyle w:val="3"/>
        <w:pageBreakBefore w:val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实验二 移位相加乘法器</w:t>
      </w:r>
    </w:p>
    <w:p w14:paraId="18FE4E59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1. 实验背景</w:t>
      </w:r>
    </w:p>
    <w:p w14:paraId="3B4280A1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乘法器用于计算两个数的乘积，是数字滤波、相关计算和矩阵运算中的基本算术模块。神经网络的点积运算需要重复执行输入与权重相乘，再累加乘积，因此整数乘法器是理解数字信号处理器和低精度AI计算单元的重要起点。</w:t>
      </w:r>
    </w:p>
    <w:p w14:paraId="61344DCF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二进制乘法可展开为多个移位部分积之和。若逐个累加部分积，或者把多个普通进位传播加法器串接起来，计算就需要经历多轮求和及进位传播。前者在迭代实现中限制吞吐率，后者在组合实现中形成较长的关键路径。问题的核心在于：多个操作数相加时，没有必要在每一步都立即算出完整的二进制和。</w:t>
      </w:r>
    </w:p>
    <w:p w14:paraId="3D73FA24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C. S. Wallace于1964年提出经典的快速乘法方法，使用树形压缩归约部分积。进位保存加法器把三个操作数压缩为两个向量，在压缩层内保留进位而不进行全字长进位传播；重复压缩后，再由一个快速加法器完成最终求和。[4]</w:t>
      </w:r>
    </w:p>
    <w:p w14:paraId="413B3BA2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这种方法通过并行压缩减少求和的串行依赖，使部分积压缩深度按对数级增长。其优势是能够缩短乘法数据通路，代价则包括压缩单元和互连资源。它与并行前缀加法器形成分工：前者减少操作数数量，后者加速最终两个操作数的进位计算。</w:t>
      </w:r>
    </w:p>
    <w:p w14:paraId="39A3352E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本实验以8位无符号整数为对象，将部分积生成、Wallace树压缩和快速加法连接起来。第一代Google TPU的公开论文描述了包含65,536个8位乘加单元的矩阵计算核心，说明低位宽算术具有实际AI推理应用价值；该资料并不据此证明其内部采用本实验指定的乘法器拓扑。[5] 实验中的UINT8运算是基础形式，扩展到量化模型时还需处理符号、缩放因子和零点等数值规则。</w:t>
      </w:r>
    </w:p>
    <w:p w14:paraId="2B881CD5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2. 实验原理</w:t>
      </w:r>
    </w:p>
    <w:p w14:paraId="271AE855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（1）从二进制展开得到部分积。</w:t>
      </w:r>
    </w:p>
    <w:p w14:paraId="76643486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令A、B为8位无符号整数，B的第j位为bⱼ，则：</w:t>
      </w:r>
    </w:p>
    <w:p w14:paraId="26C77BD3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A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×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B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=</m:t>
          </m:r>
          <m:nary>
            <m:naryPr>
              <m:chr m:val="∑"/>
              <m:limLoc m:val="undOvr"/>
              <m:ctrlPr>
                <w:rPr>
                  <w:rFonts w:hint="default" w:ascii="Cambria Math" w:hAnsi="Cambria Math" w:eastAsia="宋体" w:cs="Times New Roman"/>
                </w:rPr>
              </m:ctrlPr>
            </m:naryPr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j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=0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  <m:sup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7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p>
            <m:e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(</m:t>
              </m:r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A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 xml:space="preserve"> ×</m:t>
              </m:r>
              <m:sSub>
                <m:sSubPr>
                  <m:ctrlPr>
                    <w:rPr>
                      <w:rFonts w:hint="default" w:ascii="Cambria Math" w:hAnsi="Cambria Math" w:eastAsia="宋体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eastAsia="宋体" w:cs="Times New Roman"/>
                      <w:i/>
                    </w:rPr>
                    <m:t>b</m:t>
                  </m:r>
                  <m:ctrlPr>
                    <w:rPr>
                      <w:rFonts w:hint="default" w:ascii="Cambria Math" w:hAnsi="Cambria Math" w:eastAsia="宋体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eastAsia="宋体" w:cs="Times New Roman"/>
                      <w:i/>
                    </w:rPr>
                    <m:t>j</m:t>
                  </m:r>
                  <m:ctrlPr>
                    <w:rPr>
                      <w:rFonts w:hint="default" w:ascii="Cambria Math" w:hAnsi="Cambria Math" w:eastAsia="宋体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)</m:t>
              </m:r>
              <m:sSup>
                <m:sSupPr>
                  <m:ctrlPr>
                    <w:rPr>
                      <w:rFonts w:hint="default" w:ascii="Cambria Math" w:hAnsi="Cambria Math" w:eastAsia="宋体" w:cs="Times New Roman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eastAsia="宋体" w:cs="Times New Roman"/>
                      <w:i w:val="0"/>
                    </w:rPr>
                    <m:t>2</m:t>
                  </m:r>
                  <m:ctrlPr>
                    <w:rPr>
                      <w:rFonts w:hint="default" w:ascii="Cambria Math" w:hAnsi="Cambria Math" w:eastAsia="宋体" w:cs="Times New Roman"/>
                    </w:rPr>
                  </m:ctrlPr>
                </m:e>
                <m:sup>
                  <m:r>
                    <m:rPr>
                      <m:nor/>
                    </m:rPr>
                    <w:rPr>
                      <w:rFonts w:hint="default" w:ascii="Times New Roman" w:hAnsi="Times New Roman" w:eastAsia="宋体" w:cs="Times New Roman"/>
                      <w:i/>
                    </w:rPr>
                    <m:t>j</m:t>
                  </m:r>
                  <m:ctrlPr>
                    <w:rPr>
                      <w:rFonts w:hint="default" w:ascii="Cambria Math" w:hAnsi="Cambria Math" w:eastAsia="宋体" w:cs="Times New Roman"/>
                    </w:rPr>
                  </m:ctrlPr>
                </m:sup>
              </m:sSup>
              <m:ctrlPr>
                <w:rPr>
                  <w:rFonts w:hint="default" w:ascii="Cambria Math" w:hAnsi="Cambria Math" w:eastAsia="宋体" w:cs="Times New Roman"/>
                </w:rPr>
              </m:ctrlPr>
            </m:e>
          </m:nary>
        </m:oMath>
      </m:oMathPara>
    </w:p>
    <w:p w14:paraId="2E685C60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由于bⱼ只能取0或1，每个部分积只需按位与操作和固定移位即可生成：bⱼ为0时该行全0，为1时该行为A左移j位后的值。移位必须在足够宽的无符号信号上进行，避免中间表达式提前截断。</w:t>
      </w:r>
    </w:p>
    <w:p w14:paraId="2D56965C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本实验并行生成8个部分积，并通过Wallace树完成压缩。</w:t>
      </w:r>
    </w:p>
    <w:p w14:paraId="4034E98C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（2）用进位保存加法器压缩多个操作数。</w:t>
      </w:r>
    </w:p>
    <w:p w14:paraId="18CAAED9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若直接串接普通加法器，每次求和都需要传播进位。进位保存加法器（Carry-Save Adder，CSA）则把三个输入压缩成两个输出，暂时保留进位。对相同位权的xᵢ、yᵢ、zᵢ：</w:t>
      </w:r>
    </w:p>
    <w:p w14:paraId="13496011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s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=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x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⊕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y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⊕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z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</m:oMath>
      </m:oMathPara>
    </w:p>
    <w:p w14:paraId="147C6061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q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= (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x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∧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y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) ∨ (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x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∧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z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) ∨ (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y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∧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z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)</m:t>
          </m:r>
        </m:oMath>
      </m:oMathPara>
    </w:p>
    <w:p w14:paraId="7C1ECFAB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在保留最高位进位的前提下，向量满足：</w:t>
      </w:r>
    </w:p>
    <w:p w14:paraId="465308FD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+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Y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+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Z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=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S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+ (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Q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≪ 1)</m:t>
          </m:r>
        </m:oMath>
      </m:oMathPara>
    </w:p>
    <w:p w14:paraId="086ABCB9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S保存本位的和，Q左移一位后表示应计入高一位的进位。一个CSA层内，各位不需要等待相邻低位进位，因此可以并行工作。实现中必须统一约定：若CSA已经输出左移后的进位向量，下一级不能再次移位。</w:t>
      </w:r>
    </w:p>
    <w:p w14:paraId="0FF192D7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（3）Wallace树压缩，再完成最终加法。</w:t>
      </w:r>
    </w:p>
    <w:p w14:paraId="04B0C3EA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Wallace树逐层把同权位上的多个比特压缩，直到只剩两个待加向量。采用向量级CSA组织压缩树时，操作数数量依次变化：</w:t>
      </w:r>
    </w:p>
    <w:p w14:paraId="39282A99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8 → 6 → 4 → 3 → 2</m:t>
          </m:r>
        </m:oMath>
      </m:oMathPara>
    </w:p>
    <w:p w14:paraId="19AEF8C9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不足三个的剩余向量直接送入下一层。最后两项使用实验一的19位并行前缀加法器完成相加，cin置0，并对输入进行必要的零扩展。两种电路分工明确：CSA树减少待加操作数的数量，前缀加法器完成最终的进位传播。</w:t>
      </w:r>
    </w:p>
    <w:p w14:paraId="70D1FFCC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8位无符号乘法的最大结果为255×255=65025，小于2¹⁶，因此完整乘积可以用16位表示。内部接入19位加法器便于模块复用，但仍需保证压缩和扩展过程正确；正确结果的第16位以上应为0。</w:t>
      </w:r>
    </w:p>
    <w:p w14:paraId="36E48576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 实验内容和要求</w:t>
      </w:r>
    </w:p>
    <w:p w14:paraId="16502EB6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使用Verilog实现以下模块，并结合课堂讲解完成设计。</w:t>
      </w:r>
    </w:p>
    <w:p w14:paraId="06E6A44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模块接口</w:t>
      </w:r>
    </w:p>
    <w:p w14:paraId="55DE92FA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模块名称：</w:t>
      </w:r>
      <w:r>
        <w:rPr>
          <w:rFonts w:hint="default" w:ascii="Times New Roman" w:hAnsi="Times New Roman" w:eastAsia="宋体" w:cs="Times New Roman"/>
          <w:b w:val="0"/>
          <w:sz w:val="20"/>
        </w:rPr>
        <w:t>MULT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2"/>
        <w:gridCol w:w="936"/>
        <w:gridCol w:w="4968"/>
      </w:tblGrid>
      <w:tr w14:paraId="3D5A3B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4032" w:type="dxa"/>
            <w:shd w:val="clear" w:color="auto" w:fill="E7E7E7"/>
          </w:tcPr>
          <w:p w14:paraId="3C7A7923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0"/>
              </w:rPr>
              <w:t>信号</w:t>
            </w:r>
          </w:p>
        </w:tc>
        <w:tc>
          <w:tcPr>
            <w:tcW w:w="936" w:type="dxa"/>
            <w:shd w:val="clear" w:color="auto" w:fill="E7E7E7"/>
          </w:tcPr>
          <w:p w14:paraId="1D38244C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0"/>
              </w:rPr>
              <w:t>方向</w:t>
            </w:r>
          </w:p>
        </w:tc>
        <w:tc>
          <w:tcPr>
            <w:tcW w:w="4968" w:type="dxa"/>
            <w:shd w:val="clear" w:color="auto" w:fill="E7E7E7"/>
          </w:tcPr>
          <w:p w14:paraId="66C716D3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0"/>
              </w:rPr>
              <w:t>说明</w:t>
            </w:r>
          </w:p>
        </w:tc>
      </w:tr>
      <w:tr w14:paraId="2D3E64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32" w:type="dxa"/>
          </w:tcPr>
          <w:p w14:paraId="662BDCEC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in1[7:0]、in2[7:0]</w:t>
            </w:r>
          </w:p>
        </w:tc>
        <w:tc>
          <w:tcPr>
            <w:tcW w:w="936" w:type="dxa"/>
          </w:tcPr>
          <w:p w14:paraId="5FD9EA4A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输入</w:t>
            </w:r>
          </w:p>
        </w:tc>
        <w:tc>
          <w:tcPr>
            <w:tcW w:w="4968" w:type="dxa"/>
          </w:tcPr>
          <w:p w14:paraId="55397457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两个8位无符号整数</w:t>
            </w:r>
          </w:p>
        </w:tc>
      </w:tr>
      <w:tr w14:paraId="2E0DF5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32" w:type="dxa"/>
          </w:tcPr>
          <w:p w14:paraId="1FE742EC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res[15:0]</w:t>
            </w:r>
          </w:p>
        </w:tc>
        <w:tc>
          <w:tcPr>
            <w:tcW w:w="936" w:type="dxa"/>
          </w:tcPr>
          <w:p w14:paraId="0506DB8D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输出</w:t>
            </w:r>
          </w:p>
        </w:tc>
        <w:tc>
          <w:tcPr>
            <w:tcW w:w="4968" w:type="dxa"/>
          </w:tcPr>
          <w:p w14:paraId="51289CF5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16位乘积</w:t>
            </w:r>
          </w:p>
        </w:tc>
      </w:tr>
    </w:tbl>
    <w:p w14:paraId="758138BA">
      <w:pPr>
        <w:spacing w:after="0"/>
        <w:rPr>
          <w:rFonts w:hint="default" w:ascii="Times New Roman" w:hAnsi="Times New Roman" w:eastAsia="宋体" w:cs="Times New Roman"/>
        </w:rPr>
      </w:pPr>
    </w:p>
    <w:p w14:paraId="63AA516F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实现要求</w:t>
      </w:r>
    </w:p>
    <w:p w14:paraId="493C2186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1. 完成8位无符号整数的移位相加乘法器。</w:t>
      </w:r>
    </w:p>
    <w:p w14:paraId="748E2579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2. 8个部分积的相加采用华莱士树结构运算。</w:t>
      </w:r>
    </w:p>
    <w:p w14:paraId="7AF39A5C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 华莱士树压缩后的2个部分和，采用Level1设计的并行前缀进位加法器完成。</w:t>
      </w:r>
    </w:p>
    <w:p w14:paraId="0C878F49">
      <w:pPr>
        <w:pStyle w:val="3"/>
        <w:pageBreakBefore w:val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实验三 全流水脉动阵列矩阵乘法器</w:t>
      </w:r>
    </w:p>
    <w:p w14:paraId="7ABD9623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1. 实验背景</w:t>
      </w:r>
    </w:p>
    <w:p w14:paraId="659A30DC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矩阵乘法用于把多组输入与多组系数进行组合，是线性变换和神经网络计算的重要基础。大语言模型的线性投影、前馈网络及注意力计算均涉及矩阵运算。硬件上，一个矩阵乘法可以分解为大量乘加操作，因此需要研究如何组织多个乘加单元，使它们持续协同工作。</w:t>
      </w:r>
    </w:p>
    <w:p w14:paraId="06D6F394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如果只复用少量算术单元顺序完成全部乘加，完成一个矩阵所需时间较长；如果简单增加算术单元而缺少数据复用与调度，则可能反复读取相同输入和权重，并让计算单元因等待数据而闲置。扩大并行规模之后，数据供应、互连和存储访问也会成为效率瓶颈。</w:t>
      </w:r>
    </w:p>
    <w:p w14:paraId="13CA4C6F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H. T. Kung与Charles E. Leiserson在20世纪70年代末提出并发展了脉动阵列思想，将规则连接的处理单元与按节拍流动的数据结合。其《Systolic Arrays for VLSI》报告初稿标注为1978年，报告编号为CMU-CS-79-103。该结构使计算与局部数据传递协调进行，为重复数值运算提供了适合VLSI实现的组织方式。[6]</w:t>
      </w:r>
    </w:p>
    <w:p w14:paraId="735C107F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固定权重脉动阵列把权重保存在处理单元内，使多批输入复用已装载的权重；输入和部分和在相邻单元之间按时钟传递，流水线则让不同数据的计算过程重叠。其优势在于规则的局部连接、权重复用和连续计算能力。实际收益取决于输入调度、阵列利用率和换权重开销，不能仅凭乘加单元数量推断持续吞吐率。</w:t>
      </w:r>
      <w:r>
        <w:t>[8]</w:t>
      </w:r>
    </w:p>
    <w:p w14:paraId="01F84E03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Google第一代TPU采用256×256规模的矩阵计算结构，是脉动阵列用于AI计算的代表性实例。[7] 本实验以4×4阵列呈现同类核心问题：计算如何映射到处理单元，输入与部分和如何对齐，以及流水线如何持续运行。对于注意力等操作数随输入变化的任务，还需要分析权重驻留的复用机会。完成本实验将为进一步学习AI芯片的存储、调度和算子组织建立基础。</w:t>
      </w:r>
    </w:p>
    <w:p w14:paraId="660584E9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2. 实验原理</w:t>
      </w:r>
    </w:p>
    <w:p w14:paraId="6D01FD3A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（1）矩阵乘法由多个点积组成。</w:t>
      </w:r>
    </w:p>
    <w:p w14:paraId="59A951FD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记权重矩阵为K、输入矩阵为X，输出为Y：</w:t>
      </w:r>
    </w:p>
    <w:p w14:paraId="22FF149B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Y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=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KX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,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y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ij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=</m:t>
          </m:r>
          <m:nary>
            <m:naryPr>
              <m:chr m:val="∑"/>
              <m:limLoc m:val="undOvr"/>
              <m:ctrlPr>
                <w:rPr>
                  <w:rFonts w:hint="default" w:ascii="Cambria Math" w:hAnsi="Cambria Math" w:eastAsia="宋体" w:cs="Times New Roman"/>
                </w:rPr>
              </m:ctrlPr>
            </m:naryPr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k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=0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  <m:sup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3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宋体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eastAsia="宋体" w:cs="Times New Roman"/>
                      <w:i/>
                    </w:rPr>
                    <m:t>K</m:t>
                  </m:r>
                  <m:ctrlPr>
                    <w:rPr>
                      <w:rFonts w:hint="default" w:ascii="Cambria Math" w:hAnsi="Cambria Math" w:eastAsia="宋体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eastAsia="宋体" w:cs="Times New Roman"/>
                      <w:i/>
                    </w:rPr>
                    <m:t>ik</m:t>
                  </m:r>
                  <m:ctrlPr>
                    <w:rPr>
                      <w:rFonts w:hint="default" w:ascii="Cambria Math" w:hAnsi="Cambria Math" w:eastAsia="宋体" w:cs="Times New Roman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eastAsia="宋体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eastAsia="宋体" w:cs="Times New Roman"/>
                      <w:i/>
                    </w:rPr>
                    <m:t>X</m:t>
                  </m:r>
                  <m:ctrlPr>
                    <w:rPr>
                      <w:rFonts w:hint="default" w:ascii="Cambria Math" w:hAnsi="Cambria Math" w:eastAsia="宋体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eastAsia="宋体" w:cs="Times New Roman"/>
                      <w:i/>
                    </w:rPr>
                    <m:t>kj</m:t>
                  </m:r>
                  <m:ctrlPr>
                    <w:rPr>
                      <w:rFonts w:hint="default" w:ascii="Cambria Math" w:hAnsi="Cambria Math" w:eastAsia="宋体" w:cs="Times New Roman"/>
                    </w:rPr>
                  </m:ctrlPr>
                </m:sub>
              </m:sSub>
              <m:ctrlPr>
                <w:rPr>
                  <w:rFonts w:hint="default" w:ascii="Cambria Math" w:hAnsi="Cambria Math" w:eastAsia="宋体" w:cs="Times New Roman"/>
                </w:rPr>
              </m:ctrlPr>
            </m:e>
          </m:nary>
        </m:oMath>
      </m:oMathPara>
    </w:p>
    <w:p w14:paraId="70F62C80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每个输出元素对应4个乘积之和，16个输出元素共需要64次标量乘法。数学上的直接求和需要48次加法；若硬件从零部分和开始组织计算，也可将其描述为64次乘加更新。性能统计应明确采用哪种计数口径。</w:t>
      </w:r>
    </w:p>
    <w:p w14:paraId="14DA71F7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（2）固定权重，让输入与部分和按节拍移动。</w:t>
      </w:r>
    </w:p>
    <w:p w14:paraId="78F6B0A3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脉动阵列由规则连接的处理单元（Processing Element，PE）组成。每个PE保存一个权重，并完成输入与权重相乘、再与传入部分和相加的操作：</w:t>
      </w:r>
    </w:p>
    <w:p w14:paraId="442D2B91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out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=</m:t>
          </m:r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p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in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+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w</m:t>
          </m:r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 xml:space="preserve"> × </m:t>
          </m:r>
          <m:r>
            <m:rPr>
              <m:nor/>
            </m:rPr>
            <w:rPr>
              <w:rFonts w:hint="default" w:ascii="Times New Roman" w:hAnsi="Times New Roman" w:eastAsia="宋体" w:cs="Times New Roman"/>
              <w:i/>
            </w:rPr>
            <m:t>x</m:t>
          </m:r>
        </m:oMath>
      </m:oMathPara>
    </w:p>
    <w:p w14:paraId="35BF5436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“固定权重”表示权重在一段计算期间驻留在PE内部，被多批输入复用；输入和部分和则通过相邻PE之间的寄存器逐拍移动。这里的部分和从前一个PE传入，不必采用每个PE在本地反复累加的方式。</w:t>
      </w:r>
    </w:p>
    <w:p w14:paraId="79D15E48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固定权重阵列可以采用如下映射：物理第k行、第i列PE保存Kᵢₖ，输入Xₖⱼ沿第k行从左向右移动，部分和沿第i列从上向下移动。顶部部分和初始化为0，最底部输出yᵢⱼ。物理第一行依次保存K₀₀、K₁₀、K₂₀、K₃₀，使权重布局与输入和部分和的数据流匹配。</w:t>
      </w:r>
    </w:p>
    <w:p w14:paraId="18FC9622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（3）流水线正确运行的关键是数据对齐。</w:t>
      </w:r>
    </w:p>
    <w:p w14:paraId="0083F6F6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相乘的输入和权重必须对应同一个求和项，传入部分和也必须属于同一个输出元素。对于上述映射，若输入横向每跨一个PE延迟一拍、部分和纵向每跨一个PE延迟一拍，则第k行输入可相对第0行延迟k拍注入。</w:t>
      </w:r>
    </w:p>
    <w:p w14:paraId="3C401114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例如，在约定的输入节拍t=j+k时，将Xₖⱼ送入第k行左边界；它到达第i列的节拍为j+k+i。该PE所需的上一行部分和也应在这一节拍到达。这个例子说明了输入错位注入的原因。实际首个输出时刻还取决于边界采样和PE内部寄存器定义，需要据此绘制完整周期表。</w:t>
      </w:r>
    </w:p>
    <w:p w14:paraId="2A123A82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阵列输出可能同样带有列间错位。由于输出接口用res[303:0]同时表示16个元素，还需要收集输出，必要时延迟对齐，并明确整组res何时有效。</w:t>
      </w:r>
    </w:p>
    <w:p w14:paraId="3CF42619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（4）区分流水线延迟与吞吐率。</w:t>
      </w:r>
    </w:p>
    <w:p w14:paraId="36414000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流水线通过寄存器把长组合路径划分为较短路径，使多组数据在不同级之间重叠处理。延迟描述一组数据从进入到完成经历多少拍；吞吐率描述单位时间能够完成多少数据。“全流水”本身不意味着每拍输出一个完整4×4矩阵。</w:t>
      </w:r>
    </w:p>
    <w:p w14:paraId="04913336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若16个PE每拍各完成一次有效乘加，则理想峰值为16次MAC/拍。一个完整矩阵乘法含64个乘积贡献，因此在这一硬件假设下，即使不计填充、排空和装载开销，平均也至少需要4拍的计算容量。实际吞吐率还受输入调度、输出收集及换权重开销影响。</w:t>
      </w:r>
    </w:p>
    <w:p w14:paraId="22EC9030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</w:rPr>
        <w:t>（5）明确位宽和装载控制。</w:t>
      </w:r>
    </w:p>
    <w:p w14:paraId="798DF165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两路128位输入分别可容纳16个8位元素。每个输出最大为：</w:t>
      </w:r>
    </w:p>
    <w:p w14:paraId="65F50756">
      <w:pPr>
        <w:jc w:val="center"/>
        <w:rPr>
          <w:rFonts w:hint="default" w:ascii="Times New Roman" w:hAnsi="Times New Roman" w:eastAsia="宋体" w:cs="Times New Roman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Times New Roman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y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b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ij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,</m:t>
              </m:r>
              <m:r>
                <m:rPr>
                  <m:nor/>
                </m:rPr>
                <w:rPr>
                  <w:rFonts w:hint="default" w:ascii="Times New Roman" w:hAnsi="Times New Roman" w:eastAsia="宋体" w:cs="Times New Roman"/>
                  <w:i/>
                </w:rPr>
                <m:t>max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eastAsia="宋体" w:cs="Times New Roman"/>
              <w:i w:val="0"/>
            </w:rPr>
            <m:t>= 4 × 255 × 255 = 260100 &lt;</m:t>
          </m:r>
          <m:sSup>
            <m:sSupPr>
              <m:ctrlPr>
                <w:rPr>
                  <w:rFonts w:hint="default" w:ascii="Cambria Math" w:hAnsi="Cambria Math" w:eastAsia="宋体" w:cs="Times New Roman"/>
                </w:rPr>
              </m:ctrlPr>
            </m:sSupPr>
            <m:e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2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e>
            <m:sup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i w:val="0"/>
                </w:rPr>
                <m:t>18</m:t>
              </m:r>
              <m:ctrlPr>
                <w:rPr>
                  <w:rFonts w:hint="default" w:ascii="Cambria Math" w:hAnsi="Cambria Math" w:eastAsia="宋体" w:cs="Times New Roman"/>
                </w:rPr>
              </m:ctrlPr>
            </m:sup>
          </m:sSup>
        </m:oMath>
      </m:oMathPara>
    </w:p>
    <w:p w14:paraId="4B150F53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因此该任务中每个结果用18位即可精确表示。输出接口res宽度为304位，按每元素19位分配，相对本实验所需的18位额外预留一位。</w:t>
      </w:r>
    </w:p>
    <w:p w14:paraId="2774715B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load=1时，停止计算并装入权重；load=0时，阵列执行流水计算。设计还需明确rst_n的复位方式及其与load的优先级。若在旧数据尚未排空时更换权重，旧部分和可能与新权重混合，因此需要约定排空后装载，或在装载时将旧计算作废并重新启动。</w:t>
      </w:r>
    </w:p>
    <w:p w14:paraId="2E1A0DD2">
      <w:pPr>
        <w:pStyle w:val="4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 实验内容和要求</w:t>
      </w:r>
    </w:p>
    <w:p w14:paraId="6C075E0C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使用Verilog实现以下模块，并结合课堂讲解完成设计。</w:t>
      </w:r>
    </w:p>
    <w:p w14:paraId="6565587B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模块接口</w:t>
      </w:r>
    </w:p>
    <w:p w14:paraId="58F8C1F0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模块名称：</w:t>
      </w:r>
      <w:r>
        <w:rPr>
          <w:rFonts w:hint="default" w:ascii="Times New Roman" w:hAnsi="Times New Roman" w:eastAsia="宋体" w:cs="Times New Roman"/>
          <w:b w:val="0"/>
          <w:sz w:val="20"/>
        </w:rPr>
        <w:t>MULT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2"/>
        <w:gridCol w:w="936"/>
        <w:gridCol w:w="4968"/>
      </w:tblGrid>
      <w:tr w14:paraId="577AE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4032" w:type="dxa"/>
            <w:shd w:val="clear" w:color="auto" w:fill="E7E7E7"/>
          </w:tcPr>
          <w:p w14:paraId="6D6DEBD5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0"/>
              </w:rPr>
              <w:t>信号</w:t>
            </w:r>
          </w:p>
        </w:tc>
        <w:tc>
          <w:tcPr>
            <w:tcW w:w="936" w:type="dxa"/>
            <w:shd w:val="clear" w:color="auto" w:fill="E7E7E7"/>
          </w:tcPr>
          <w:p w14:paraId="7D8DA235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0"/>
              </w:rPr>
              <w:t>方向</w:t>
            </w:r>
          </w:p>
        </w:tc>
        <w:tc>
          <w:tcPr>
            <w:tcW w:w="4968" w:type="dxa"/>
            <w:shd w:val="clear" w:color="auto" w:fill="E7E7E7"/>
          </w:tcPr>
          <w:p w14:paraId="61C1CFB0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0"/>
              </w:rPr>
              <w:t>说明</w:t>
            </w:r>
          </w:p>
        </w:tc>
      </w:tr>
      <w:tr w14:paraId="3CB38E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32" w:type="dxa"/>
          </w:tcPr>
          <w:p w14:paraId="5E153F77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input[127:0]</w:t>
            </w:r>
          </w:p>
        </w:tc>
        <w:tc>
          <w:tcPr>
            <w:tcW w:w="936" w:type="dxa"/>
          </w:tcPr>
          <w:p w14:paraId="1F1829D0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输入</w:t>
            </w:r>
          </w:p>
        </w:tc>
        <w:tc>
          <w:tcPr>
            <w:tcW w:w="4968" w:type="dxa"/>
          </w:tcPr>
          <w:p w14:paraId="56697D99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输入矩阵</w:t>
            </w:r>
          </w:p>
        </w:tc>
      </w:tr>
      <w:tr w14:paraId="22AEA6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32" w:type="dxa"/>
          </w:tcPr>
          <w:p w14:paraId="0210D8E6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weight[127:0]</w:t>
            </w:r>
          </w:p>
        </w:tc>
        <w:tc>
          <w:tcPr>
            <w:tcW w:w="936" w:type="dxa"/>
          </w:tcPr>
          <w:p w14:paraId="416DC7F6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输入</w:t>
            </w:r>
          </w:p>
        </w:tc>
        <w:tc>
          <w:tcPr>
            <w:tcW w:w="4968" w:type="dxa"/>
          </w:tcPr>
          <w:p w14:paraId="02D6C9AA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权重矩阵</w:t>
            </w:r>
          </w:p>
        </w:tc>
      </w:tr>
      <w:tr w14:paraId="67C722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32" w:type="dxa"/>
          </w:tcPr>
          <w:p w14:paraId="1ED85096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clk、rst_n、load</w:t>
            </w:r>
          </w:p>
        </w:tc>
        <w:tc>
          <w:tcPr>
            <w:tcW w:w="936" w:type="dxa"/>
          </w:tcPr>
          <w:p w14:paraId="23803302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输入</w:t>
            </w:r>
          </w:p>
        </w:tc>
        <w:tc>
          <w:tcPr>
            <w:tcW w:w="4968" w:type="dxa"/>
          </w:tcPr>
          <w:p w14:paraId="1782027E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时钟、复位与权重装载控制</w:t>
            </w:r>
          </w:p>
        </w:tc>
      </w:tr>
      <w:tr w14:paraId="647902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32" w:type="dxa"/>
          </w:tcPr>
          <w:p w14:paraId="21A65F68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res[303:0]</w:t>
            </w:r>
          </w:p>
        </w:tc>
        <w:tc>
          <w:tcPr>
            <w:tcW w:w="936" w:type="dxa"/>
          </w:tcPr>
          <w:p w14:paraId="54D2C902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输出</w:t>
            </w:r>
          </w:p>
        </w:tc>
        <w:tc>
          <w:tcPr>
            <w:tcW w:w="4968" w:type="dxa"/>
          </w:tcPr>
          <w:p w14:paraId="054A475C">
            <w:pPr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sz w:val="20"/>
              </w:rPr>
              <w:t>矩阵计算结果</w:t>
            </w:r>
          </w:p>
        </w:tc>
      </w:tr>
    </w:tbl>
    <w:p w14:paraId="360F917A">
      <w:pPr>
        <w:spacing w:after="0"/>
        <w:rPr>
          <w:rFonts w:hint="default" w:ascii="Times New Roman" w:hAnsi="Times New Roman" w:eastAsia="宋体" w:cs="Times New Roman"/>
        </w:rPr>
      </w:pPr>
    </w:p>
    <w:p w14:paraId="0615267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实现要求</w:t>
      </w:r>
    </w:p>
    <w:p w14:paraId="2EE16034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1. 完成两个4×4无符号整数矩阵相乘的脉动阵列矩阵乘法器。</w:t>
      </w:r>
    </w:p>
    <w:p w14:paraId="2F42BDCA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2. 采用固定权重、输入输出流动的方式。</w:t>
      </w:r>
    </w:p>
    <w:p w14:paraId="01978D89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3. 矩阵乘法器要求采用流水线结构。</w:t>
      </w:r>
    </w:p>
    <w:p w14:paraId="3D1CD3ED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4. Load置0时，阵列正常执行流水线计算；Load置1时，阵列停止计算，将权重导入阵列。</w:t>
      </w:r>
    </w:p>
    <w:p w14:paraId="08C18F35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接口中的 input 表示输入数据总线；由于 input 为Verilog关键字，代码中应使用 input_data 等合法标识符。矩阵总线的元素排列、复位方式、输入接收节拍及输出有效时刻应在设计中明确说明。</w:t>
      </w:r>
    </w:p>
    <w:p w14:paraId="3881FB89">
      <w:pPr>
        <w:pStyle w:val="3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参考资料</w:t>
      </w:r>
    </w:p>
    <w:p w14:paraId="2335C1F5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以下列出正文引用的全部资料及完整网址。</w:t>
      </w:r>
    </w:p>
    <w:p w14:paraId="2BA2FE3A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[1] Google TPU介绍</w:t>
      </w:r>
    </w:p>
    <w:p w14:paraId="33F8E84B">
      <w:pPr>
        <w:spacing w:after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https://cloud.google.com/tpu</w:t>
      </w:r>
    </w:p>
    <w:p w14:paraId="0268DA55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[2] Kogge与Stone原论文</w:t>
      </w:r>
    </w:p>
    <w:p w14:paraId="152C2A6F">
      <w:pPr>
        <w:spacing w:after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https://gwern.net/doc/cs/algorithm/1973-kogge.pdf</w:t>
      </w:r>
    </w:p>
    <w:p w14:paraId="0B4099E9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[3] Brent–Kung原论文</w:t>
      </w:r>
    </w:p>
    <w:p w14:paraId="49871DFD">
      <w:pPr>
        <w:spacing w:after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https://www.eecs.harvard.edu/~htk/publication/1982-ton-brent-kung.pdf</w:t>
      </w:r>
    </w:p>
    <w:p w14:paraId="58C9AAD7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[4] Wallace论文记录与原文入口</w:t>
      </w:r>
    </w:p>
    <w:p w14:paraId="0A8A95BA">
      <w:pPr>
        <w:spacing w:after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https://ieeemilestones.ethw.org/File:A_suggestion_for_a_fast_multiplier.pdf</w:t>
      </w:r>
    </w:p>
    <w:p w14:paraId="0519406C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[5] TPU原论文</w:t>
      </w:r>
    </w:p>
    <w:p w14:paraId="45394C28">
      <w:pPr>
        <w:spacing w:after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https://arxiv.org/abs/1704.04760</w:t>
      </w:r>
    </w:p>
    <w:p w14:paraId="58643976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[6] Kung与Leiserson原报告</w:t>
      </w:r>
    </w:p>
    <w:p w14:paraId="5E81DAF9">
      <w:pPr>
        <w:spacing w:after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https://www.eecs.harvard.edu/htk/static/files/1978-cmu-cs-report-kung-leiserson.pdf</w:t>
      </w:r>
    </w:p>
    <w:p w14:paraId="2AAF1C2A">
      <w:pPr>
        <w:keepNext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[7] Google第一代TPU架构说明</w:t>
      </w:r>
    </w:p>
    <w:p w14:paraId="09A3856C">
      <w:pPr>
        <w:spacing w:after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https://cloud.google.com/blog/products/ai-machine-learning/an-in-depth-look-at-googles-first-tensor-processing-unit-tpu</w:t>
      </w:r>
    </w:p>
    <w:p>
      <w:r>
        <w:t>[8] 脉动阵列架构图解（Telesens）</w:t>
      </w:r>
    </w:p>
    <w:p>
      <w:r>
        <w:t>https://telesens.co/2018/07/30/systolic-architectures/</w:t>
      </w:r>
    </w:p>
    <w:sectPr>
      <w:headerReference r:id="rId5" w:type="default"/>
      <w:footerReference r:id="rId6" w:type="default"/>
      <w:pgSz w:w="12240" w:h="15840"/>
      <w:pgMar w:top="1080" w:right="1152" w:bottom="1080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1028A3"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21AFC9">
    <w:r>
      <w:rPr>
        <w:sz w:val="18"/>
      </w:rPr>
      <w:t>数字计算系统实验  |  Verilog实现全流水矩阵乘法器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51B7031"/>
    <w:rsid w:val="510A7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20" w:line="30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20" w:line="30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80" w:after="120" w:line="30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after="120" w:line="300" w:lineRule="auto"/>
      <w:contextualSpacing/>
    </w:pPr>
    <w:rPr>
      <w:rFonts w:ascii="Times New Roman" w:hAnsi="Times New Roman" w:eastAsia="宋体"/>
      <w:color w:val="000000"/>
      <w:sz w:val="22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pPr>
      <w:spacing w:after="120" w:line="300" w:lineRule="auto"/>
    </w:pPr>
    <w:rPr>
      <w:rFonts w:asciiTheme="majorHAnsi" w:hAnsiTheme="majorHAnsi" w:eastAsiaTheme="majorEastAsia" w:cstheme="majorBidi"/>
      <w:i/>
      <w:iCs/>
      <w:color w:val="000000"/>
      <w:spacing w:val="15"/>
      <w:sz w:val="22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280" w:after="120" w:line="30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1144</Words>
  <Characters>1232</Characters>
  <Lines>0</Lines>
  <Paragraphs>0</Paragraphs>
  <TotalTime>0</TotalTime>
  <ScaleCrop>false</ScaleCrop>
  <LinksUpToDate>false</LinksUpToDate>
  <CharactersWithSpaces>1246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张梁</cp:lastModifiedBy>
  <dcterms:modified xsi:type="dcterms:W3CDTF">2026-09-11T10:11:20Z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eyJoZGlkIjoiNmQyNmY0YTEwNGJjZGI3ZWY4ZTJiMmM0MjM5NDA0MDEiLCJ1c2VySWQiOiI1OTUwMTc0OTQifQ==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8CEB6BBA2E214214ABC508915EDFB661_12</vt:lpwstr>
  </property>
</Properties>
</file>