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19772">
      <w:pPr>
        <w:pStyle w:val="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Verilog实现全流水矩阵乘法器</w:t>
      </w:r>
    </w:p>
    <w:p w14:paraId="3B086A50">
      <w:pPr>
        <w:pStyle w:val="2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实验手册</w:t>
      </w:r>
    </w:p>
    <w:p w14:paraId="00B7C26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北航集成电路科学与工程学院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授课教师：康旺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助教：寇竞、张梁、姜河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2026年3月30日</w:t>
      </w:r>
    </w:p>
    <w:p w14:paraId="04D39445">
      <w:pPr>
        <w:pStyle w:val="3"/>
        <w:pageBreakBefore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课程背景与学习路径</w:t>
      </w:r>
    </w:p>
    <w:p w14:paraId="5970015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字处理器通过算术电路完成数据运算，AI芯片则进一步将大量算术单元组织起来，高效执行神经网络中的矩阵乘法和张量运算。无论是通用处理器中的算术逻辑单元，还是数字信号处理器中的乘加数据通路，都离不开加法、乘法及其组合。理解这些模块，才能进一步理解芯片为什么能够高速计算，以及性能、面积和功耗之间为什么需要权衡。</w:t>
      </w:r>
    </w:p>
    <w:p w14:paraId="7E54FBB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大语言模型中的线性投影、前馈网络和注意力矩阵计算，为学习矩阵运算硬件提供了直接背景。Google公开资料将矩阵乘法单元和脉动阵列列为TPU的重要组成部分，说明这类结构具有实际产业应用价值。[1]</w:t>
      </w:r>
    </w:p>
    <w:p w14:paraId="09B9ABB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课程按照“加法器→乘法器→矩阵计算阵列”的路径展开：第一个实验解决二进制加法中的进位传播问题；第二个实验利用部分积压缩和快速加法实现整数乘法；第三个实验将乘加运算映射到带寄存器的处理单元阵列，通过流水线和数据复用完成矩阵计算。三个实验分别对应位级运算、算术模块和阵列架构三个层次，是入门数字处理器、DSP和AI计算芯片的重要基础。</w:t>
      </w:r>
    </w:p>
    <w:p w14:paraId="5F09EF3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条学习路径既训练Verilog描述与仿真验证能力，也培养从算法到硬件的设计思维：同样一个数学表达式，可以对应不同的电路结构；电路能否算对、能否在目标时钟下运行、能否连续处理数据，是相互关联但需要分别验证的问题。</w:t>
      </w:r>
    </w:p>
    <w:p w14:paraId="6DB43F50">
      <w:pPr>
        <w:pStyle w:val="3"/>
        <w:pageBreakBefore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实验一 并行前缀进位加法器</w:t>
      </w:r>
    </w:p>
    <w:p w14:paraId="0E3125F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实验背景</w:t>
      </w:r>
      <w:bookmarkStart w:id="0" w:name="_GoBack"/>
      <w:bookmarkEnd w:id="0"/>
    </w:p>
    <w:p w14:paraId="5D8C8BA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加法器用于完成二进制数的求和，是数字处理器算术运算、地址计算以及乘加单元累加路径中的基本电路。在AI计算中，点积需要把多个乘积相加，因此加法器的速度和硬件开销也会影响整个乘加数据通路。</w:t>
      </w:r>
    </w:p>
    <w:p w14:paraId="31432CF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直接的实现是串行进位加法器：将多个全加器级联，每一级把进位送给更高一位。该结构连接简单，但在最坏情况下，高位结果必须等待进位从最低位逐级传来，进位路径随位宽增长而变长。对于需要较高工作频率的处理器和计算单元，这种串行依赖可能成为关键路径。</w:t>
      </w:r>
    </w:p>
    <w:p w14:paraId="365677F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为缩短进位计算的等待时间，可以先描述各位产生和传播进位的条件，再利用具有结合律的区间合并运算，将逐位递推重组为树形前缀网络。Peter M. Kogge与Harold S. Stone于1973年发表的递归倍增研究，是Kogge–Stone结构的重要理论来源。[2]</w:t>
      </w:r>
    </w:p>
    <w:p w14:paraId="3D5C3EE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并行前缀加法器能够将进位计算的逻辑深度由随位宽线性增长，降低为对数级增长。其代价是增加部分逻辑节点和连线，因此不同结构需要在速度、面积、扇出和布线之间取舍。Brent与Kung的工作进一步强调规则布局与面积因素。[3]</w:t>
      </w:r>
    </w:p>
    <w:p w14:paraId="3CA7238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本实验通过19位加法器设计，学习如何把串行数据依赖转换为并行电路，并为后续乘法器的最终求和提供可复用模块。实际性能仍需结合综合与时序结果判断；较少的理论层数并不保证在所有工艺或FPGA上都更快。</w:t>
      </w:r>
    </w:p>
    <w:p w14:paraId="6A3ABA7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实验原理</w:t>
      </w:r>
    </w:p>
    <w:p w14:paraId="056DD95E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（1）加法器为什么需要优化进位？</w:t>
      </w:r>
    </w:p>
    <w:p w14:paraId="6754017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设两个19位输入为A、B，输入进位为cin。加法器计算：</w:t>
      </w:r>
    </w:p>
    <w:p w14:paraId="04367312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{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cout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,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sum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[18:0]} =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cin</m:t>
          </m:r>
        </m:oMath>
      </m:oMathPara>
    </w:p>
    <w:p w14:paraId="3AFCDF9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最低位编号为0，令c₀=cin。对第i位定义进位产生信号和传播信号：</w:t>
      </w:r>
    </w:p>
    <w:p w14:paraId="7D522DA3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a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b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a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⊕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b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</m:oMath>
      </m:oMathPara>
    </w:p>
    <w:p w14:paraId="35BD029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于是：</w:t>
      </w:r>
    </w:p>
    <w:p w14:paraId="5743BB41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+1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s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⊕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</m:oMath>
      </m:oMathPara>
    </w:p>
    <w:p w14:paraId="198C77F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gᵢ=1表示该位直接产生进位，pᵢ=1表示该位把输入进位向高位传播。串行进位加法器逐位计算cᵢ，高位结果可能需要等待低位进位依次传递。随着位宽增加，这条依赖链会成为速度瓶颈。</w:t>
      </w:r>
    </w:p>
    <w:p w14:paraId="0E280352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（2）将逐位递推变成树形并行计算。</w:t>
      </w:r>
    </w:p>
    <w:p w14:paraId="070A798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对从j到i的一段二进制位，定义区间产生信号Gᵢ:ⱼ和区间传播信号Pᵢ:ⱼ，使其满足：</w:t>
      </w:r>
    </w:p>
    <w:p w14:paraId="7F5AAEDE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+1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: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j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: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j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c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j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</m:t>
          </m:r>
        </m:oMath>
      </m:oMathPara>
    </w:p>
    <w:p w14:paraId="0B9E0C9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相邻高位区间与低位区间可以合并：</w:t>
      </w:r>
    </w:p>
    <w:p w14:paraId="2313FC55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 ∘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 =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G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H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L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</m:t>
          </m:r>
        </m:oMath>
      </m:oMathPara>
    </w:p>
    <w:p w14:paraId="676E76D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该运算具有结合律，因此可用树形网络同时计算多个前缀区间。得到每个Gᵢ:₀、Pᵢ:₀后，就能结合cin求出各位进位，最后生成sum与cout。这里的“并行”是指电路空间上的并行计算。</w:t>
      </w:r>
    </w:p>
    <w:p w14:paraId="082037B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按距离倍增的Kogge–Stone网络为例，19位输入的合并距离依次为1、2、4、8、16，共5层前缀合并。对不满足合并条件的低位节点，直接传递上一层结果。前缀合并层数不等于完整电路的门级延迟，输入预处理、最终求和及连线也会影响实际时序。</w:t>
      </w:r>
    </w:p>
    <w:p w14:paraId="67DE4A43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（3）不同前缀结构体现不同设计取舍。</w:t>
      </w:r>
    </w:p>
    <w:p w14:paraId="29D514B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klansky、Kogge–Stone、Brent–Kung和Han–Carlson都围绕同一进位合并运算组织网络，但节点数量、逻辑深度、扇出和连线方式不同。前缀设计的价值在于缩短进位依赖路径，同时必须考虑硬件开销。Brent与Kung的经典工作尤其强调规则布局和面积因素。[3]</w:t>
      </w:r>
    </w:p>
    <w:p w14:paraId="593EA6A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要求采用组合逻辑，因而不能在模块内部加入时钟寄存器。组合逻辑仍有传播延迟；“没有时钟输入”不意味着结果瞬时产生。19也不是2的整数次幂，设计时应特别检查最高位附近的前缀连接以及数组索引边界。</w:t>
      </w:r>
    </w:p>
    <w:p w14:paraId="478C8E98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实验内容和要求</w:t>
      </w:r>
    </w:p>
    <w:p w14:paraId="0D1F045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使用Verilog实现以下模块，并结合课堂讲解完成设计。</w:t>
      </w:r>
    </w:p>
    <w:p w14:paraId="3CB0DCFC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模块接口</w:t>
      </w:r>
    </w:p>
    <w:p w14:paraId="26B1D2F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模块名称：</w:t>
      </w:r>
      <w:r>
        <w:rPr>
          <w:rFonts w:hint="default" w:ascii="Times New Roman" w:hAnsi="Times New Roman" w:eastAsia="宋体" w:cs="Times New Roman"/>
          <w:b w:val="0"/>
          <w:sz w:val="20"/>
        </w:rPr>
        <w:t>ADDER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936"/>
        <w:gridCol w:w="4968"/>
      </w:tblGrid>
      <w:tr w14:paraId="335C7A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32" w:type="dxa"/>
            <w:shd w:val="clear" w:color="auto" w:fill="E7E7E7"/>
          </w:tcPr>
          <w:p w14:paraId="0912142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信号</w:t>
            </w:r>
          </w:p>
        </w:tc>
        <w:tc>
          <w:tcPr>
            <w:tcW w:w="936" w:type="dxa"/>
            <w:shd w:val="clear" w:color="auto" w:fill="E7E7E7"/>
          </w:tcPr>
          <w:p w14:paraId="0E65D1E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方向</w:t>
            </w:r>
          </w:p>
        </w:tc>
        <w:tc>
          <w:tcPr>
            <w:tcW w:w="4968" w:type="dxa"/>
            <w:shd w:val="clear" w:color="auto" w:fill="E7E7E7"/>
          </w:tcPr>
          <w:p w14:paraId="731A37C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说明</w:t>
            </w:r>
          </w:p>
        </w:tc>
      </w:tr>
      <w:tr w14:paraId="77E659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0F1FF52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in1[18:0]、in2[18:0]</w:t>
            </w:r>
          </w:p>
        </w:tc>
        <w:tc>
          <w:tcPr>
            <w:tcW w:w="936" w:type="dxa"/>
          </w:tcPr>
          <w:p w14:paraId="4B90BD9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423FF89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两个19位操作数</w:t>
            </w:r>
          </w:p>
        </w:tc>
      </w:tr>
      <w:tr w14:paraId="1D658D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7386E3D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cin</w:t>
            </w:r>
          </w:p>
        </w:tc>
        <w:tc>
          <w:tcPr>
            <w:tcW w:w="936" w:type="dxa"/>
          </w:tcPr>
          <w:p w14:paraId="483DAC8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30BB96C1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输入进位</w:t>
            </w:r>
          </w:p>
        </w:tc>
      </w:tr>
      <w:tr w14:paraId="0A7E7A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437DFBF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sum[18:0]</w:t>
            </w:r>
          </w:p>
        </w:tc>
        <w:tc>
          <w:tcPr>
            <w:tcW w:w="936" w:type="dxa"/>
          </w:tcPr>
          <w:p w14:paraId="144356F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</w:t>
            </w:r>
          </w:p>
        </w:tc>
        <w:tc>
          <w:tcPr>
            <w:tcW w:w="4968" w:type="dxa"/>
          </w:tcPr>
          <w:p w14:paraId="1E96765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19位和</w:t>
            </w:r>
          </w:p>
        </w:tc>
      </w:tr>
      <w:tr w14:paraId="39956D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8AD2D3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cout</w:t>
            </w:r>
          </w:p>
        </w:tc>
        <w:tc>
          <w:tcPr>
            <w:tcW w:w="936" w:type="dxa"/>
          </w:tcPr>
          <w:p w14:paraId="510441F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</w:t>
            </w:r>
          </w:p>
        </w:tc>
        <w:tc>
          <w:tcPr>
            <w:tcW w:w="4968" w:type="dxa"/>
          </w:tcPr>
          <w:p w14:paraId="20C15C3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输出进位</w:t>
            </w:r>
          </w:p>
        </w:tc>
      </w:tr>
    </w:tbl>
    <w:p w14:paraId="59DA88D3">
      <w:pPr>
        <w:spacing w:after="0"/>
        <w:rPr>
          <w:rFonts w:hint="default" w:ascii="Times New Roman" w:hAnsi="Times New Roman" w:eastAsia="宋体" w:cs="Times New Roman"/>
        </w:rPr>
      </w:pPr>
    </w:p>
    <w:p w14:paraId="0E6C95A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实现要求</w:t>
      </w:r>
    </w:p>
    <w:p w14:paraId="7CB7F55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完成19位的并行前缀进位加法器。</w:t>
      </w:r>
    </w:p>
    <w:p w14:paraId="319F5B8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Sklansky、Kogge–Stone、Brent–Kung、Han–Carlson结构均可。</w:t>
      </w:r>
    </w:p>
    <w:p w14:paraId="30E1BCB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必须采用组合逻辑，模块输入没有时钟信号。</w:t>
      </w:r>
    </w:p>
    <w:p w14:paraId="0B646FFC">
      <w:pPr>
        <w:pStyle w:val="3"/>
        <w:pageBreakBefore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实验二 移位相加乘法器</w:t>
      </w:r>
    </w:p>
    <w:p w14:paraId="18FE4E5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实验背景</w:t>
      </w:r>
    </w:p>
    <w:p w14:paraId="3B4280A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乘法器用于计算两个数的乘积，是数字滤波、相关计算和矩阵运算中的基本算术模块。神经网络的点积运算需要重复执行输入与权重相乘，再累加乘积，因此整数乘法器是理解数字信号处理器和低精度AI计算单元的重要起点。</w:t>
      </w:r>
    </w:p>
    <w:p w14:paraId="61344DC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进制乘法可展开为多个移位部分积之和。若逐个累加部分积，或者把多个普通进位传播加法器串接起来，计算就需要经历多轮求和及进位传播。前者在迭代实现中限制吞吐率，后者在组合实现中形成较长的关键路径。问题的核心在于：多个操作数相加时，没有必要在每一步都立即算出完整的二进制和。</w:t>
      </w:r>
    </w:p>
    <w:p w14:paraId="3D73FA2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C. S. Wallace于1964年提出经典的快速乘法方法，使用树形压缩归约部分积。进位保存加法器把三个操作数压缩为两个向量，在压缩层内保留进位而不进行全字长进位传播；重复压缩后，再由一个快速加法器完成最终求和。[4]</w:t>
      </w:r>
    </w:p>
    <w:p w14:paraId="413B3BA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这种方法通过并行压缩减少求和的串行依赖，使部分积压缩深度按对数级增长。其优势是能够缩短乘法数据通路，代价则包括压缩单元和互连资源。它与并行前缀加法器形成分工：前者减少操作数数量，后者加速最终两个操作数的进位计算。</w:t>
      </w:r>
    </w:p>
    <w:p w14:paraId="39A3352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本实验以8位无符号整数为对象，将部分积生成、Wallace树压缩和快速加法连接起来。第一代Google TPU的公开论文描述了包含65,536个8位乘加单元的矩阵计算核心，说明低位宽算术具有实际AI推理应用价值；该资料并不据此证明其内部采用本实验指定的乘法器拓扑。[5] 实验中的UINT8运算是基础形式，扩展到量化模型时还需处理符号、缩放因子和零点等数值规则。</w:t>
      </w:r>
    </w:p>
    <w:p w14:paraId="2B881CD5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实验原理</w:t>
      </w:r>
    </w:p>
    <w:p w14:paraId="271AE855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（1）从二进制展开得到部分积。</w:t>
      </w:r>
    </w:p>
    <w:p w14:paraId="7664348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令A、B为8位无符号整数，B的第j位为bⱼ，则：</w:t>
      </w:r>
    </w:p>
    <w:p w14:paraId="26C77BD3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A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×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B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j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=0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7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(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 xml:space="preserve"> ×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b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j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)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j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</m:oMath>
      </m:oMathPara>
    </w:p>
    <w:p w14:paraId="2E685C6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由于bⱼ只能取0或1，每个部分积只需按位与操作和固定移位即可生成：bⱼ为0时该行全0，为1时该行为A左移j位后的值。移位必须在足够宽的无符号信号上进行，避免中间表达式提前截断。</w:t>
      </w:r>
    </w:p>
    <w:p w14:paraId="2D56965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本实验并行生成8个部分积，并通过Wallace树完成压缩。</w:t>
      </w:r>
    </w:p>
    <w:p w14:paraId="4034E98C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（2）用进位保存加法器压缩多个操作数。</w:t>
      </w:r>
    </w:p>
    <w:p w14:paraId="18CAAED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若直接串接普通加法器，每次求和都需要传播进位。进位保存加法器（Carry-Save Adder，CSA）则把三个输入压缩成两个输出，暂时保留进位。对相同位权的xᵢ、yᵢ、zᵢ：</w:t>
      </w:r>
    </w:p>
    <w:p w14:paraId="13496011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s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x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⊕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⊕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z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</m:oMath>
      </m:oMathPara>
    </w:p>
    <w:p w14:paraId="147C6061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q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x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 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x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z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 ∨ (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∧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z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</m:t>
          </m:r>
        </m:oMath>
      </m:oMathPara>
    </w:p>
    <w:p w14:paraId="7C1ECFA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在保留最高位进位的前提下，向量满足：</w:t>
      </w:r>
    </w:p>
    <w:p w14:paraId="465308FD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=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S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+ 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Q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≪ 1)</m:t>
          </m:r>
        </m:oMath>
      </m:oMathPara>
    </w:p>
    <w:p w14:paraId="086ABCB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S保存本位的和，Q左移一位后表示应计入高一位的进位。一个CSA层内，各位不需要等待相邻低位进位，因此可以并行工作。实现中必须统一约定：若CSA已经输出左移后的进位向量，下一级不能再次移位。</w:t>
      </w:r>
    </w:p>
    <w:p w14:paraId="0FF192D7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（3）Wallace树压缩，再完成最终加法。</w:t>
      </w:r>
    </w:p>
    <w:p w14:paraId="04B0C3E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Wallace树逐层把同权位上的多个比特压缩，直到只剩两个待加向量。采用向量级CSA组织压缩树时，操作数数量依次变化：</w:t>
      </w:r>
    </w:p>
    <w:p w14:paraId="39282A99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8 → 6 → 4 → 3 → 2</m:t>
          </m:r>
        </m:oMath>
      </m:oMathPara>
    </w:p>
    <w:p w14:paraId="19AEF8C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足三个的剩余向量直接送入下一层。最后两项使用实验一的19位并行前缀加法器完成相加，cin置0，并对输入进行必要的零扩展。两种电路分工明确：CSA树减少待加操作数的数量，前缀加法器完成最终的进位传播。</w:t>
      </w:r>
    </w:p>
    <w:p w14:paraId="70D1FFC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8位无符号乘法的最大结果为255×255=65025，小于2¹⁶，因此完整乘积可以用16位表示。内部接入19位加法器便于模块复用，但仍需保证压缩和扩展过程正确；正确结果的第16位以上应为0。</w:t>
      </w:r>
    </w:p>
    <w:p w14:paraId="36E4857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实验内容和要求</w:t>
      </w:r>
    </w:p>
    <w:p w14:paraId="16502EB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使用Verilog实现以下模块，并结合课堂讲解完成设计。</w:t>
      </w:r>
    </w:p>
    <w:p w14:paraId="06E6A44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模块接口</w:t>
      </w:r>
    </w:p>
    <w:p w14:paraId="55DE92F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模块名称：</w:t>
      </w:r>
      <w:r>
        <w:rPr>
          <w:rFonts w:hint="default" w:ascii="Times New Roman" w:hAnsi="Times New Roman" w:eastAsia="宋体" w:cs="Times New Roman"/>
          <w:b w:val="0"/>
          <w:sz w:val="20"/>
        </w:rPr>
        <w:t>MULT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936"/>
        <w:gridCol w:w="4968"/>
      </w:tblGrid>
      <w:tr w14:paraId="3D5A3B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32" w:type="dxa"/>
            <w:shd w:val="clear" w:color="auto" w:fill="E7E7E7"/>
          </w:tcPr>
          <w:p w14:paraId="3C7A792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信号</w:t>
            </w:r>
          </w:p>
        </w:tc>
        <w:tc>
          <w:tcPr>
            <w:tcW w:w="936" w:type="dxa"/>
            <w:shd w:val="clear" w:color="auto" w:fill="E7E7E7"/>
          </w:tcPr>
          <w:p w14:paraId="1D38244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方向</w:t>
            </w:r>
          </w:p>
        </w:tc>
        <w:tc>
          <w:tcPr>
            <w:tcW w:w="4968" w:type="dxa"/>
            <w:shd w:val="clear" w:color="auto" w:fill="E7E7E7"/>
          </w:tcPr>
          <w:p w14:paraId="66C716D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说明</w:t>
            </w:r>
          </w:p>
        </w:tc>
      </w:tr>
      <w:tr w14:paraId="2D3E64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662BDCE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in1[7:0]、in2[7:0]</w:t>
            </w:r>
          </w:p>
        </w:tc>
        <w:tc>
          <w:tcPr>
            <w:tcW w:w="936" w:type="dxa"/>
          </w:tcPr>
          <w:p w14:paraId="5FD9EA4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5539745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两个8位无符号整数</w:t>
            </w:r>
          </w:p>
        </w:tc>
      </w:tr>
      <w:tr w14:paraId="2E0DF5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FE742E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res[15:0]</w:t>
            </w:r>
          </w:p>
        </w:tc>
        <w:tc>
          <w:tcPr>
            <w:tcW w:w="936" w:type="dxa"/>
          </w:tcPr>
          <w:p w14:paraId="0506DB8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</w:t>
            </w:r>
          </w:p>
        </w:tc>
        <w:tc>
          <w:tcPr>
            <w:tcW w:w="4968" w:type="dxa"/>
          </w:tcPr>
          <w:p w14:paraId="51289CF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16位乘积</w:t>
            </w:r>
          </w:p>
        </w:tc>
      </w:tr>
    </w:tbl>
    <w:p w14:paraId="758138BA">
      <w:pPr>
        <w:spacing w:after="0"/>
        <w:rPr>
          <w:rFonts w:hint="default" w:ascii="Times New Roman" w:hAnsi="Times New Roman" w:eastAsia="宋体" w:cs="Times New Roman"/>
        </w:rPr>
      </w:pPr>
    </w:p>
    <w:p w14:paraId="63AA516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实现要求</w:t>
      </w:r>
    </w:p>
    <w:p w14:paraId="493C218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完成8位无符号整数的移位相加乘法器。</w:t>
      </w:r>
    </w:p>
    <w:p w14:paraId="748E257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8个部分积的相加采用华莱士树结构运算。</w:t>
      </w:r>
    </w:p>
    <w:p w14:paraId="7AF39A5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华莱士树压缩后的2个部分和，采用Level1设计的并行前缀进位加法器完成。</w:t>
      </w:r>
    </w:p>
    <w:p w14:paraId="0C878F49">
      <w:pPr>
        <w:pStyle w:val="3"/>
        <w:pageBreakBefore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实验三 全流水脉动阵列矩阵乘法器</w:t>
      </w:r>
    </w:p>
    <w:p w14:paraId="7ABD962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实验背景</w:t>
      </w:r>
    </w:p>
    <w:p w14:paraId="659A30D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矩阵乘法用于把多组输入与多组系数进行组合，是线性变换和神经网络计算的重要基础。大语言模型的线性投影、前馈网络及注意力计算均涉及矩阵运算。硬件上，一个矩阵乘法可以分解为大量乘加操作，因此需要研究如何组织多个乘加单元，使它们持续协同工作。</w:t>
      </w:r>
    </w:p>
    <w:p w14:paraId="06D6F39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只复用少量算术单元顺序完成全部乘加，完成一个矩阵所需时间较长；如果简单增加算术单元而缺少数据复用与调度，则可能反复读取相同输入和权重，并让计算单元因等待数据而闲置。扩大并行规模之后，数据供应、互连和存储访问也会成为效率瓶颈。</w:t>
      </w:r>
    </w:p>
    <w:p w14:paraId="13CA4C6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H. T. Kung与Charles E. Leiserson在20世纪70年代末提出并发展了脉动阵列思想，将规则连接的处理单元与按节拍流动的数据结合。其《Systolic Arrays for VLSI》报告初稿标注为1978年，报告编号为CMU-CS-79-103。该结构使计算与局部数据传递协调进行，为重复数值运算提供了适合VLSI实现的组织方式。[6]</w:t>
      </w:r>
    </w:p>
    <w:p w14:paraId="735C107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固定权重脉动阵列把权重保存在处理单元内，使多批输入复用已装载的权重；输入和部分和在相邻单元之间按时钟传递，流水线则让不同数据的计算过程重叠。其优势在于规则的局部连接、权重复用和连续计算能力。实际收益取决于输入调度、阵列利用率和换权重开销，不能仅凭乘加单元数量推断持续吞吐率。</w:t>
      </w:r>
    </w:p>
    <w:p w14:paraId="01F84E0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Google第一代TPU采用256×256规模的矩阵计算结构，是脉动阵列用于AI计算的代表性实例。[7] 本实验以4×4阵列呈现同类核心问题：计算如何映射到处理单元，输入与部分和如何对齐，以及流水线如何持续运行。对于注意力等操作数随输入变化的任务，还需要分析权重驻留的复用机会。完成本实验将为进一步学习AI芯片的存储、调度和算子组织建立基础。</w:t>
      </w:r>
    </w:p>
    <w:p w14:paraId="660584E9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实验原理</w:t>
      </w:r>
    </w:p>
    <w:p w14:paraId="6D01FD3A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（1）矩阵乘法由多个点积组成。</w:t>
      </w:r>
    </w:p>
    <w:p w14:paraId="59A951F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记权重矩阵为K、输入矩阵为X，输出为Y：</w:t>
      </w:r>
    </w:p>
    <w:p w14:paraId="22FF149B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Y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=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KX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ij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=0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3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ik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kj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</m:oMath>
      </m:oMathPara>
    </w:p>
    <w:p w14:paraId="70F62C8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每个输出元素对应4个乘积之和，16个输出元素共需要64次标量乘法。数学上的直接求和需要48次加法；若硬件从零部分和开始组织计算，也可将其描述为64次乘加更新。性能统计应明确采用哪种计数口径。</w:t>
      </w:r>
    </w:p>
    <w:p w14:paraId="14DA71F7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（2）固定权重，让输入与部分和按节拍移动。</w:t>
      </w:r>
    </w:p>
    <w:p w14:paraId="78F6B0A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脉动阵列由规则连接的处理单元（Processing Element，PE）组成。每个PE保存一个权重，并完成输入与权重相乘、再与传入部分和相加的操作：</w:t>
      </w:r>
    </w:p>
    <w:p w14:paraId="442D2B91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out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p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in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+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 xml:space="preserve"> × 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x</m:t>
          </m:r>
        </m:oMath>
      </m:oMathPara>
    </w:p>
    <w:p w14:paraId="35BF543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“固定权重”表示权重在一段计算期间驻留在PE内部，被多批输入复用；输入和部分和则通过相邻PE之间的寄存器逐拍移动。这里的部分和从前一个PE传入，不必采用每个PE在本地反复累加的方式。</w:t>
      </w:r>
    </w:p>
    <w:p w14:paraId="79D15E4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固定权重阵列可以采用如下映射：物理第k行、第i列PE保存Kᵢₖ，输入Xₖⱼ沿第k行从左向右移动，部分和沿第i列从上向下移动。顶部部分和初始化为0，最底部输出yᵢⱼ。物理第一行依次保存K₀₀、K₁₀、K₂₀、K₃₀，使权重布局与输入和部分和的数据流匹配。</w:t>
      </w:r>
    </w:p>
    <w:p w14:paraId="18FC9622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（3）流水线正确运行的关键是数据对齐。</w:t>
      </w:r>
    </w:p>
    <w:p w14:paraId="0083F6F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相乘的输入和权重必须对应同一个求和项，传入部分和也必须属于同一个输出元素。对于上述映射，若输入横向每跨一个PE延迟一拍、部分和纵向每跨一个PE延迟一拍，则第k行输入可相对第0行延迟k拍注入。</w:t>
      </w:r>
    </w:p>
    <w:p w14:paraId="3C40111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例如，在约定的输入节拍t=j+k时，将Xₖⱼ送入第k行左边界；它到达第i列的节拍为j+k+i。该PE所需的上一行部分和也应在这一节拍到达。这个例子说明了输入错位注入的原因。实际首个输出时刻还取决于边界采样和PE内部寄存器定义，需要据此绘制完整周期表。</w:t>
      </w:r>
    </w:p>
    <w:p w14:paraId="2A123A8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阵列输出可能同样带有列间错位。由于输出接口用res[303:0]同时表示16个元素，还需要收集输出，必要时延迟对齐，并明确整组res何时有效。</w:t>
      </w:r>
    </w:p>
    <w:p w14:paraId="3CF42619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（4）区分流水线延迟与吞吐率。</w:t>
      </w:r>
    </w:p>
    <w:p w14:paraId="364140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流水线通过寄存器把长组合路径划分为较短路径，使多组数据在不同级之间重叠处理。延迟描述一组数据从进入到完成经历多少拍；吞吐率描述单位时间能够完成多少数据。“全流水”本身不意味着每拍输出一个完整4×4矩阵。</w:t>
      </w:r>
    </w:p>
    <w:p w14:paraId="0491333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若16个PE每拍各完成一次有效乘加，则理想峰值为16次MAC/拍。一个完整矩阵乘法含64个乘积贡献，因此在这一硬件假设下，即使不计填充、排空和装载开销，平均也至少需要4拍的计算容量。实际吞吐率还受输入调度、输出收集及换权重开销影响。</w:t>
      </w:r>
    </w:p>
    <w:p w14:paraId="22EC9030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（5）明确位宽和装载控制。</w:t>
      </w:r>
    </w:p>
    <w:p w14:paraId="798DF16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两路128位输入分别可容纳16个8位元素。每个输出最大为：</w:t>
      </w:r>
    </w:p>
    <w:p w14:paraId="65F50756">
      <w:pPr>
        <w:jc w:val="center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y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ij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,</m:t>
              </m:r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max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= 4 × 255 × 255 = 260100 &lt;</m:t>
          </m:r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</w:rPr>
                <m:t>18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</m:oMath>
      </m:oMathPara>
    </w:p>
    <w:p w14:paraId="4B150F5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因此该任务中每个结果用18位即可精确表示。输出接口res宽度为304位，按每元素19位分配，相对本实验所需的18位额外预留一位。</w:t>
      </w:r>
    </w:p>
    <w:p w14:paraId="2774715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oad=1时，停止计算并装入权重；load=0时，阵列执行流水计算。设计还需明确rst_n的复位方式及其与load的优先级。若在旧数据尚未排空时更换权重，旧部分和可能与新权重混合，因此需要约定排空后装载，或在装载时将旧计算作废并重新启动。</w:t>
      </w:r>
    </w:p>
    <w:p w14:paraId="2E1A0DD2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实验内容和要求</w:t>
      </w:r>
    </w:p>
    <w:p w14:paraId="6C075E0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使用Verilog实现以下模块，并结合课堂讲解完成设计。</w:t>
      </w:r>
    </w:p>
    <w:p w14:paraId="6565587B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模块接口</w:t>
      </w:r>
    </w:p>
    <w:p w14:paraId="58F8C1F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模块名称：</w:t>
      </w:r>
      <w:r>
        <w:rPr>
          <w:rFonts w:hint="default" w:ascii="Times New Roman" w:hAnsi="Times New Roman" w:eastAsia="宋体" w:cs="Times New Roman"/>
          <w:b w:val="0"/>
          <w:sz w:val="20"/>
        </w:rPr>
        <w:t>MULT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2"/>
        <w:gridCol w:w="936"/>
        <w:gridCol w:w="4968"/>
      </w:tblGrid>
      <w:tr w14:paraId="577AE99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32" w:type="dxa"/>
            <w:shd w:val="clear" w:color="auto" w:fill="E7E7E7"/>
          </w:tcPr>
          <w:p w14:paraId="6D6DEBD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信号</w:t>
            </w:r>
          </w:p>
        </w:tc>
        <w:tc>
          <w:tcPr>
            <w:tcW w:w="936" w:type="dxa"/>
            <w:shd w:val="clear" w:color="auto" w:fill="E7E7E7"/>
          </w:tcPr>
          <w:p w14:paraId="7D8DA23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方向</w:t>
            </w:r>
          </w:p>
        </w:tc>
        <w:tc>
          <w:tcPr>
            <w:tcW w:w="4968" w:type="dxa"/>
            <w:shd w:val="clear" w:color="auto" w:fill="E7E7E7"/>
          </w:tcPr>
          <w:p w14:paraId="61C1CFB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0"/>
              </w:rPr>
              <w:t>说明</w:t>
            </w:r>
          </w:p>
        </w:tc>
      </w:tr>
      <w:tr w14:paraId="3CB38E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5E153F7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input[127:0]</w:t>
            </w:r>
          </w:p>
        </w:tc>
        <w:tc>
          <w:tcPr>
            <w:tcW w:w="936" w:type="dxa"/>
          </w:tcPr>
          <w:p w14:paraId="1F1829D0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56697D99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输入矩阵</w:t>
            </w:r>
          </w:p>
        </w:tc>
      </w:tr>
      <w:tr w14:paraId="22AEA6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0210D8E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weight[127:0]</w:t>
            </w:r>
          </w:p>
        </w:tc>
        <w:tc>
          <w:tcPr>
            <w:tcW w:w="936" w:type="dxa"/>
          </w:tcPr>
          <w:p w14:paraId="416DC7F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02D6C9A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权重矩阵</w:t>
            </w:r>
          </w:p>
        </w:tc>
      </w:tr>
      <w:tr w14:paraId="67C722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1ED8509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clk、rst_n、load</w:t>
            </w:r>
          </w:p>
        </w:tc>
        <w:tc>
          <w:tcPr>
            <w:tcW w:w="936" w:type="dxa"/>
          </w:tcPr>
          <w:p w14:paraId="2380330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输入</w:t>
            </w:r>
          </w:p>
        </w:tc>
        <w:tc>
          <w:tcPr>
            <w:tcW w:w="4968" w:type="dxa"/>
          </w:tcPr>
          <w:p w14:paraId="1782027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时钟、复位与权重装载控制</w:t>
            </w:r>
          </w:p>
        </w:tc>
      </w:tr>
      <w:tr w14:paraId="647902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32" w:type="dxa"/>
          </w:tcPr>
          <w:p w14:paraId="21A65F6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res[303:0]</w:t>
            </w:r>
          </w:p>
        </w:tc>
        <w:tc>
          <w:tcPr>
            <w:tcW w:w="936" w:type="dxa"/>
          </w:tcPr>
          <w:p w14:paraId="54D2C902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输出</w:t>
            </w:r>
          </w:p>
        </w:tc>
        <w:tc>
          <w:tcPr>
            <w:tcW w:w="4968" w:type="dxa"/>
          </w:tcPr>
          <w:p w14:paraId="054A475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</w:rPr>
              <w:t>矩阵计算结果</w:t>
            </w:r>
          </w:p>
        </w:tc>
      </w:tr>
    </w:tbl>
    <w:p w14:paraId="360F917A">
      <w:pPr>
        <w:spacing w:after="0"/>
        <w:rPr>
          <w:rFonts w:hint="default" w:ascii="Times New Roman" w:hAnsi="Times New Roman" w:eastAsia="宋体" w:cs="Times New Roman"/>
        </w:rPr>
      </w:pPr>
    </w:p>
    <w:p w14:paraId="0615267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实现要求</w:t>
      </w:r>
    </w:p>
    <w:p w14:paraId="2EE1603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完成两个4×4无符号整数矩阵相乘的脉动阵列矩阵乘法器。</w:t>
      </w:r>
    </w:p>
    <w:p w14:paraId="2F42BDC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采用固定权重、输入输出流动的方式。</w:t>
      </w:r>
    </w:p>
    <w:p w14:paraId="01978D8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 矩阵乘法器要求采用流水线结构。</w:t>
      </w:r>
    </w:p>
    <w:p w14:paraId="3D1CD3E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 Load置0时，阵列正常执行流水线计算；Load置1时，阵列停止计算，将权重导入阵列。</w:t>
      </w:r>
    </w:p>
    <w:p w14:paraId="08C18F3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接口中的 input 表示输入数据总线；由于 input 为Verilog关键字，代码中应使用 input_data 等合法标识符。矩阵总线的元素排列、复位方式、输入接收节拍及输出有效时刻应在设计中明确说明。</w:t>
      </w:r>
    </w:p>
    <w:p w14:paraId="3881FB8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参考资料</w:t>
      </w:r>
    </w:p>
    <w:p w14:paraId="2335C1F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以下列出正文引用的全部资料及完整网址。</w:t>
      </w:r>
    </w:p>
    <w:p w14:paraId="2BA2FE3A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[1] Google TPU介绍</w:t>
      </w:r>
    </w:p>
    <w:p w14:paraId="33F8E84B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https://cloud.google.com/tpu</w:t>
      </w:r>
    </w:p>
    <w:p w14:paraId="0268DA55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[2] Kogge与Stone原论文</w:t>
      </w:r>
    </w:p>
    <w:p w14:paraId="152C2A6F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https://gwern.net/doc/cs/algorithm/1973-kogge.pdf</w:t>
      </w:r>
    </w:p>
    <w:p w14:paraId="0B4099E9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[3] Brent–Kung原论文</w:t>
      </w:r>
    </w:p>
    <w:p w14:paraId="49871DFD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https://www.eecs.harvard.edu/~htk/publication/1982-ton-brent-kung.pdf</w:t>
      </w:r>
    </w:p>
    <w:p w14:paraId="58C9AAD7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[4] Wallace论文记录与原文入口</w:t>
      </w:r>
    </w:p>
    <w:p w14:paraId="0A8A95BA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https://ieeemilestones.ethw.org/File:A_suggestion_for_a_fast_multiplier.pdf</w:t>
      </w:r>
    </w:p>
    <w:p w14:paraId="0519406C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[5] TPU原论文</w:t>
      </w:r>
    </w:p>
    <w:p w14:paraId="45394C28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https://arxiv.org/abs/1704.04760</w:t>
      </w:r>
    </w:p>
    <w:p w14:paraId="58643976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[6] Kung与Leiserson原报告</w:t>
      </w:r>
    </w:p>
    <w:p w14:paraId="5E81DAF9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https://www.eecs.harvard.edu/htk/static/files/1978-cmu-cs-report-kung-leiserson.pdf</w:t>
      </w:r>
    </w:p>
    <w:p w14:paraId="2AAF1C2A">
      <w:pPr>
        <w:keepNext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[7] Google第一代TPU架构说明</w:t>
      </w:r>
    </w:p>
    <w:p w14:paraId="09A3856C">
      <w:pPr>
        <w:spacing w:after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18"/>
        </w:rPr>
        <w:t>https://cloud.google.com/blog/products/ai-machine-learning/an-in-depth-look-at-googles-first-tensor-processing-unit-tpu</w:t>
      </w:r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028A3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1AFC9">
    <w:r>
      <w:rPr>
        <w:sz w:val="18"/>
      </w:rPr>
      <w:t>数字计算系统实验  |  Verilog实现全流水矩阵乘法器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1B7031"/>
    <w:rsid w:val="510A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2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80" w:after="120" w:line="30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20" w:line="300" w:lineRule="auto"/>
      <w:contextualSpacing/>
    </w:pPr>
    <w:rPr>
      <w:rFonts w:ascii="Times New Roman" w:hAnsi="Times New Roman" w:eastAsia="宋体"/>
      <w:color w:val="000000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20" w:line="300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80" w:after="12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1144</Words>
  <Characters>1232</Characters>
  <Lines>0</Lines>
  <Paragraphs>0</Paragraphs>
  <TotalTime>0</TotalTime>
  <ScaleCrop>false</ScaleCrop>
  <LinksUpToDate>false</LinksUpToDate>
  <CharactersWithSpaces>1246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张梁</cp:lastModifiedBy>
  <dcterms:modified xsi:type="dcterms:W3CDTF">2026-09-11T10:11:20Z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eyJoZGlkIjoiNmQyNmY0YTEwNGJjZGI3ZWY4ZTJiMmM0MjM5NDA0MDEiLCJ1c2VySWQiOiI1OTUwMTc0OTQifQ==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8CEB6BBA2E214214ABC508915EDFB661_12</vt:lpwstr>
  </property>
</Properties>
</file>