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UniverseModel 架构补充审视</w:t>
      </w:r>
    </w:p>
    <w:p>
      <w:pPr>
        <w:pStyle w:val="Subtitle"/>
      </w:pPr>
      <w:r>
        <w:t>跨模块语义 模型覆盖 实验依据 实施优先级</w:t>
      </w:r>
    </w:p>
    <w:p>
      <w:r>
        <w:t>现有 13 个主模块已经能承载当前研究范围。下一步最需要补足的是跨模块语义、模型覆盖和实验依据：哪些行为真的发生、哪些状态由谁负责、哪些估计在什么条件下可用，以及遗漏项会不会改变架构结论。</w:t>
      </w:r>
    </w:p>
    <w:p>
      <w:r>
        <w:t>本轮补充形成七份专题文档并细化公共契约；内容仍属于设计规范，没有新增可执行硬件、仿真或界面能力。问题不要求一次全部实现，而是按照接口影响和研究场景分层处理。</w:t>
      </w:r>
    </w:p>
    <w:p>
      <w:pPr>
        <w:pStyle w:val="Heading1"/>
      </w:pPr>
      <w:r>
        <w:t>1 优先级怎样理解</w:t>
      </w:r>
    </w:p>
    <w:p>
      <w:pPr>
        <w:keepNext/>
      </w:pPr>
      <w:r>
        <w:t>P0：首个公共接口与闭环冻结前必须定清楚的语义。P1：启用相应模型或首次报告该场景结论前必须补的行为与证据。P2：结论对它敏感，或开始研究部署、经济性、寿命时再实现。优先级不等于工期，也不改变总体 A–F 阶段门槛。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020"/>
        <w:gridCol w:w="5216"/>
        <w:gridCol w:w="3402"/>
      </w:tblGrid>
      <w:tr>
        <w:trPr>
          <w:cantSplit/>
          <w:tblHeader/>
        </w:trPr>
        <w:tc>
          <w:tcPr>
            <w:tcW w:type="dxa" w:w="1020"/>
            <w:vAlign w:val="center"/>
            <w:shd w:fill="E8EEF4"/>
          </w:tcPr>
          <w:p>
            <w:pPr>
              <w:pStyle w:val="TableBody"/>
              <w:keepNext/>
              <w:jc w:val="center"/>
            </w:pPr>
            <w:r>
              <w:rPr>
                <w:b/>
              </w:rPr>
              <w:t>优先级</w:t>
            </w:r>
          </w:p>
        </w:tc>
        <w:tc>
          <w:tcPr>
            <w:tcW w:type="dxa" w:w="5216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本轮发现的重点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主要归属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  <w:jc w:val="center"/>
            </w:pPr>
            <w:r>
              <w:t>P0</w:t>
            </w:r>
          </w:p>
        </w:tc>
        <w:tc>
          <w:tcPr>
            <w:tcW w:type="dxa" w:w="5216"/>
            <w:vAlign w:val="center"/>
          </w:tcPr>
          <w:p>
            <w:pPr>
              <w:pStyle w:val="TableBody"/>
            </w:pPr>
            <w:r>
              <w:t>R01 条件化操作能力及显式回退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contracts compiler workloads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  <w:jc w:val="center"/>
            </w:pPr>
            <w:r>
              <w:t>P0</w:t>
            </w:r>
          </w:p>
        </w:tc>
        <w:tc>
          <w:tcPr>
            <w:tcW w:type="dxa" w:w="5216"/>
            <w:vAlign w:val="center"/>
          </w:tcPr>
          <w:p>
            <w:pPr>
              <w:pStyle w:val="TableBody"/>
            </w:pPr>
            <w:r>
              <w:t>R02 数据布局及四种字节口径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contracts compiler 硬件模型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  <w:jc w:val="center"/>
            </w:pPr>
            <w:r>
              <w:t>P0</w:t>
            </w:r>
          </w:p>
        </w:tc>
        <w:tc>
          <w:tcPr>
            <w:tcW w:type="dxa" w:w="5216"/>
            <w:vAlign w:val="center"/>
          </w:tcPr>
          <w:p>
            <w:pPr>
              <w:pStyle w:val="TableBody"/>
            </w:pPr>
            <w:r>
              <w:t>R03 源释放与目标可见分离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runtime 组件 simulator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  <w:jc w:val="center"/>
            </w:pPr>
            <w:r>
              <w:t>P0</w:t>
            </w:r>
          </w:p>
        </w:tc>
        <w:tc>
          <w:tcPr>
            <w:tcW w:type="dxa" w:w="5216"/>
            <w:vAlign w:val="center"/>
          </w:tcPr>
          <w:p>
            <w:pPr>
              <w:pStyle w:val="TableBody"/>
            </w:pPr>
            <w:r>
              <w:t>R04 接收重试取消与复位世代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contracts runtime simulator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  <w:jc w:val="center"/>
            </w:pPr>
            <w:r>
              <w:t>P0</w:t>
            </w:r>
          </w:p>
        </w:tc>
        <w:tc>
          <w:tcPr>
            <w:tcW w:type="dxa" w:w="5216"/>
            <w:vAlign w:val="center"/>
          </w:tcPr>
          <w:p>
            <w:pPr>
              <w:pStyle w:val="TableBody"/>
            </w:pPr>
            <w:r>
              <w:t>R05 模型覆盖及成本唯一计入方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costmodel evaluation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  <w:jc w:val="center"/>
            </w:pPr>
            <w:r>
              <w:t>P0</w:t>
            </w:r>
          </w:p>
        </w:tc>
        <w:tc>
          <w:tcPr>
            <w:tcW w:type="dxa" w:w="5216"/>
            <w:vAlign w:val="center"/>
          </w:tcPr>
          <w:p>
            <w:pPr>
              <w:pStyle w:val="TableBody"/>
            </w:pPr>
            <w:r>
              <w:t>R06 unknown 和不可行状态分开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configuration ui evaluation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  <w:jc w:val="center"/>
            </w:pPr>
            <w:r>
              <w:t>P0</w:t>
            </w:r>
          </w:p>
        </w:tc>
        <w:tc>
          <w:tcPr>
            <w:tcW w:type="dxa" w:w="5216"/>
            <w:vAlign w:val="center"/>
          </w:tcPr>
          <w:p>
            <w:pPr>
              <w:pStyle w:val="TableBody"/>
            </w:pPr>
            <w:r>
              <w:t>R07 配置身份及结果证据链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configuration artifacts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  <w:jc w:val="center"/>
            </w:pPr>
            <w:r>
              <w:t>P1</w:t>
            </w:r>
          </w:p>
        </w:tc>
        <w:tc>
          <w:tcPr>
            <w:tcW w:type="dxa" w:w="5216"/>
            <w:vAlign w:val="center"/>
          </w:tcPr>
          <w:p>
            <w:pPr>
              <w:pStyle w:val="TableBody"/>
            </w:pPr>
            <w:r>
              <w:t>R08 事件闭包仲裁与多时钟行为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simulator 组件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  <w:jc w:val="center"/>
            </w:pPr>
            <w:r>
              <w:t>P1</w:t>
            </w:r>
          </w:p>
        </w:tc>
        <w:tc>
          <w:tcPr>
            <w:tcW w:type="dxa" w:w="5216"/>
            <w:vAlign w:val="center"/>
          </w:tcPr>
          <w:p>
            <w:pPr>
              <w:pStyle w:val="TableBody"/>
            </w:pPr>
            <w:r>
              <w:t>R09 完整算子与动态工作量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workloads compiler runtime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  <w:jc w:val="center"/>
            </w:pPr>
            <w:r>
              <w:t>P1</w:t>
            </w:r>
          </w:p>
        </w:tc>
        <w:tc>
          <w:tcPr>
            <w:tcW w:type="dxa" w:w="5216"/>
            <w:vAlign w:val="center"/>
          </w:tcPr>
          <w:p>
            <w:pPr>
              <w:pStyle w:val="TableBody"/>
            </w:pPr>
            <w:r>
              <w:t>R10 数值转换及 CIM 误差状态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workloads chipmodel costmodel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  <w:jc w:val="center"/>
            </w:pPr>
            <w:r>
              <w:t>P1</w:t>
            </w:r>
          </w:p>
        </w:tc>
        <w:tc>
          <w:tcPr>
            <w:tcW w:type="dxa" w:w="5216"/>
            <w:vAlign w:val="center"/>
          </w:tcPr>
          <w:p>
            <w:pPr>
              <w:pStyle w:val="TableBody"/>
            </w:pPr>
            <w:r>
              <w:t>R11 初态预热和测量窗口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evaluation simulator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  <w:jc w:val="center"/>
            </w:pPr>
            <w:r>
              <w:t>P1</w:t>
            </w:r>
          </w:p>
        </w:tc>
        <w:tc>
          <w:tcPr>
            <w:tcW w:type="dxa" w:w="5216"/>
            <w:vAlign w:val="center"/>
          </w:tcPr>
          <w:p>
            <w:pPr>
              <w:pStyle w:val="TableBody"/>
            </w:pPr>
            <w:r>
              <w:t>R12 开闭环到达及尾延迟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workloads runtime evaluation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  <w:jc w:val="center"/>
            </w:pPr>
            <w:r>
              <w:t>P1</w:t>
            </w:r>
          </w:p>
        </w:tc>
        <w:tc>
          <w:tcPr>
            <w:tcW w:type="dxa" w:w="5216"/>
            <w:vAlign w:val="center"/>
          </w:tcPr>
          <w:p>
            <w:pPr>
              <w:pStyle w:val="TableBody"/>
            </w:pPr>
            <w:r>
              <w:t>R13 校准可识别性及搜索偏差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costmodel evaluation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  <w:jc w:val="center"/>
            </w:pPr>
            <w:r>
              <w:t>P1</w:t>
            </w:r>
          </w:p>
        </w:tc>
        <w:tc>
          <w:tcPr>
            <w:tcW w:type="dxa" w:w="5216"/>
            <w:vAlign w:val="center"/>
          </w:tcPr>
          <w:p>
            <w:pPr>
              <w:pStyle w:val="TableBody"/>
            </w:pPr>
            <w:r>
              <w:t>R14 端口几何功率与热反馈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硬件模型 costmodel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  <w:jc w:val="center"/>
            </w:pPr>
            <w:r>
              <w:t>P1</w:t>
            </w:r>
          </w:p>
        </w:tc>
        <w:tc>
          <w:tcPr>
            <w:tcW w:type="dxa" w:w="5216"/>
            <w:vAlign w:val="center"/>
          </w:tcPr>
          <w:p>
            <w:pPr>
              <w:pStyle w:val="TableBody"/>
            </w:pPr>
            <w:r>
              <w:t>R15 仿真规模与混合粒度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simulator evaluation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  <w:jc w:val="center"/>
            </w:pPr>
            <w:r>
              <w:t>P1</w:t>
            </w:r>
          </w:p>
        </w:tc>
        <w:tc>
          <w:tcPr>
            <w:tcW w:type="dxa" w:w="5216"/>
            <w:vAlign w:val="center"/>
          </w:tcPr>
          <w:p>
            <w:pPr>
              <w:pStyle w:val="TableBody"/>
            </w:pPr>
            <w:r>
              <w:t>R16 扩展接口与一致性验证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contracts 模型适配器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  <w:jc w:val="center"/>
            </w:pPr>
            <w:r>
              <w:t>P2</w:t>
            </w:r>
          </w:p>
        </w:tc>
        <w:tc>
          <w:tcPr>
            <w:tcW w:type="dxa" w:w="5216"/>
            <w:vAlign w:val="center"/>
          </w:tcPr>
          <w:p>
            <w:pPr>
              <w:pStyle w:val="TableBody"/>
            </w:pPr>
            <w:r>
              <w:t>R17 良率寿命和故障域</w:t>
            </w:r>
          </w:p>
        </w:tc>
        <w:tc>
          <w:tcPr>
            <w:tcW w:type="dxa" w:w="3402"/>
            <w:vAlign w:val="center"/>
          </w:tcPr>
          <w:p>
            <w:pPr>
              <w:pStyle w:val="TableBody"/>
            </w:pPr>
            <w:r>
              <w:t>costmodel 硬件模型 evaluation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这些条目中有些在上一轮已经提出方向，本轮补充的是可执行语义、边界案例和判定条件，不将其描述成现有代码缺陷。</w:t>
      </w:r>
    </w:p>
    <w:p>
      <w:pPr>
        <w:pStyle w:val="Heading1"/>
      </w:pPr>
      <w:r>
        <w:t>2 操作能力必须带条件</w:t>
      </w:r>
    </w:p>
    <w:p>
      <w:r>
        <w:t>R01：支持 MatMul 不等于支持任意形状、精度、累加、布局和稀疏格式。能力应当是条件谓词；编译器先判断支持和合法转换，再查询对应成本。回退到 CPU 需要在计划中保存执行、搬运、同步和格式转换。</w:t>
      </w:r>
    </w:p>
    <w:p>
      <w:r>
        <w:t>R09：完整任务还包含 normalization、softmax、embedding、gather/scatter、sampling 和控制阶段。算子种类覆盖率不等于时间覆盖率；不能把参考实现中的算子当成目标硬件免费完成的部分。</w:t>
      </w:r>
    </w:p>
    <w:p>
      <w:r>
        <w:t>动态 batch、MoE 路由、压缩长度和提前停止可能受实际执行影响。固定轨迹适合有条件的重放；研究反馈策略时需要输入生成与资源状态互动，否则可能把新策略评估在不再成立的旧工作量上。</w:t>
      </w:r>
    </w:p>
    <w:p>
      <w:pPr>
        <w:pStyle w:val="Heading1"/>
      </w:pPr>
      <w:r>
        <w:t>3 数据的身份比文件格式更重要</w:t>
      </w:r>
    </w:p>
    <w:p>
      <w:r>
        <w:t>R02：分别保留逻辑有效字节、物理分配字节、存储边界访问字节和链路字节。低比特打包、padding、scale、稀疏索引、页访问和协议头都会改变它们，不能复用一个 tensor size。</w:t>
      </w:r>
    </w:p>
    <w:p>
      <w:r>
        <w:t>R03：接收请求只证明队列或协议承担责任；源数据可能稍后才读取。源可复用、远端收到、目标可见、持久化与集合操作完成分别定义。缓冲分配世代、逻辑内容版本和有效 chunk 共同决定一个引用能否使用。</w:t>
      </w:r>
    </w:p>
    <w:p>
      <w:r>
        <w:t>R04：cancel_requested 不等于 cancelled；已经发生的写入、通信和能耗不能自动撤销。终态前要处理资源释放与后续事件，复位要区分模拟器新实验和目标硬件恢复。只有 operation_id，无法覆盖重试、地址复用和复位后的旧事件。</w:t>
      </w:r>
    </w:p>
    <w:p>
      <w:r>
        <w:t>相关协议见 docs/interfaces/resource_lifecycle.md；当前公共契约已同步这些约束。</w:t>
      </w:r>
    </w:p>
    <w:p>
      <w:pPr>
        <w:pStyle w:val="Heading1"/>
      </w:pPr>
      <w:r>
        <w:t>4 模型能回答什么需要明确声明</w:t>
      </w:r>
    </w:p>
    <w:p>
      <w:r>
        <w:t>R05：精度应按数值、时序、竞争、能量、热和故障分别描述。同一个组件可以局部详细、局部简化；不能由“事件模型”推导出可信能量或完整数值覆盖。</w:t>
      </w:r>
    </w:p>
    <w:p>
      <w:r>
        <w:t>摘要 GPU 或完整 CIM macro 若已包含内部存储/外围，再接细模型时容易重复计费。每个指标项明确物理范围、动作阶段、时间区间和唯一计入方。未覆盖项应保留未知；已知部分的和只能标为部分估计。</w:t>
      </w:r>
    </w:p>
    <w:p>
      <w:r>
        <w:t>R15：大规模性能运行可以使用元数据和经过验证的工作量，不一定保存所有张量值；但要说明功能是本次实算、在已验证范围复用，还是未验证。共享资源与数据相关分支不能因模型加速而消失。</w:t>
      </w:r>
    </w:p>
    <w:p>
      <w:r>
        <w:t>R16：插件替换需验证操作、可见性、资源释放、计时与成本边界。公共类型相同仅是必要条件；跨语言还需明确所有权、字节序、错误和版本。模型注册与实验装配应显式发生，避免导入模块就改变全局状态。</w:t>
      </w:r>
    </w:p>
    <w:p>
      <w:pPr>
        <w:pStyle w:val="Heading1"/>
      </w:pPr>
      <w:r>
        <w:t>5 灵活配置需要阻止无意义的组合</w:t>
      </w:r>
    </w:p>
    <w:p>
      <w:r>
        <w:t>R06：参数未知、模型不支持、配置不可行、真实零值、功能关闭以及超出校准域分别表示。未知容量不应当作零容量，未知能量也不应当作零能量。UI 要告诉用户缺少哪个依据，以及因此不能得出哪类结论。</w:t>
      </w:r>
    </w:p>
    <w:p>
      <w:r>
        <w:t>频率、能量、电压、温度、工艺、几何与精度往往构成同一组工作条件。来自不同资料的最佳点不能任意组合。增加 ADC、Die 或 D2D lane 数，同时影响能力、外围面积、成本适用范围和物理约束。</w:t>
      </w:r>
    </w:p>
    <w:p>
      <w:r>
        <w:t>R07：配置、计划、运行和分析分别具有内容身份与版本依赖。仅修改界面主题不该使仿真失效；修改数值规则、模型覆盖或初态则必须影响相关产物。UI 展示草稿 diff、受影响派生量、失效依据和新实验范围，历史运行保持冻结。</w:t>
      </w:r>
    </w:p>
    <w:p>
      <w:r>
        <w:t>静态派生字段保持无环；温度与泄漏/频率的反馈属于动态状态。可修改并不表示变量彼此独立，可视化也不意味着所有修改都物理可实现。</w:t>
      </w:r>
    </w:p>
    <w:p>
      <w:pPr>
        <w:pStyle w:val="Heading1"/>
      </w:pPr>
      <w:r>
        <w:t>6 时间和资源模型中的隐含选择</w:t>
      </w:r>
    </w:p>
    <w:p>
      <w:r>
        <w:t>R08：相同时刻发生多轮完成、可见性更新和派发时，需要稳定的阶段与 delta round。固定排序解决确定性，但不自动提供公平性；仲裁应有独立策略，检查队头阻塞、饥饿和 credit 返回。</w:t>
      </w:r>
    </w:p>
    <w:p>
      <w:r>
        <w:t>延迟、发射间隔、占用、多资源获取和资源释放分别定义。端口数、队列深度和 buffer 容量影响不同阶段，不能统一缩成吞吐系数。多时钟或 DVFS 还需处理时间量化、跨域同步和在途工作的完成时刻。</w:t>
      </w:r>
    </w:p>
    <w:p>
      <w:r>
        <w:t>R14：传输经过源内存、DMA、PHY、链路、接收控制器及目标内存。多条链路共享一个端口时，不能同时各取端口全带宽。3D 还要核对垂直端口、读出共享、重叠面积和散热边界。</w:t>
      </w:r>
    </w:p>
    <w:p>
      <w:pPr>
        <w:pStyle w:val="Heading1"/>
      </w:pPr>
      <w:r>
        <w:t>7 工作负载中的持久状态</w:t>
      </w:r>
    </w:p>
    <w:p>
      <w:r>
        <w:t>推理包括权重、KV cache、激活、预取和通信缓冲；训练另外涉及梯度、优化器状态、更新和重计算。prefill 与 decode、静态权重与频繁更新分别评估，不能从单次矩阵运算直接外推。</w:t>
      </w:r>
    </w:p>
    <w:p>
      <w:r>
        <w:t>KV 容量受活跃请求、实际保留 token、KV head 数、层数、精度和分片影响。GQA/MQA 不使用 query head 数代替 KV head 数；共享 prefix、page padding 与副本需要单独计算。</w:t>
      </w:r>
    </w:p>
    <w:p>
      <w:r>
        <w:t>R10：数值链包括输入/权重精度、乘积、累加、缩放、舍入、饱和和输出。CIM 制造差异、编程误差、读噪声和漂移有不同时间/空间结构；把它们都写成每次独立的同一噪声会改变误差分布。校准与刷新也会消耗时间、能量和端口。</w:t>
      </w:r>
    </w:p>
    <w:p>
      <w:pPr>
        <w:pStyle w:val="Heading1"/>
      </w:pPr>
      <w:r>
        <w:t>8 公平实验要控制初态与到达过程</w:t>
      </w:r>
    </w:p>
    <w:p>
      <w:r>
        <w:t>R11：冷启动、预热和稳态分别报告。统计开始时可以重置计数器，但应按实验约定保留 cache、温度、CIM 权重年龄和在途工作；不能无意让候选继承上一轮的有利状态。</w:t>
      </w:r>
    </w:p>
    <w:p>
      <w:r>
        <w:t>R12：开环按外部时间表持续到达，闭环在收到完成后再提交。慢系统在闭环中会自然收到更少请求，不能据此声称它在固定外部负载下尾延迟更低。未完成、拒绝和超时请求必须有统计归属。</w:t>
      </w:r>
    </w:p>
    <w:p>
      <w:r>
        <w:t>吞吐、TTFT、TPOT、相邻 token 延迟和满足质量/SLO 的 goodput 分开。分位数的采样单位、窗口、预热、drain 和截尾方式与数值一起保存；只统计已完成的短请求会产生偏差。</w:t>
      </w:r>
    </w:p>
    <w:p>
      <w:pPr>
        <w:pStyle w:val="Heading1"/>
      </w:pPr>
      <w:r>
        <w:t>9 数据越多也不一定校准正确</w:t>
      </w:r>
    </w:p>
    <w:p>
      <w:r>
        <w:t>R13：只测一个消息大小的总延迟，通常无法区分启动延迟和有效带宽；只测总能量，也未必能分离阵列、外围与泄漏。应先设计能区分机制的观测，再拟合参数。</w:t>
      </w:r>
    </w:p>
    <w:p>
      <w:r>
        <w:t>工作负载、制造差异、读噪声和策略随机性分别管理。相同 seed 不保证不同对象数量和执行路径使用相同情景；配对随机实验需要明确配对对象与子流。</w:t>
      </w:r>
    </w:p>
    <w:p>
      <w:r>
        <w:t>从大量候选中挑最快者会受搜索预算、噪声和筛选偏差影响。最终方案使用独立重复或留出负载复核，并保留失败与不可行候选。容量变化、算法/精度变化与硬件速度变化分别解释。</w:t>
      </w:r>
    </w:p>
    <w:p>
      <w:pPr>
        <w:pStyle w:val="Heading1"/>
      </w:pPr>
      <w:r>
        <w:t>10 长期和物理问题按条件启用</w:t>
      </w:r>
    </w:p>
    <w:p>
      <w:r>
        <w:t>热限制研究需要功率到温度再到服务率/误差的反馈；只有平均功率无法说明热点与瞬态供电。改变频率后须保存剩余工作或限制切换边界，不沿用无效的原完成时刻。</w:t>
      </w:r>
    </w:p>
    <w:p>
      <w:r>
        <w:t>R17：研究双 Die 成本时增加裸片良率、KGD 测试、条件组装良率与产量；研究 HBF/CIM 频繁更新时增加写放大、刷新和热点磨损；研究长作业可用性时增加故障域、checkpoint、重算和备用容量。</w:t>
      </w:r>
    </w:p>
    <w:p>
      <w:r>
        <w:t>这些成本不应在参数未知时默认为零，也不要求第一版一次实现。经济性、寿命、故障和热签核是不同结论，分别声明覆盖范围。</w:t>
      </w:r>
    </w:p>
    <w:p>
      <w:pPr>
        <w:pStyle w:val="Heading1"/>
      </w:pPr>
      <w:r>
        <w:t>11 用小例子识别错误推断</w:t>
      </w:r>
    </w:p>
    <w:p>
      <w:r>
        <w:t>两块数据各需引入 2、计算 4、写出 2，在单计算引擎、半双工 DMA 和合法双缓冲条件下，可排出总时间 12。完全串行为 16，而计算/搬运总需求各为 8，仅取最大值 8 会漏掉填充与排空。</w:t>
      </w:r>
    </w:p>
    <w:p>
      <w:r>
        <w:t>若 CIM 首次编程能量为 100、每次运行 3，数字方案每次 5，则前者只有复用超过 50 次才节能。每 20 次就重写权重会使该条件下的节能优势消失。数值为抽象数学夹具，不是芯片参数。</w:t>
      </w:r>
    </w:p>
    <w:p>
      <w:r>
        <w:t>其余手算案例覆盖源缓冲释放、页访问放大、成本重复计入与校准可识别性，见 docs/methods/design_tradeoff_examples.md。以后实现应先用这些可解释案例检查边界，再扩大负载。</w:t>
      </w:r>
    </w:p>
    <w:p>
      <w:pPr>
        <w:pStyle w:val="Heading1"/>
      </w:pPr>
      <w:r>
        <w:t>12 最小实现承诺与专题入口</w:t>
      </w:r>
    </w:p>
    <w:p>
      <w:pPr>
        <w:keepNext/>
      </w:pPr>
      <w:r>
        <w:t>首个闭环只承诺一个明确 shape/layout/精度的负载、显式数据搬运、可验证参考、有限资源、清楚的完成语义和结果身份。P0 先定义接口，P1 随对应能力加入，P2 按决策敏感性开展，避免用范围扩张替代闭环验证。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587"/>
        <w:gridCol w:w="4762"/>
        <w:gridCol w:w="3288"/>
      </w:tblGrid>
      <w:tr>
        <w:trPr>
          <w:cantSplit/>
          <w:tblHeader/>
        </w:trPr>
        <w:tc>
          <w:tcPr>
            <w:tcW w:type="dxa" w:w="1587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专题</w:t>
            </w:r>
          </w:p>
        </w:tc>
        <w:tc>
          <w:tcPr>
            <w:tcW w:type="dxa" w:w="4762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路径</w:t>
            </w:r>
          </w:p>
        </w:tc>
        <w:tc>
          <w:tcPr>
            <w:tcW w:type="dxa" w:w="3288"/>
            <w:vAlign w:val="center"/>
            <w:shd w:fill="E8EEF4"/>
          </w:tcPr>
          <w:p>
            <w:pPr>
              <w:pStyle w:val="TableBody"/>
              <w:keepNext/>
            </w:pPr>
            <w:r>
              <w:rPr>
                <w:b/>
              </w:rPr>
              <w:t>主要新增内容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Body"/>
            </w:pPr>
            <w:r>
              <w:t>请求生命周期</w:t>
            </w:r>
          </w:p>
        </w:tc>
        <w:tc>
          <w:tcPr>
            <w:tcW w:type="dxa" w:w="4762"/>
            <w:vAlign w:val="center"/>
          </w:tcPr>
          <w:p>
            <w:pPr>
              <w:pStyle w:val="TableBody"/>
            </w:pPr>
            <w:r>
              <w:t>docs/interfaces/resource_lifecycle.md</w:t>
            </w:r>
          </w:p>
        </w:tc>
        <w:tc>
          <w:tcPr>
            <w:tcW w:type="dxa" w:w="3288"/>
            <w:vAlign w:val="center"/>
          </w:tcPr>
          <w:p>
            <w:pPr>
              <w:pStyle w:val="TableBody"/>
            </w:pPr>
            <w:r>
              <w:t>接收与可见性 租约 取消 复位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Body"/>
            </w:pPr>
            <w:r>
              <w:t>模型组合</w:t>
            </w:r>
          </w:p>
        </w:tc>
        <w:tc>
          <w:tcPr>
            <w:tcW w:type="dxa" w:w="4762"/>
            <w:vAlign w:val="center"/>
          </w:tcPr>
          <w:p>
            <w:pPr>
              <w:pStyle w:val="TableBody"/>
            </w:pPr>
            <w:r>
              <w:t>docs/architecture/model_composition.md</w:t>
            </w:r>
          </w:p>
        </w:tc>
        <w:tc>
          <w:tcPr>
            <w:tcW w:type="dxa" w:w="3288"/>
            <w:vAlign w:val="center"/>
          </w:tcPr>
          <w:p>
            <w:pPr>
              <w:pStyle w:val="TableBody"/>
            </w:pPr>
            <w:r>
              <w:t>条件能力 覆盖清单 摘要与细模型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Body"/>
            </w:pPr>
            <w:r>
              <w:t>工作与数值</w:t>
            </w:r>
          </w:p>
        </w:tc>
        <w:tc>
          <w:tcPr>
            <w:tcW w:type="dxa" w:w="4762"/>
            <w:vAlign w:val="center"/>
          </w:tcPr>
          <w:p>
            <w:pPr>
              <w:pStyle w:val="TableBody"/>
            </w:pPr>
            <w:r>
              <w:t>docs/methods/workload_and_numeric_semantics.md</w:t>
            </w:r>
          </w:p>
        </w:tc>
        <w:tc>
          <w:tcPr>
            <w:tcW w:type="dxa" w:w="3288"/>
            <w:vAlign w:val="center"/>
          </w:tcPr>
          <w:p>
            <w:pPr>
              <w:pStyle w:val="TableBody"/>
            </w:pPr>
            <w:r>
              <w:t>字节口径 稀疏 KV 更新与误差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Body"/>
            </w:pPr>
            <w:r>
              <w:t>实验有效性</w:t>
            </w:r>
          </w:p>
        </w:tc>
        <w:tc>
          <w:tcPr>
            <w:tcW w:type="dxa" w:w="4762"/>
            <w:vAlign w:val="center"/>
          </w:tcPr>
          <w:p>
            <w:pPr>
              <w:pStyle w:val="TableBody"/>
            </w:pPr>
            <w:r>
              <w:t>docs/methods/experiment_validity.md</w:t>
            </w:r>
          </w:p>
        </w:tc>
        <w:tc>
          <w:tcPr>
            <w:tcW w:type="dxa" w:w="3288"/>
            <w:vAlign w:val="center"/>
          </w:tcPr>
          <w:p>
            <w:pPr>
              <w:pStyle w:val="TableBody"/>
            </w:pPr>
            <w:r>
              <w:t>初态 到达过程 指标与校准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Body"/>
            </w:pPr>
            <w:r>
              <w:t>物理可行性</w:t>
            </w:r>
          </w:p>
        </w:tc>
        <w:tc>
          <w:tcPr>
            <w:tcW w:type="dxa" w:w="4762"/>
            <w:vAlign w:val="center"/>
          </w:tcPr>
          <w:p>
            <w:pPr>
              <w:pStyle w:val="TableBody"/>
            </w:pPr>
            <w:r>
              <w:t>docs/architecture/physical_feasibility.md</w:t>
            </w:r>
          </w:p>
        </w:tc>
        <w:tc>
          <w:tcPr>
            <w:tcW w:type="dxa" w:w="3288"/>
            <w:vAlign w:val="center"/>
          </w:tcPr>
          <w:p>
            <w:pPr>
              <w:pStyle w:val="TableBody"/>
            </w:pPr>
            <w:r>
              <w:t>端点 几何 DVFS 良率与寿命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Body"/>
            </w:pPr>
            <w:r>
              <w:t>手算取舍</w:t>
            </w:r>
          </w:p>
        </w:tc>
        <w:tc>
          <w:tcPr>
            <w:tcW w:type="dxa" w:w="4762"/>
            <w:vAlign w:val="center"/>
          </w:tcPr>
          <w:p>
            <w:pPr>
              <w:pStyle w:val="TableBody"/>
            </w:pPr>
            <w:r>
              <w:t>docs/methods/design_tradeoff_examples.md</w:t>
            </w:r>
          </w:p>
        </w:tc>
        <w:tc>
          <w:tcPr>
            <w:tcW w:type="dxa" w:w="3288"/>
            <w:vAlign w:val="center"/>
          </w:tcPr>
          <w:p>
            <w:pPr>
              <w:pStyle w:val="TableBody"/>
            </w:pPr>
            <w:r>
              <w:t>未来验证夹具和错误推断反例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更进一步的第一性问题是：哪些信息和状态一旦被抽象掉，就无法解释本次决策。保留足以改变结论的因果关系，明确剩余假设及证据，是继续实现和扩展模型的依据。</w:t>
      </w:r>
    </w:p>
    <w:sectPr w:rsidR="00FC693F" w:rsidRPr="0006063C" w:rsidSect="00034616">
      <w:footerReference w:type="default" r:id="rId9"/>
      <w:pgSz w:w="12240" w:h="15840"/>
      <w:pgMar w:top="1077" w:right="1134" w:bottom="1077" w:left="1134" w:header="720" w:footer="51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80"/>
      <w:snapToGrid w:val="0"/>
    </w:pPr>
    <w:rPr>
      <w:rFonts w:ascii="Microsoft YaHei" w:hAnsi="Microsoft YaHei" w:eastAsia="Microsoft YaHei" w:cs="Microsoft YaHei"/>
      <w:b w:val="0"/>
      <w:i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405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324" w:lineRule="exact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567" w:lineRule="exact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 w:line="283" w:lineRule="exact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1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0" w:lineRule="exact" w:after="80"/>
      <w:contextualSpacing/>
    </w:pPr>
    <w:rPr>
      <w:rFonts w:ascii="Microsoft YaHei" w:hAnsi="Microsoft YaHei" w:eastAsia="Microsoft YaHei" w:cs="Microsoft YaHei"/>
      <w:b w:val="0"/>
      <w:i w:val="0"/>
      <w:color w:val="000000"/>
      <w:sz w:val="21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0" w:lineRule="exact" w:after="80"/>
      <w:contextualSpacing/>
    </w:pPr>
    <w:rPr>
      <w:rFonts w:ascii="Microsoft YaHei" w:hAnsi="Microsoft YaHei" w:eastAsia="Microsoft YaHei" w:cs="Microsoft YaHei"/>
      <w:b w:val="0"/>
      <w:i w:val="0"/>
      <w:color w:val="000000"/>
      <w:sz w:val="21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basedOn w:val="Normal"/>
    <w:pPr>
      <w:spacing w:line="280" w:lineRule="exact" w:before="0" w:after="0"/>
    </w:pPr>
    <w:rPr>
      <w:rFonts w:ascii="Microsoft YaHei" w:hAnsi="Microsoft YaHei" w:eastAsia="Microsoft YaHei" w:cs="Microsoft YaHei"/>
      <w:b w:val="0"/>
      <w:i w:val="0"/>
      <w:color w:val="000000"/>
      <w:sz w:val="19"/>
      <w:u w:val="none"/>
    </w:rPr>
  </w:style>
  <w:style w:type="paragraph" w:customStyle="1" w:styleId="CodeBlock">
    <w:name w:val="Code Block"/>
    <w:basedOn w:val="Normal"/>
    <w:pPr>
      <w:spacing w:line="252" w:lineRule="auto" w:after="0"/>
    </w:pPr>
    <w:rPr>
      <w:rFonts w:ascii="Consolas" w:hAnsi="Consolas" w:eastAsia="Microsoft YaHei" w:cs="Microsoft YaHei"/>
      <w:b w:val="0"/>
      <w:i w:val="0"/>
      <w:color w:val="000000"/>
      <w:sz w:val="1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UniverseModel 架构补充审视</dc:title>
  <dc:subject>跨模块语义 模型覆盖 实验依据 实施优先级</dc:subject>
  <dc:creator>UniverseModel</dc:creator>
  <cp:keywords/>
  <dc:description>Markdown source SHA256: c41e71991dd0aee78c3d56472310b3df897cb5e3f9fade9e7f1d87a8f11d3e86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