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UniverseModel 芯片到集群架构设计</w:t>
      </w:r>
    </w:p>
    <w:p>
      <w:pPr>
        <w:pStyle w:val="Subtitle"/>
      </w:pPr>
      <w:r>
        <w:t>模块边界 信息契约 验证与实施门槛</w:t>
      </w:r>
    </w:p>
    <w:p>
      <w:pPr>
        <w:pStyle w:val="Heading1"/>
      </w:pPr>
      <w:r>
        <w:t>1 顶层架构与模块边界</w:t>
      </w:r>
    </w:p>
    <w:p>
      <w:pPr>
        <w:pStyle w:val="Heading2"/>
      </w:pPr>
      <w:r>
        <w:t>1.1 目标与当前范围</w:t>
      </w:r>
    </w:p>
    <w:p>
      <w:r>
        <w:t>UniverseModel 用于回答：给定工作负载、精度与物理约束，怎样组织计算、存储和通信资源，才能获得可解释、可复现的端到端收益。覆盖架构定义、软硬件建模、映射、功能验证、性能与能耗评估，并保留未来用实测或 RTL 校准的入口。</w:t>
      </w:r>
    </w:p>
    <w:p>
      <w:r>
        <w:t>当前交付是模块目录、架构规范、结构示例与检查工具；编译器、执行模型、参数界面和仿真引擎尚未实现。chipmodel 保存软件架构模型，不包含 RTL。模型是否可信取决于行为覆盖、参数依据和验证证据，不能用目录完整代替实现完成。</w:t>
      </w:r>
    </w:p>
    <w:p>
      <w:r>
        <w:t>体系同时覆盖 CPU、GPU、NPU、数字/模拟 CIM、3D CIM、双裸片、HBM/HBF、异构节点与多机多卡。每次实验只启用回答当前问题所需的层级和精度。</w:t>
      </w:r>
    </w:p>
    <w:p>
      <w:pPr>
        <w:pStyle w:val="Heading2"/>
      </w:pPr>
      <w:r>
        <w:t>1.2 物理层级与五种关系</w:t>
      </w:r>
    </w:p>
    <w:p>
      <w:pPr>
        <w:keepNext/>
      </w:pPr>
      <w:r>
        <w:t>物理包含主链为 Cluster → Node → Board/Card → Package → Die → Tile/Core → Engine/Array。可选层级允许省略，但同一物理资源只能有一个直接所有者。Core 不作为跨所有架构统一的性能单位；CPU 核、GPU SM、NPU Tile、CIM Array 的能力由独立字段描述。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81"/>
        <w:gridCol w:w="3175"/>
        <w:gridCol w:w="4082"/>
      </w:tblGrid>
      <w:tr>
        <w:trPr>
          <w:cantSplit/>
          <w:tblHeader/>
        </w:trPr>
        <w:tc>
          <w:tcPr>
            <w:tcW w:type="dxa" w:w="2381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关系</w:t>
            </w:r>
          </w:p>
        </w:tc>
        <w:tc>
          <w:tcPr>
            <w:tcW w:type="dxa" w:w="3175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表达对象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约束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物理包含 Containment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属于哪个节点、封装、裸片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单一所有者，无包含环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通信 Connectivity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端口、链路、交换节点、可选路径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有方向、容量、协议和争用范围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地址 Address 与一致性 Coherence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可访问区域、地址转换、一致性域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可连接不代表可直接访存或保持一致性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执行映射 Placement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逻辑设备、rank、任务到资源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视图只引用资源，不复制物理状态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热与供电 Thermal/Power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堆叠邻接、热耦合、供电域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可跨物理包含树，使用显式关联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DeviceView 表示软件可见设备。一只逻辑设备可引用两片 Die；一片 Die 也可在容量隔离约束下划分多个逻辑设备。rank 是通信参与者，不等于芯片、GPU 或节点数量。双裸片仅描述裸片数量与组织方式，不自动表示 3D。</w:t>
      </w:r>
    </w:p>
    <w:p>
      <w:r>
        <w:t>3D CIM 分为裸片内三维阵列、多个 CIM 裸片堆叠、CIM 与数字逻辑堆叠。array_layers、die_stack_depth、compute_die_count 分开定义。同一封装可以同时有 2.5D 链接和局部 3D 堆叠。HBF 是 Flash 存储能力，不自动具备 CIM，也不能直接替代 HBM 的访问语义。</w:t>
      </w:r>
    </w:p>
    <w:p>
      <w:pPr>
        <w:pStyle w:val="Heading2"/>
        <w:keepNext/>
      </w:pPr>
      <w:r>
        <w:t>1.3 大模块与唯一职责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模块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负责内容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对外输出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contracts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公共数据语义、单位、版本和端口协议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可独立验证的契约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configuration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定义、组合、派生、校验配置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冻结的 ResolvedConfig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costmodel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动作成本、特征化和不确定性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CostProfile、Estimate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chipmodel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Core/Tile/Die/Package 的资源与行为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能力描述、请求响应、局部状态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systemmodel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Board/Node、主机内存、NUMA、DMA、NIC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节点拓扑与系统资源行为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clustermodel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节点间 Fabric、交换、路由与通信组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网络资源与路径描述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workloads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任务语义、输入分布和独立参考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WorkloadSpec、输入与参考规则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compiler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语义转换、划分、映射与静态计划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PlacementPlan、ExecutionPlan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runtime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派发、流、动态策略与集合通信展开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合法请求、同步和策略记录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simulator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时间推进、事件因果、统计与轨迹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SimulationResult、TraceEvent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artifacts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序列化、来源、版本与存储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ArtifactManifest 和可恢复记录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evaluation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装配实验、校准、搜索和比较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实验集合、分析与推荐条件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ui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配置表单、拓扑、映射与结果视图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同一配置的编辑与解释入口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config 保存配置文件，configuration 实现配置逻辑；data 保存数据与运行记录，artifacts 实现保存规则。tests、example、tools 分别保存验证、示例与开发工具。所有主模块均有 README.md 和 docs/design.md；完整目录与允许依赖以 docs/architecture/modules.json 为准。</w:t>
      </w:r>
    </w:p>
    <w:p>
      <w:pPr>
        <w:pStyle w:val="Heading2"/>
      </w:pPr>
      <w:r>
        <w:t>1.4 解耦规则与装配</w:t>
      </w:r>
    </w:p>
    <w:p>
      <w:r>
        <w:t>contracts 不依赖其他业务模块。硬件模型逐层组合：systemmodel 使用 chipmodel，clustermodel 使用 systemmodel；各层可以查询 costmodel。compiler 只读取公共能力和成本接口，不读取硬件内部队列。runtime 与 simulator 只依赖 contracts 中的协议。</w:t>
      </w:r>
    </w:p>
    <w:p>
      <w:pPr>
        <w:keepNext/>
      </w:pPr>
      <w:r>
        <w:t>evaluation 是组合入口：加载配置、构造硬件与策略、把符合协议的实例注入 simulator，再委托 artifacts 保存产物。simulator 可以调用注入的组件，但不需要导入某个 CPU、CIM 或集群实现。模块依赖是代码关系；请求与完成通知可以双向传递，不意味着代码依赖成环。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状态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唯一维护方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其他模块如何获取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已冻结配置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configuration 输出，不可变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通过标识和哈希读取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硬件公共规格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硬件装配输出，不可变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通过能力契约读取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资源队列、端口、存储内容与占用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对应 chip/system/cluster 组件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请求协议、只读观测快照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计划与映射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compiler 输出，不可变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runtime 装载；变更生成新版本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软件队列、流和通信进度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runtime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通知与策略诊断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全局时间、待处理事件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simulator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时间接口与事件记录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成本参数和适用域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costmodel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Estimate 及来源标识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运行清单与持久化事务状态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artifacts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manifest 与版本化产物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NIC 属于节点；集群只连接和引用 NIC 端口。成本供应方不负责决定仲裁时序。资源占用由组件维护，仿真器可持有观测副本，但不能另建一套可独立修改的占用状态。</w:t>
      </w:r>
    </w:p>
    <w:p>
      <w:r>
        <w:t>跨模块不传任意可变字典或编译器内部 IR。控制信息使用小型、带版本的数据对象；大张量使用 DataRef，显式声明所在存储、布局、版本和内容引用。宿主程序共享同一个数组，不能让目标系统中的搬运、复制和可见性消失。</w:t>
      </w:r>
    </w:p>
    <w:p>
      <w:pPr>
        <w:pStyle w:val="Heading2"/>
      </w:pPr>
      <w:r>
        <w:t>1.5 一次实验的完整链条</w:t>
      </w:r>
    </w:p>
    <w:p>
      <w:pPr>
        <w:pStyle w:val="ListNumber"/>
      </w:pPr>
      <w:r>
        <w:t>声明问题：负载、数值质量、时延/吞吐目标、容量/功耗/面积限制以及比较范围。</w:t>
      </w:r>
    </w:p>
    <w:p>
      <w:pPr>
        <w:pStyle w:val="ListNumber"/>
      </w:pPr>
      <w:r>
        <w:t>configuration 解析组件模板、架构实例和实验覆盖，计算派生量并校验约束，冻结配置及来源。</w:t>
      </w:r>
    </w:p>
    <w:p>
      <w:pPr>
        <w:pStyle w:val="ListNumber"/>
      </w:pPr>
      <w:r>
        <w:t>evaluation 装配对应模型，通过公共契约输出能力和拓扑；workloads 提供负载和独立参考。</w:t>
      </w:r>
    </w:p>
    <w:p>
      <w:pPr>
        <w:pStyle w:val="ListNumber"/>
      </w:pPr>
      <w:r>
        <w:t>compiler 进行划分、切块、放置、存储规划和调度，导出绑定配置与负载的计划。</w:t>
      </w:r>
    </w:p>
    <w:p>
      <w:pPr>
        <w:pStyle w:val="ListNumber"/>
      </w:pPr>
      <w:r>
        <w:t>runtime 依据依赖及已发生事件派发操作；simulator 推进时间；各资源维护状态并通知完成。</w:t>
      </w:r>
    </w:p>
    <w:p>
      <w:pPr>
        <w:pStyle w:val="ListNumber"/>
      </w:pPr>
      <w:r>
        <w:t>evaluation 检查功能、汇总规定边界内的性能与成本；artifacts 保存输入、计划、成本版本、结果和诊断。</w:t>
      </w:r>
    </w:p>
    <w:p>
      <w:pPr>
        <w:pStyle w:val="ListNumber"/>
      </w:pPr>
      <w:r>
        <w:t>修改候选参数或映射策略，明确采用固定映射还是重新映射实验，比较收益、代价及不确定性。</w:t>
      </w:r>
    </w:p>
    <w:p>
      <w:r>
        <w:t>延迟的解释链应能从“结果变慢”回溯至“哪个阶段等待、哪个共享资源受限、哪个参数或策略造成”。只有总 TOPS、总带宽和一个利用率常数，无法支撑这种解释。</w:t>
      </w:r>
    </w:p>
    <w:p>
      <w:pPr>
        <w:pStyle w:val="Heading2"/>
        <w:keepNext/>
      </w:pPr>
      <w:r>
        <w:t>1.6 按问题选择精度与扩展顺序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问题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最小必要模型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升级条件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容量是否足够、上限是否合理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结构约束、工作量与解析下界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可行候选过多，需要区分实际瓶颈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哪种映射更快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存储生命周期、有限资源事件模型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差异来自流水线、bank 或仲裁细节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CIM 是否带来端到端收益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编码、外围转换、数据移动与精度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结论对器件误差或温度敏感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3D/双裸片是否合算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D2D、堆叠关系、容量与热预算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热反馈改变频率或可靠性判断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多卡/多机如何扩展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NIC 注入、共享路径、collective 与并行策略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路由、队列或故障成为主要问题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首个实现闭环选择一个 GEMM/MatVec、小型数字引擎、SRAM 和显式搬运。通过独立参考与手算时序后，替换或增加 CIM，引入多核/封装，再扩展节点和集群。系统研究也可先使用经过校准的设备摘要模型，但摘要与细粒度实现不能同时收取同一段时间或能量。</w:t>
      </w:r>
    </w:p>
    <w:p>
      <w:pPr>
        <w:pStyle w:val="Heading2"/>
      </w:pPr>
      <w:r>
        <w:t>1.7 文档层级与变更顺序</w:t>
      </w:r>
    </w:p>
    <w:p>
      <w:r>
        <w:t>顶层边界见本文；跨模块语义见 docs/interfaces/contracts.md；保存与复现见 docs/interfaces/artifacts.md；公式、工作流与优化见 docs/methods；场景与第一性原理见 docs/architecture/scenarios.md 和 first_principles.md。</w:t>
      </w:r>
    </w:p>
    <w:p>
      <w:r>
        <w:t>新增功能按“问题与假设 → 契约及参数定义 → 模块实现 → 验证证据 → 文档与示例”推进。先判断现有资源、关系或策略是否能组合表达，只有出现新的状态所有者或稳定职责时才增加顶层模块。</w:t>
      </w:r>
    </w:p>
    <w:p>
      <w:r>
        <w:t>本轮补充审视见 docs/architecture/design_review.md：区分接口冻结前的 P0、对应场景报告前的 P1，以及由决策敏感性触发的 P2。专题覆盖请求/缓冲生命周期、模型组合、完整工作量、实验有效性与物理可行性；这些能力继续归属现有 13 个模块。</w:t>
      </w:r>
    </w:p>
    <w:p>
      <w:pPr>
        <w:pStyle w:val="Heading1"/>
        <w:pageBreakBefore/>
      </w:pPr>
      <w:r>
        <w:t>2 公共契约与信息交换</w:t>
      </w:r>
    </w:p>
    <w:p>
      <w:pPr>
        <w:pStyle w:val="Heading2"/>
      </w:pPr>
      <w:r>
        <w:t>2.1 契约的稳定边界</w:t>
      </w:r>
    </w:p>
    <w:p>
      <w:pPr>
        <w:keepNext/>
      </w:pPr>
      <w:r>
        <w:t>本文件规定后续实现必须保持的语义，当前尚未提供可执行 schema。外部契约与编译器内部 IR 分别版本化。所有公开对象携带 schema_version、稳定 ID、来源标识；单位、对象引用和枚举值由 contracts 统一定义。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38"/>
        <w:gridCol w:w="3231"/>
        <w:gridCol w:w="3969"/>
      </w:tblGrid>
      <w:tr>
        <w:trPr>
          <w:cantSplit/>
          <w:tblHeader/>
        </w:trPr>
        <w:tc>
          <w:tcPr>
            <w:tcW w:type="dxa" w:w="243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对象</w:t>
            </w:r>
          </w:p>
        </w:tc>
        <w:tc>
          <w:tcPr>
            <w:tcW w:type="dxa" w:w="3231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生成方 → 使用方</w:t>
            </w:r>
          </w:p>
        </w:tc>
        <w:tc>
          <w:tcPr>
            <w:tcW w:type="dxa" w:w="3969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核心信息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ResolvedConfig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configuration → 装配与全部参与方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原始覆盖、完整有效值、派生值、单位、来源、哈希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HardwareSpec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硬件装配 → compiler/runtime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资源、端口、能力、关系、地址域、约束、时钟域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WorkloadSpec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workloads → compiler/evaluation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语义、形状、布局、精度、输入引用与参考规则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CostProfile / Estimate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costmodel → 模型/compiler/evaluation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动作条件、延迟/能量/面积、范围、来源与置信说明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PlacementPlan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compiler → runtime/evaluation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分片、任务、rank、DeviceView、物理资源和内存放置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ExecutionPlan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compiler → runtime/simulator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操作、缓冲区、依赖、静态约束、目标与负载哈希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CommunicationPlan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compiler/runtime → runtime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参与组、顺序、数据分片、规约规则、算法选择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Request / Event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runtime/组件 ↔ 组件/引擎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请求身份、端口、资源需求、依赖、状态及完成效果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SimulationResult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simulator → evaluation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状态、目标时间、计数器、输出引用、模型精度与诊断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ArtifactManifest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artifacts → 全部工具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产物类型、位置、哈希、版本、来源、运行状态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构造 HardwareSpec 时只导出静态能力与可查询的公共约束，不导出私有队列对象。运行观测使用独立只读快照。估计结果带 estimated 标识，实际模拟完成时间使用 observed/simulated 字段，不能混用。</w:t>
      </w:r>
    </w:p>
    <w:p>
      <w:r>
        <w:t>操作能力同时约束 shape、dtype、累加精度、layout、alignment 和稀疏格式。unsupported、infeasible、missing_characterization 与 out_of_domain 分别诊断；回退执行必须显式产生放置、转换和搬运成本。模型覆盖与成本归属见 docs/architecture/model_composition.md。</w:t>
      </w:r>
    </w:p>
    <w:p>
      <w:pPr>
        <w:pStyle w:val="Heading2"/>
      </w:pPr>
      <w:r>
        <w:t>2.2 标识单位与地址可见性</w:t>
      </w:r>
    </w:p>
    <w:p>
      <w:r>
        <w:t>物理实例 ID 在单次已解析架构中唯一。模板 ID 不是实例 ID；复用模板必须生成不同实例。DeviceView、rank 和通信组只通过引用连接实例。包含、连接、一致性、放置和热关系分别编码。</w:t>
      </w:r>
    </w:p>
    <w:p>
      <w:r>
        <w:t>规范交换单位采用 byte、bit、second、hertz、joule、watt、square_millimeter、kelvin；显示层可换算 ns、GB/s 等。B 与 bit、GB 与 GiB 必须区分。cycles 必须绑定 clock_domain；多时钟事件转换到统一时间基准，舍入规则属于引擎版本。</w:t>
      </w:r>
    </w:p>
    <w:p>
      <w:r>
        <w:t>DataRef 包含 data_id、version、storage_resource_id、region/offset、byte_length、dtype、shape、layout 和可选 content_ref/hash。data_id 相同不代表任意存储都已有有效副本。搬运完成或一致性协议确认后，目标副本才达到声明的可见性；写入产生新版本或显式声明原地更新规则。</w:t>
      </w:r>
    </w:p>
    <w:p>
      <w:r>
        <w:t>大数据经引用交换；数据内容保存由 artifacts/storage 处理，目标内存有效性由硬件/运行时协议维护。未建模一致性的配置不得默认提供全局共享内存语义。</w:t>
      </w:r>
    </w:p>
    <w:p>
      <w:r>
        <w:t>DataRef 还需引用有效的分配身份或世代；相同地址重新分配后，旧引用不得继续生效。逻辑有效字节、实际分配字节、存储访问字节和链路字节采用独立口径，不能由同一个张量大小字段替代。</w:t>
      </w:r>
    </w:p>
    <w:p>
      <w:pPr>
        <w:pStyle w:val="Heading2"/>
      </w:pPr>
      <w:r>
        <w:t>2.3 计划资源及依赖</w:t>
      </w:r>
    </w:p>
    <w:p>
      <w:pPr>
        <w:keepNext/>
      </w:pPr>
      <w:r>
        <w:t>计划至少绑定 schema_version、plan_id、hardware_hash、workload_hash、compiler_version、数值规则与能力要求。输入实际数据哈希在运行清单中绑定。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计划条目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必需字段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必须校验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缓冲区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存储资源、偏移、长度、布局、对齐、生命周期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容量、地址有效性、别名与重叠合法性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计算操作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操作码、形状、输入输出、精度、目标资源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能力匹配、数值规则、数据位置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搬运操作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源/目标区域、数据版本、长度、路径约束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连通性、访问权限、边界与目标可见性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同步操作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等待事件、参与者、同步范围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引用存在、完成条件可达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通信操作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group、sequence、参与者、字节数、规约规则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各参与者匹配；分片与数据类型一致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首版外部执行计划使用有限操作 DAG。循环在导出前展开或表示为有明确次数、依赖与成本范围的复合操作。自适应 runtime 策略可以生成追加操作，但必须记录决策和生成版本。</w:t>
      </w:r>
    </w:p>
    <w:p>
      <w:r>
        <w:t>依赖边默认表示前驱完成后后继才具备资格。若支持分块流式消费，必须单独声明 chunk 级就绪事件与消费范围。RAW、WAR、WAW 及别名冲突需由计划或已声明同步机制覆盖。</w:t>
      </w:r>
    </w:p>
    <w:p>
      <w:r>
        <w:t>PlacementPlan 描述放在哪里，ExecutionPlan 描述操作及约束，runtime 决定何时实际提交；预计时间不能强制消除资源争用。保留映射的参数实验仍须重新校验并生成绑定新配置哈希的计划。</w:t>
      </w:r>
    </w:p>
    <w:p>
      <w:pPr>
        <w:pStyle w:val="Heading2"/>
      </w:pPr>
      <w:r>
        <w:t>2.4 请求执行与完成时间</w:t>
      </w:r>
    </w:p>
    <w:p>
      <w:r>
        <w:t>组件协议包含能力查询、请求提交、接受/背压、状态转换、完成/失败通知和只读观测。接口可以实现为函数、事件或消息，不要求微服务。每个请求携带唯一 request_id、operation_id、目标端口、数据引用与回调/事件标识；重试必须避免重复执行。</w:t>
      </w:r>
    </w:p>
    <w:p>
      <w:r>
        <w:t>操作状态为 submitted → ready → started → completed；失败转 failed，取消需经过模型声明的处理过程。submitted 表示进入软件或硬件队列；ready 表示依赖满足；started 表示取得必要资源；completed 表示规定的数据和同步效果已可观察。accepted、source_consumed、delivered 与 destination_visible 分别声明；接收确认不等于完成或源缓冲可复用。</w:t>
      </w:r>
    </w:p>
    <w:p>
      <w:r>
        <w:t>cancel_requested 不等于 cancelled。已开始操作可拒绝取消、在安全边界停止或排空；已发生的写入、流量和能量不会自动撤销。终态前明确后续效果与资源释放，复位通过 run_epoch 隔离残留事件。请求重试、分配世代和分块可见性见 docs/interfaces/resource_lifecycle.md。</w:t>
      </w:r>
    </w:p>
    <w:p>
      <w:r>
        <w:t>延迟 Latency、发射间隔 Initiation Interval、占用 Occupancy 分别描述。流水线可以晚完成但早接受下一项；多阶段操作按真实占用释放资源。预留多个资源应声明原子获取或统一获取顺序，避免隐藏死锁。</w:t>
      </w:r>
    </w:p>
    <w:p>
      <w:r>
        <w:t>simulator 管理统一时间与稳定事件排序，组件维护局部状态。相同时间按 delta round 与固定阶段处理，例如完成/释放 → 可见性与依赖更新 → 策略回调 → 仲裁发射。新事件需返回更早阶段时进入下一轮；顺序及无进展检测须版本化。资源仲裁另行声明公平/优先级策略，不能由稳定 ID 排序代替。</w:t>
      </w:r>
    </w:p>
    <w:p>
      <w:r>
        <w:t>传输分段建模时，链路、DMA、内存端口与协议阶段声明各自的计费范围。端到端摘要延迟与内部细节只能选择一种权威计时方式。能否重叠由依赖和资源决定，不用简单相加或统一取最大值替代。</w:t>
      </w:r>
    </w:p>
    <w:p>
      <w:pPr>
        <w:pStyle w:val="Heading2"/>
      </w:pPr>
      <w:r>
        <w:t>2.5 通信与异构数值语义</w:t>
      </w:r>
    </w:p>
    <w:p>
      <w:r>
        <w:t>集合通信契约先定义结果语义，再选择 ring/tree 等算法。group_id、参与者排序、sequence_id、元素类型、reduction、分片长度必须匹配；缺少参与者不能被当作通信耗时较长。rank 到设备的映射独立保存，允许一设备多 rank 或一 rank 协调多个引擎，但共享容量仍只计一次。</w:t>
      </w:r>
    </w:p>
    <w:p>
      <w:r>
        <w:t>CPU/GPU/NPU/CIM 的数据类型、布局、累加顺序和转换均显式描述。CIM 权重映射包含编码、位切片、符号、阵列位置和校准版本。模拟误差需记录模型、分布、随机种子、相关性假设及适用条件。输出误差不能仅用硬件吞吐替代。</w:t>
      </w:r>
    </w:p>
    <w:p>
      <w:r>
        <w:t>HBF 的页粒度、访问接口、写入限制和介质行为由具体能力描述决定；需要预取/搬运时生成显式操作。连接协议的名称不能自动授予字节寻址、缓存一致性或持续峰值带宽。</w:t>
      </w:r>
    </w:p>
    <w:p>
      <w:pPr>
        <w:pStyle w:val="Heading2"/>
      </w:pPr>
      <w:r>
        <w:t>2.6 版本兼容与结果状态</w:t>
      </w:r>
    </w:p>
    <w:p>
      <w:r>
        <w:t>不支持的 schema、单位、能力或字段语义应明确报错，不静默忽略。迁移生成新对象与迁移记录，不修改历史实验。内容哈希遵守统一规范化规则；哈希证明身份一致，不证明语义正确。</w:t>
      </w:r>
    </w:p>
    <w:p>
      <w:r>
        <w:t>SimulationResult 区分 succeeded、failed、cancelled，保留部分统计的有效区间。所有必需操作完成且输出达到规定可见性才可成功。仍有工作却无可推进事件时输出死锁/无进展诊断；事件上限、目标时间上限、宿主墙钟超时分别记录。</w:t>
      </w:r>
    </w:p>
    <w:p>
      <w:r>
        <w:t>执行状态、功能验证、模型覆盖和校准适用域分别保存。性能运行未计算完整张量时，不能把执行成功标为功能通过；unknown 成本不能当零累计为完整总成本。初始状态、测量窗口、到达过程与随机子流绑定运行身份，具体比较规则见 docs/methods/experiment_validity.md。</w:t>
      </w:r>
    </w:p>
    <w:p>
      <w:r>
        <w:t>TraceEvent 保存时间、阶段、资源、操作、状态和阻塞原因；必要时保存关联 request_id 与数据版本。核心计数器独立于可关闭或采样的轨迹。持久化清单、原子提交与复现规则见 docs/interfaces/artifacts.md。</w:t>
      </w:r>
    </w:p>
    <w:p>
      <w:pPr>
        <w:pStyle w:val="Heading1"/>
        <w:pageBreakBefore/>
      </w:pPr>
      <w:r>
        <w:t>3 验证方法与阶段门槛</w:t>
      </w:r>
    </w:p>
    <w:p>
      <w:pPr>
        <w:pStyle w:val="Heading2"/>
        <w:keepNext/>
      </w:pPr>
      <w:r>
        <w:t>3.1 验证对象与适用精度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模型层次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必须证明什么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不能据此宣称什么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结构模型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引用、单位、层级、容量与组合约束合法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功能正确或性能准确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功能模型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计算、数据版本、同步与数值误差符合约定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有可靠时序或能耗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解析模型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工作量、流量、资源界与公式假设一致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实际争用、队列与重叠已还原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事件模型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因果、有限资源、争用与重叠正确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已有逐周期或电路精度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逐周期模型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关键流水线、端口与仲裁逐周期一致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已完成物理实现或热签核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每份结果声明覆盖的行为、简化项、校准范围与误差。混合精度可以按资源选择，但同一工作不能同时由摘要模型和细节模型重复计时、计流量或计能量。</w:t>
      </w:r>
    </w:p>
    <w:p>
      <w:pPr>
        <w:pStyle w:val="Heading2"/>
        <w:keepNext/>
      </w:pPr>
      <w:r>
        <w:t>3.2 验证所有者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位置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重点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代表性证据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tests/contracts、configuration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契约、配置解释和迁移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错误单位、悬空引用、覆盖来源、约束失败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tests/costmodel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成本适用域与单位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校准点、插值范围、外推拒绝或标识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tests/chipmodel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组件状态与资源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容量、端口冲突、流水线、CIM 位映射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tests/systemmodel、clustermodel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系统与共享路径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DMA/NIC 上限、NUMA、链路争用和通信匹配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compiler/tests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编译转换与映射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独立语义比对、生命周期和容量证明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tests/runtime、simulator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策略、因果和终止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背压、并发完成、稳定排序、死锁与复位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tests/workloads、integration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参考与完整链条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输入有效性、输出误差、手算时间和复现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tests/artifacts、evaluation、ui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证据与使用流程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中断状态、缺失产物、比较口径、配置往返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目录表示验证归属，当前尚无这些模块的执行测试。现有 tools/check_structure.py 只检查骨架、文档、依赖图和结构示例，不能替代上表的实现验收。</w:t>
      </w:r>
    </w:p>
    <w:p>
      <w:pPr>
        <w:pStyle w:val="Heading2"/>
      </w:pPr>
      <w:r>
        <w:t>3.3 不随实现变化的检查</w:t>
      </w:r>
    </w:p>
    <w:p>
      <w:r>
        <w:t>资源容量不能为负或超售；数据没有凭空产生、消失或提前可见；任何开始事件都满足依赖；时间单调；每个请求至多完成一次；能量和流量在明确边界内只累计一次。地址复用必须有生命周期依据，逻辑设备视图不能增加物理资源数量。</w:t>
      </w:r>
    </w:p>
    <w:p>
      <w:r>
        <w:t>整数参考按位宽、饱和、溢出规则比较；浮点采用预先规定的绝对/相对容差，并明确 NaN、无穷和有符号零处理。随机 CIM 误差还需报告输出分布和任务质量，不能仅运行一次并报告通过。</w:t>
      </w:r>
    </w:p>
    <w:p>
      <w:r>
        <w:t>时序先验证单次计算、单次传输、竞争同一资源、流水线连续请求和计算/传输重叠；再验证双 Die、共享 PCIe/NIC 和集群通信。每个案例保存初始状态、可手算预期和偏差解释。</w:t>
      </w:r>
    </w:p>
    <w:p>
      <w:pPr>
        <w:pStyle w:val="Heading2"/>
        <w:keepNext/>
      </w:pPr>
      <w:r>
        <w:t>3.4 公平指标与边界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指标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定义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必须声明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任务延迟 Latency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约定终点减起点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输入装载、预处理、写回和通信是否计入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持续吞吐 Throughput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测量区间内完成工作量 / 时间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工作单位、预热、负载与批量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资源利用率 Utilization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已占用槽位时间 / 可用槽位时间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槽容量、有效频率和测量区间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存储峰值 Peak Live Bytes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同时活跃分配的最大字节数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层级、别名、双缓冲和元数据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接口流量 Traffic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指定边界通过的实际字节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方向、协议开销、重传与多跳口径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能量/面积 Energy/Area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按所声明范围累计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芯片/封装/节点边界，泄漏与外围覆盖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扩展效率 Scaling Efficiency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同一基准下的加速 / 资源倍率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强/弱扩展，异构资源归一化方式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忙碌时间比例不等于多槽利用率；多个操作的等待区间不能直接求和作为端到端延迟。延迟分位数要有足够样本与请求到达模型。峰值 TOPS、有效 MAC/s、目标仿真时间和宿主程序运行时间分开记录。</w:t>
      </w:r>
    </w:p>
    <w:p>
      <w:pPr>
        <w:pStyle w:val="Heading2"/>
      </w:pPr>
      <w:r>
        <w:t>3.5 实验与校准</w:t>
      </w:r>
    </w:p>
    <w:p>
      <w:r>
        <w:t>每个实验冻结配置、负载、代码、成本版本、映射和随机种子；保存清单规范见 docs/interfaces/artifacts.md。只记录 Git commit 不能覆盖未提交代码，应额外保存可恢复补丁与新增文件或源码归档。</w:t>
      </w:r>
    </w:p>
    <w:p>
      <w:r>
        <w:t>架构比较固定负载与数值质量要求。重新映射实验比较各硬件下的可实现方案；固定映射实验保持放置和静态策略，用于归因，同时重新验证合法性。不能把一种实验的结果直接解释成另一种。</w:t>
      </w:r>
    </w:p>
    <w:p>
      <w:r>
        <w:t>校准先分辨误差来自参数、漏建行为还是工作负载差异。训练校准参数与验证模型的数据分离，记录残差、适用域和外推。无校准的面积、能耗、热 RC 结果只能标为条件估计，不能作为物理签核。</w:t>
      </w:r>
    </w:p>
    <w:p>
      <w:r>
        <w:t>搜索结果同时报告可行、失败、取消和未覆盖候选数。随机运行记录重复次数、离散程度与区间方法；确定性运行检验同输入同版本可复现。参数不确定性和随机执行波动分别分析。</w:t>
      </w:r>
    </w:p>
    <w:p>
      <w:pPr>
        <w:pStyle w:val="Heading2"/>
        <w:keepNext/>
      </w:pPr>
      <w:r>
        <w:t>3.6 阶段门槛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37"/>
        <w:gridCol w:w="3515"/>
        <w:gridCol w:w="5386"/>
      </w:tblGrid>
      <w:tr>
        <w:trPr>
          <w:cantSplit/>
          <w:tblHeader/>
        </w:trPr>
        <w:tc>
          <w:tcPr>
            <w:tcW w:type="dxa" w:w="737"/>
            <w:vAlign w:val="center"/>
            <w:shd w:fill="E8EEF4"/>
          </w:tcPr>
          <w:p>
            <w:pPr>
              <w:pStyle w:val="TableBody"/>
              <w:keepNext/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type="dxa" w:w="3515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交付重点</w:t>
            </w:r>
          </w:p>
        </w:tc>
        <w:tc>
          <w:tcPr>
            <w:tcW w:type="dxa" w:w="5386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进入下一阶段的证据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A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架构规范和结构骨架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目录、依赖、契约边界、术语和示例可检查；本次交付到此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B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最小功能闭环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GEMM/MatVec、独立参考、显式搬运、合法计划与错误诊断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C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有限资源事件模型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单请求、冲突、流水线与重叠均可手算验证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D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参数扫描和成本比较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改一个参数可追溯，固定/重映射分离，结果可复现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E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异构、封装、节点和集群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对应边界的共享瓶颈、通信、精度与容量验证通过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F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关键路径外部校准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实测/工具/可选 RTL 数据、误差报告和适用范围明确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阶段 E 可按研究问题与 B–D 局部交错：例如先使用校准摘要 GPU 模型研究集群；这不意味着其内部微架构已通过 C。是否进入更细模型，由结论对未建模行为的敏感程度决定。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51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20" w:lineRule="exact" w:after="80"/>
      <w:snapToGrid w:val="0"/>
    </w:pPr>
    <w:rPr>
      <w:rFonts w:ascii="Microsoft YaHei" w:hAnsi="Microsoft YaHei" w:eastAsia="Microsoft YaHei" w:cs="Microsoft YaHei"/>
      <w:b w:val="0"/>
      <w:i w:val="0"/>
      <w:color w:val="000000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 w:line="405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324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567" w:lineRule="exact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283" w:lineRule="exact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1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0" w:lineRule="exact" w:after="80"/>
      <w:contextualSpacing/>
    </w:pPr>
    <w:rPr>
      <w:rFonts w:ascii="Microsoft YaHei" w:hAnsi="Microsoft YaHei" w:eastAsia="Microsoft YaHei" w:cs="Microsoft YaHei"/>
      <w:b w:val="0"/>
      <w:i w:val="0"/>
      <w:color w:val="000000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20" w:lineRule="exact" w:after="80"/>
      <w:contextualSpacing/>
    </w:pPr>
    <w:rPr>
      <w:rFonts w:ascii="Microsoft YaHei" w:hAnsi="Microsoft YaHei" w:eastAsia="Microsoft YaHei" w:cs="Microsoft YaHei"/>
      <w:b w:val="0"/>
      <w:i w:val="0"/>
      <w:color w:val="000000"/>
      <w:sz w:val="21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">
    <w:name w:val="Table Body"/>
    <w:basedOn w:val="Normal"/>
    <w:pPr>
      <w:spacing w:line="280" w:lineRule="exact" w:before="0" w:after="0"/>
    </w:pPr>
    <w:rPr>
      <w:rFonts w:ascii="Microsoft YaHei" w:hAnsi="Microsoft YaHei" w:eastAsia="Microsoft YaHei" w:cs="Microsoft YaHei"/>
      <w:b w:val="0"/>
      <w:i w:val="0"/>
      <w:color w:val="000000"/>
      <w:sz w:val="19"/>
      <w:u w:val="none"/>
    </w:rPr>
  </w:style>
  <w:style w:type="paragraph" w:customStyle="1" w:styleId="CodeBlock">
    <w:name w:val="Code Block"/>
    <w:basedOn w:val="Normal"/>
    <w:pPr>
      <w:spacing w:line="252" w:lineRule="auto" w:after="0"/>
    </w:pPr>
    <w:rPr>
      <w:rFonts w:ascii="Consolas" w:hAnsi="Consolas" w:eastAsia="Microsoft YaHei" w:cs="Microsoft YaHei"/>
      <w:b w:val="0"/>
      <w:i w:val="0"/>
      <w:color w:val="000000"/>
      <w:sz w:val="18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UniverseModel 芯片到集群架构设计</dc:title>
  <dc:subject>模块边界 信息契约 验证与实施门槛</dc:subject>
  <dc:creator>UniverseModel</dc:creator>
  <cp:keywords/>
  <dc:description>Markdown source SHA256: 9fcf657544fa6060d50f777eb24a25e35150a525f39673bee2b60f323dfc3863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