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芯片架构结构参数与设计方法</w:t>
      </w:r>
    </w:p>
    <w:p>
      <w:pPr>
        <w:pStyle w:val="Subtitle"/>
      </w:pPr>
      <w:r>
        <w:t>UniverseModel 中英文术语 参数来源 CIM 与异构建模</w:t>
      </w:r>
    </w:p>
    <w:p>
      <w:r>
        <w:t>UniverseModel 的架构设计从工作负载和约束出发，联合决定计算单元、存储层次、互连、控制和软件映射，再用功能与性能模型验证。本文整理结构与参数的中英文术语、参数获取方法，以及从 CIM 宏单元构建异构系统的步骤。当前阶段采用软件模型；关键成本参数可在后续用电路、RTL 或实测结果校准。</w:t>
      </w:r>
    </w:p>
    <w:p>
      <w:pPr>
        <w:pStyle w:val="Heading1"/>
      </w:pPr>
      <w:r>
        <w:t>1 架构层次与概念边界</w:t>
      </w:r>
    </w:p>
    <w:p>
      <w:r>
        <w:t>架构规格要说明支持哪些操作、采用什么数值语义、有哪些资源，以及软件怎样使用这些资源。微架构进一步规定流水线、队列、端口、仲裁和数据通路。芯片物理实现决定这些选择在工艺、布线、供电和散热约束下能否达到目标。</w:t>
      </w:r>
    </w:p>
    <w:p>
      <w:pPr>
        <w:pStyle w:val="Heading2"/>
      </w:pPr>
      <w:r>
        <w:t>1.1 CIM 与异构的关系</w:t>
      </w:r>
    </w:p>
    <w:p>
      <w:pPr>
        <w:keepNext/>
      </w:pPr>
      <w:r>
        <w:rPr>
          <w:b/>
        </w:rPr>
        <w:t>CIM 和异构属于不同的设计维度。</w:t>
      </w:r>
      <w:r>
        <w:t xml:space="preserve"> CIM 说明计算与存储怎样结合；异构说明多种计算资源怎样协作。一个系统可以同时采用 SRAM CIM、数字矩阵单元、向量单元和控制 CPU，也可以完全由数字单元组成。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维度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英文术语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要回答的问题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计算位置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Compute In Memory / In-Memory Computing，CIM / IMC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计算在存储阵列内、外围还是远离存储的位置发生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计算域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Digital / Analog / Mixed-Signal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运算依靠数字逻辑、模拟物理量，还是两者结合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存储介质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SRAM / RRAM / PCM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单元如何保存数据，是否易失，读写有什么限制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系统组织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Heterogeneous Computing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不同类型的处理单元怎样分工和共享数据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物理集成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Monolithic Die / Chiplet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功能放在一片裸片还是多个互连的裸片上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SRAM 是 Static Random-Access Memory；RRAM 或 ReRAM 是 Resistive Random-Access Memory；PCM 是 Phase-Change Memory。SRAM CIM 也可以采用模拟计算，不能把 SRAM 等同于数字 CIM，把非易失存储等同于模拟 CIM。</w:t>
      </w:r>
    </w:p>
    <w:p>
      <w:r>
        <w:t>PIM（Processing In Memory）在不同文献中有宽窄不同的用法。项目建议用 CIM 表示计算直接利用存储阵列或其紧耦合外围，用 Near-Memory Computing 表示独立逻辑靠近存储；引用文献时保留作者的定义和实际数据路径。</w:t>
      </w:r>
    </w:p>
    <w:p>
      <w:pPr>
        <w:pStyle w:val="Heading2"/>
      </w:pPr>
      <w:r>
        <w:t>1.2 从系统到单元</w:t>
      </w:r>
    </w:p>
    <w:p>
      <w:pPr>
        <w:keepNext/>
      </w:pPr>
      <w:r>
        <w:t>常用层次是 System / SoC → Die / Chiplet → Tile / Core → Macro → Subarray → Cell。Tile、Core 和 Macro 在不同论文中的边界不同，工程中必须按资源和端口重新定义。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层次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建议在 UniverseModel 中表达的边界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主要连接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System / SoC 系统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主机、加速器、外部存储及系统接口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命令、外存请求、完成通知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Die / Chiplet 裸片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时钟、电源、封装和跨片通信边界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Die-to-Die 链路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Tile / Core 计算簇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可独立派发任务的一组计算、缓冲和控制资源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片上网络与共享存储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CIM Macro 宏单元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阵列及执行一次完整宏操作所需的外围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输入、权重装载、结果、完成事件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Subarray 子阵列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共享局部字线、位线或外围的阵列分区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局部选择、感测和累加路径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Cell 存储单元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存储状态与读写、计算相关物理行为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阵列内部电气连接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不要仅凭名称嵌套模型。若某论文的 Core 已含 ADC、局部 SRAM 和路由器，应按实际内容拆分或封装，避免面积、延迟和能耗重复计算。</w:t>
      </w:r>
    </w:p>
    <w:p>
      <w:pPr>
        <w:pStyle w:val="Heading1"/>
      </w:pPr>
      <w:r>
        <w:t>2 通用结构和参数</w:t>
      </w:r>
    </w:p>
    <w:p>
      <w:r>
        <w:t>下列参数构成架构建模的检查范围。具体项目按目标负载选取；没有缓存、虚拟通道或模拟转换器的结构不应保留无效参数。</w:t>
      </w:r>
    </w:p>
    <w:p>
      <w:pPr>
        <w:pStyle w:val="Heading2"/>
        <w:keepNext/>
      </w:pPr>
      <w:r>
        <w:t>2.1 工作负载与数值语义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对象与英文术语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需要记录的参数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对设计的影响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算子 Operator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类型、输入输出形状 Tensor Shape、依赖、动态形状范围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决定计算能力和控制复杂度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任务规模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Batch Size、Sequence Length、并发数、到达间隔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决定吞吐、延迟和存储需求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精度 Precision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输入、权重、累加和输出位宽；整数或浮点格式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影响阵列映射、带宽和数值结果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量化 Quantization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Scale、Zero Point、舍入 Rounding、饱和 Saturation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影响跨单元结果一致性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稀疏性 Sparsity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比例、块形状、索引格式、动态变化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只有硬件与映射支持跳过时才减少执行成本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数据复用 Data Reuse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权重、输入和部分和复用次数；Working Set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决定数据驻留位置和片上容量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运算强度 Arithmetic Intensity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指定存储边界上的有效运算数 / 搬运字节数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判断计算或数据搬运是否限制性能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验收指标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端到端延迟、吞吐、能耗、面积、任务精度或误差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定义可接受的设计空间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训练和推理应分别建模；训练涉及梯度、中间激活、优化器状态及更新。如果目标包含大模型，Prefill 与 Decode 也应分别统计，因为并行度、权重复用和 KV Cache 访问不同。</w:t>
      </w:r>
    </w:p>
    <w:p>
      <w:pPr>
        <w:pStyle w:val="Heading2"/>
        <w:keepNext/>
      </w:pPr>
      <w:r>
        <w:t>2.2 计算资源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对象与英文术语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需要记录的参数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对设计的影响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PE 处理单元 Processing Element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数量、支持操作、每次发射的运算数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决定理想并行计算能力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MAC 乘加 Multiply-Accumulate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输入和累加精度、每周期数量、饱和规则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决定数值语义及峰值吞吐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SIMD 单指令多数据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Single Instruction Multiple Data；Lane 数、向量长度、掩码、数据类型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决定逐元素和向量运算效率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Systolic Array 脉动阵列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行列数、注入方向、数据流、填充和排空延迟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决定形状适配和有效利用率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Pipeline 流水线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Latency、Initiation Interval、Occupancy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分别决定完成延迟、连续发射能力和资源占用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SFU 特殊函数单元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Special Function Unit；除法、指数等操作及精度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支持归一化、非线性等运算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Reduction 归约单元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归约宽度、树结构、累加位宽、吞吐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合并部分和并支持统计操作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CPU 可编程核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ISA、核数、发射宽度、分支预测；乱序实现另设 ROB 和发射队列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影响通用程序和控制执行能力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GPU 执行组织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SIMT、Warp 大小、常驻线程、寄存器及共享存储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影响延迟隐藏、分支分歧和并发度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ISA 是 Instruction Set Architecture；ROB 是 Reorder Buffer；SIMT 是 Single Instruction Multiple Threads。CPU/GPU 的内部细节按模型目标逐步引入，作为控制核使用时可以先抽象其命令服务能力。</w:t>
      </w:r>
    </w:p>
    <w:p>
      <w:r>
        <w:t>利用率 Utilization 是负载、映射和资源争用的结果，不能把固定的“80% 利用率”同时当作所有设计的硬件属性。稀疏等效 TOPS 与实际执行运算数必须分别统计。</w:t>
      </w:r>
    </w:p>
    <w:p>
      <w:pPr>
        <w:pStyle w:val="Heading2"/>
        <w:keepNext/>
      </w:pPr>
      <w:r>
        <w:t>2.3 存储层次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对象与英文术语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需要记录的参数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对设计的影响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RF 寄存器文件 Register File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深度、字宽、读写端口数、访问延迟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支撑最近端的数据复用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SRAM / SPM 片上存储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容量、Bank 数、每 Bank 深度与宽度、端口类型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决定可驻留的数据量及并行访问能力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Cache 缓存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容量、Line Size、Associativity、替换和写策略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决定命中、缺失和额外流量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Bank 存储分体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地址交织 Interleaving、独立端口、冲突规则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决定并发请求能否同时完成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Buffer 缓冲区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深度、双缓冲、生产消费规则、生命周期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决定计算与搬运能否重叠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ECC 错误纠正码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校验位、编码延迟、有效容量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改变物理容量和可用容量的关系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DDR / LPDDR / HBM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容量、通道、数据率、总线宽度、访问时序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约束片外数据供应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Memory Controller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请求队列、调度、读写切换、刷新、地址映射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决定持续带宽与排队延迟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SPM 是 Scratchpad Memory，由软件显式管理。它与硬件管理的 Cache 应分别表达。DDR 是 Double Data Rate；LPDDR 是 Low-Power DDR；HBM 是 High Bandwidth Memory。DRAM 行命中 Row Hit、行冲突 Row Conflict、突发 Burst 及 Bank 并行性影响持续带宽，不能只用标称 GB/s 代替访问模型。</w:t>
      </w:r>
    </w:p>
    <w:p>
      <w:r>
        <w:t>如果系统支持虚拟内存，还需建模地址翻译：MMU（Memory Management Unit）、TLB（Translation Lookaside Buffer）的项数与页大小、缺失延迟和 DMA 地址空间。仅采用物理地址的首版模型应明确该限制。</w:t>
      </w:r>
    </w:p>
    <w:p>
      <w:pPr>
        <w:pStyle w:val="Heading2"/>
        <w:keepNext/>
      </w:pPr>
      <w:r>
        <w:t>2.4 数据传输与控制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对象与英文术语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需要记录的参数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对设计的影响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DMA 直接存储器访问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通道数、突发长度、启动开销、未完成请求数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决定搬运并发度和小传输成本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NoC 片上网络 Network-on-Chip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Topology、Routing、链路宽度和速率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决定通信路径和共享瓶颈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Router 路由器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端口数、流水级、缓冲深度、仲裁 Arbitration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决定冲突、排队和单跳延迟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Flit / VC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流控单元位宽、Virtual Channel 数、信用 Credit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决定网络流控与阻塞行为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广播与归约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Broadcast、Multicast、Reduction 的硬件支持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决定权重共享和部分和合并成本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Command Queue 命令队列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深度、发射宽度、顺序规则、完成条件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决定任务派发开销和并发能力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同步 Synchronization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Event、Barrier、依赖与数据可见性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保证执行顺序和结果正确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一致性语义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Cache Coherence、Memory Consistency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规定共享数据如何被各处理单元观察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时钟与电源域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Clock / Power Domain、频率、电压、CDC 开销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决定统一时间换算和跨域通信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DMA 是 Direct Memory Access；CDC 是 Clock Domain Crossing。Coherence 描述同一地址多个缓存副本的协调；Consistency 描述访存顺序的可见规则。首版加速器可以采用显式 DMA 和同步，但必须明确完成事件何时保证数据可见。Backpressure（背压）表示下游容量不足时限制上游继续发送。</w:t>
      </w:r>
    </w:p>
    <w:p>
      <w:pPr>
        <w:pStyle w:val="Heading2"/>
      </w:pPr>
      <w:r>
        <w:t>2.5 物理实现与成本</w:t>
      </w:r>
    </w:p>
    <w:p>
      <w:r>
        <w:t>PPA 是 Power、Performance、Area。需要记录目标工艺、目标频率、电压、面积和功耗预算；成本模型还要声明 PVT（Process、Voltage、Temperature）条件、动态能量 Dynamic Energy、漏电功率 Leakage Power 和占用面积。</w:t>
      </w:r>
    </w:p>
    <w:p>
      <w:r>
        <w:t>目标频率是设计约束，布局布线后满足时序的频率是实现结果。时钟树、供电、布线、测试逻辑、冗余和封装都会产生开销。架构模型只覆盖部分开销时，应在面积与能耗报告中明确统计边界。</w:t>
      </w:r>
    </w:p>
    <w:p>
      <w:pPr>
        <w:pStyle w:val="Heading1"/>
      </w:pPr>
      <w:r>
        <w:t>3 CIM 必须额外表达的参数</w:t>
      </w:r>
    </w:p>
    <w:p>
      <w:pPr>
        <w:pStyle w:val="Heading2"/>
        <w:keepNext/>
      </w:pPr>
      <w:r>
        <w:t>3.1 阵列与数值表示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对象与英文术语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需要记录的参数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必须区分的语义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Array 阵列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Rows、Columns、子阵列数、可并行激活的行数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总行数不等于一次能参与计算的行数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Cell 单元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介质、每单元位数 Cell Bits、可用状态范围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单元位数不等于权重位数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Weight Encoding 权重编码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Weight Bits、Signed Encoding、Differential Pair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负数表示及冗余会占用额外单元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Bit Slicing 位切片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切片数量、放置位置、合并方式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高位宽权重可能占多个列或宏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Bit Serial 位串行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每次处理的输入位数、相位和时序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输入位宽可能改变一次逻辑运算的周期数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Partial Sum 部分和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累加位宽、跨行块和跨宏归约、输出量化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宏内结果不一定是完整算子结果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Weight Residency 权重驻留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装载容量、换入策略、重用次数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决定装载成本能否摊销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  <w:keepNext/>
      </w:pPr>
      <w:r>
        <w:t>3.2 外围与非理想性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对象与英文术语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需要记录的参数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对结果的影响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ADC 模数转换器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分辨率、数量、共享比例、转换延迟与能量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约束输出精度、吞吐和外围成本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DAC 数模转换器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分辨率、数量、输入编码和驱动能力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决定输入表示；部分设计采用脉冲或位串行驱动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Sense Amplifier 感测放大器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感测方案、延迟、能量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影响读出或计算判决成本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MUX 多路选择器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共享结构、选择数量和切换开销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外围共享通常减少面积并增加服务时间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Shift-and-Add 移位累加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数量、位宽、流水线、累加顺序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合并切片和分批计算结果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Program / Write 编程写入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写入与校验延迟、能量、并发限制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尤其影响频繁更新权重的方案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Variation / Noise 变异噪声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器件差异、读取噪声、分布与随机种子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改变数值误差及任务精度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IR Drop / Drift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阵列压降、电导漂移、时间和温度依赖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约束阵列规模和校准频率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Endurance / Retention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写入寿命、保持时间、刷新或重编程机制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依器件决定长期运行和更新限制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Calibration 校准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校准表、频率、面积、时间和能耗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修正误差，同时产生系统成本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ADC 是 Analog-to-Digital Converter；DAC 是 Digital-to-Analog Converter；MUX 是 Multiplexer。纯数字 CIM 通常不需要模拟乘加路径的 ADC/DAC。噪声、漂移和寿命参数按器件与电路选择启用。ADC 标称位数、有效位数 ENOB（Effective Number of Bits）和任务最终精度不是同一指标；应把硬件误差带回工作负载验证。</w:t>
      </w:r>
    </w:p>
    <w:p>
      <w:pPr>
        <w:pStyle w:val="Heading2"/>
      </w:pPr>
      <w:r>
        <w:t>3.3 一个容量与并行度例子</w:t>
      </w:r>
    </w:p>
    <w:p>
      <w:r>
        <w:t>假设一个阵列有 256 行、256 列，每单元存 2 bit，使用 8 bit 无符号权重；每个逻辑权重占同一行的 4 列。假设所有单元均可用于权重，暂不计差分编码、冗余和校验。</w:t>
      </w:r>
    </w:p>
    <w:p>
      <w:pPr>
        <w:pStyle w:val="ListBullet"/>
      </w:pPr>
      <w:r>
        <w:t>物理存储量为 256 × 256 × 2 / 8 = 16 KiB。</w:t>
      </w:r>
    </w:p>
    <w:p>
      <w:pPr>
        <w:pStyle w:val="ListBullet"/>
      </w:pPr>
      <w:r>
        <w:t>可存 16,384 个 8 bit 权重，对应一个 256 输入、64 输出的逻辑矩阵。</w:t>
      </w:r>
    </w:p>
    <w:p>
      <w:pPr>
        <w:pStyle w:val="ListBullet"/>
      </w:pPr>
      <w:r>
        <w:t>如果每次最多激活 128 行，完整点积至少需要两个行分组结果再合并。</w:t>
      </w:r>
    </w:p>
    <w:p>
      <w:pPr>
        <w:pStyle w:val="ListBullet"/>
      </w:pPr>
      <w:r>
        <w:t>如果 8 bit 输入采用逐位串行处理，同一阵列的一次逻辑矩阵向量运算至少涉及 2 × 8 = 16 个阵列求值相位。</w:t>
      </w:r>
    </w:p>
    <w:p>
      <w:r>
        <w:t>这些相位不直接等于时钟周期数。ADC 共享、切片读出、流水重叠、移位累加和跨宏归约共同决定延迟与发射间隔。不能由 256 × 256 的阵列尺寸直接得到“每周期 65,536 次完整 8 bit MAC”。</w:t>
      </w:r>
    </w:p>
    <w:p>
      <w:pPr>
        <w:pStyle w:val="Heading1"/>
      </w:pPr>
      <w:r>
        <w:t>4 参数分类与获取方法</w:t>
      </w:r>
    </w:p>
    <w:p>
      <w:pPr>
        <w:pStyle w:val="Heading2"/>
        <w:keepNext/>
      </w:pPr>
      <w:r>
        <w:t>4.1 分开管理四类数据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类别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例子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获取与更新方式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设计变量 Design Knob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宏数量、阵列行列、Bank 数、队列深度、目标频率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由约束和搜索空间指定；改变后检查依赖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特征化数据 Characterization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SRAM 读能量、ADC 延迟、宏面积、最高可用频率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工具估算、电路仿真、IP 数据或实测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派生量 Derived Quantity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总容量、理想带宽、逻辑权重容量、峰值算力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从设计变量和成本模型计算；界面只读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运行结果 Run Metric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端到端延迟、持续带宽、利用率、任务精度、总能量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在特定负载、输入和映射下仿真或测量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同一个字段可能出现在不同角色中，例如目标带宽与实际持续带宽，名称必须区分。改变阵列规模、ADC 分辨率或频率时，原有能耗和延迟数据可能失效；系统应重新查询成本模型或标记缺少有效数据。</w:t>
      </w:r>
    </w:p>
    <w:p>
      <w:pPr>
        <w:pStyle w:val="Heading2"/>
        <w:keepNext/>
      </w:pPr>
      <w:r>
        <w:t>4.2 参数来自哪里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来源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适合获得的参数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使用条件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工作负载分析 Profiling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形状、访存量、依赖、动态精度和稀疏度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覆盖代表性输入与阶段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产品或 IP 规格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接口、时序、容量、峰值带宽、支持精度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核实版本、工作模式和统计边界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Memory Compiler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SRAM 宏容量、端口、面积、时序、功耗表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绑定具体工艺和合法宏组织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Liberty 等特征化视图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标准单元或宏的时序与功耗条件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核实 PVT、负载和输入转换时间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PDK 与 SPICE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定制 CIM 电路、ADC、器件及外围成本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使用相应工艺模型，覆盖工作条件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RTL 综合与 STA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逻辑面积、时序、关键路径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尚需布线及活动信息完善成本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布局布线与功耗分析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连线、拥塞、时钟树、时序和功耗估计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明确寄生参数和切换活动来源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公开硅片论文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实测宏或芯片指标、精度与工作条件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对齐工艺、数值精度、稀疏性及是否包含外围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微基准与硬件实测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延迟、持续带宽、争用、功耗和误差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控制输入、温度、频率和测量范围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没有 PDK 或 RTL 时，可以先使用明确假设和有适用范围的估算，进行敏感性分析。参数未知时保留 unknown 或区间，不能填 0 以让模型运行。把来自不同芯片的最低能耗、最高频率和最小面积拼成一个配置，通常无法代表可实现的设计。</w:t>
      </w:r>
    </w:p>
    <w:p>
      <w:pPr>
        <w:pStyle w:val="Heading2"/>
        <w:keepNext/>
      </w:pPr>
      <w:r>
        <w:t>4.3 可借鉴的公开工具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工具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适合解决的问题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适用边界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Timeloop [2]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张量算子的体系结构与映射搜索、访存和性能分析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依赖负载、映射约束与成本模型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Accelergy / CiMLoop [3]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组件动作能量、面积、CIM 架构成本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ERT / ART 依赖插件和特征化数据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CACTI [4]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缓存和存储组织的时延、能耗、面积估算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检查版本和工艺；不能直接代表先进节点实际 SRAM 或 CIM 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DNN+NeuroSim [5]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器件、电路、CIM 层次与任务精度协同评估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预测工艺模型不等同于代工厂 PDK 或实测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Ramulator 2 [6]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DRAM 控制器、命令与时序、访问延迟和带宽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不替代整片计算与 NoC 模型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ZigZag [7]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架构与映射联合探索，含数字和模拟 IMC 支持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结果取决于支持的架构、映射和成本抽象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ERT 是 Energy Reference Table；ART 是 Area Reference Table。各工具承担不同抽象层的工作，不应直接相加可能重复覆盖的能量、面积或延迟。接入 UniverseModel 时先统一操作、单位、统计边界和版本。</w:t>
      </w:r>
    </w:p>
    <w:p>
      <w:pPr>
        <w:pStyle w:val="Heading2"/>
      </w:pPr>
      <w:r>
        <w:t>4.4 每个参数保留的证据</w:t>
      </w:r>
    </w:p>
    <w:p>
      <w:r>
        <w:t>参数定义记录名称、作用域、类型、单位、合法范围、枚举选项、默认规则、依赖及是否可编辑。参数取值另外记录来源类别、引用或文件、版本、工艺电压温度、精度和活动条件、适用范围及不确定性。</w:t>
      </w:r>
    </w:p>
    <w:p>
      <w:r>
        <w:t>例如，某个 SRAM 的 read_energy_pj 必须说明每次动作读取多少 bit、在什么 Bank 和端口组织下、采用哪种电压和活动模型。仅保存一个“2 pJ”无法支持可靠比较；这里的 2 pJ 只是格式示意值。</w:t>
      </w:r>
    </w:p>
    <w:p>
      <w:r>
        <w:t>未知成本先取有依据的上下界，分别运行乐观、标称和保守情形。如果架构排名随成本小幅变化就翻转，应优先校准该参数，而不是直接宣布某个架构更优。</w:t>
      </w:r>
    </w:p>
    <w:p>
      <w:pPr>
        <w:pStyle w:val="Heading1"/>
      </w:pPr>
      <w:r>
        <w:t>5 从 CIM 宏单元构建异构芯片</w:t>
      </w:r>
    </w:p>
    <w:p>
      <w:pPr>
        <w:pStyle w:val="Heading2"/>
      </w:pPr>
      <w:r>
        <w:t>5.1 常见的系统组织方式</w:t>
      </w:r>
    </w:p>
    <w:p>
      <w:r>
        <w:t>当前芯片没有统一结构。通用 CPU/GPU、边缘 NPU、数据中心加速器的可编程性、缓存体系、外存和功耗约束不同。对 AI 加速器，一个可评估的起点是由控制、计算、存储和互连共同组成系统。</w:t>
      </w:r>
    </w:p>
    <w:p>
      <w:r>
        <w:t>主机或控制 CPU 提交命令，DMA 在片外与片上存储之间搬运数据；片上网络连接共享存储和各类 Tile。Tile 内包含计算单元、局部缓冲、累加或归约、发射与完成逻辑。各类单元的数量和组织应由负载分析决定。</w:t>
      </w:r>
    </w:p>
    <w:p>
      <w:r>
        <w:t>NVDLA 展示了卷积计算、缓冲、逐元素、池化及数据搬运等模块的分解 [1]，适合学习资源和控制边界；它不是所有当前 AI 芯片的统一模板。2023 年公开的 64 核 PCM 混合信号 CIM 芯片包含片上通信及数字处理 [8]，说明完整 CIM 系统仍需要数字支持和通信结构。</w:t>
      </w:r>
    </w:p>
    <w:p>
      <w:pPr>
        <w:pStyle w:val="Heading2"/>
        <w:keepNext/>
      </w:pPr>
      <w:r>
        <w:t>5.2 决定异构分工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运算特征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候选资源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需要比较的成本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稳定、可量化且复用充分的矩阵乘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CIM 或数字矩阵单元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装载摊销、量化误差、阵列利用率、转换与累加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动态权重或频繁更新的矩阵乘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数字矩阵单元，也可评估可快速写入的 CIM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写入时间、精度、重映射和存储流量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逐元素、归一化、非线性、归约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SIMD、SFU、归约单元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中间结果大小、数据转换和串行占比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分支、不规则任务及系统管理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控制 CPU 或可编程核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派发、同步、主机往返和可编程性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CIM 适配性取决于具体电路和工作负载。比如矩阵乘的运算数很大，但权重只用一次、矩阵很窄、要求很高精度或结果搬运很重，系统收益仍可能有限。大模型的固定权重投影与动态 Attention 矩阵也应分别评估。</w:t>
      </w:r>
    </w:p>
    <w:p>
      <w:r>
        <w:t>异构拆分不能只按算子名称。相邻算子融合 Fusion 可减少中间结果写回；拆到不同单元可能多一次搬运、重排、量化和同步。是否拆分要比较整个子图的完成时间、能量和精度。</w:t>
      </w:r>
    </w:p>
    <w:p>
      <w:pPr>
        <w:pStyle w:val="Heading2"/>
      </w:pPr>
      <w:r>
        <w:t>5.3 推荐的设计顺序</w:t>
      </w:r>
    </w:p>
    <w:p>
      <w:pPr>
        <w:pStyle w:val="ListNumber"/>
      </w:pPr>
      <w:r>
        <w:t>定义代表性负载、目标延迟与吞吐、面积功耗预算、允许误差，以及是否包含主机和片外成本。</w:t>
      </w:r>
    </w:p>
    <w:p>
      <w:pPr>
        <w:pStyle w:val="ListNumber"/>
      </w:pPr>
      <w:r>
        <w:t>建立数字基线：计算单元、存储和传输均有完整统计，用于检查映射和成本口径。</w:t>
      </w:r>
    </w:p>
    <w:p>
      <w:pPr>
        <w:pStyle w:val="ListNumber"/>
      </w:pPr>
      <w:r>
        <w:t>建立 CIM 宏模型：明确逻辑操作、权重编码、外围、装载、发射间隔及误差来源。</w:t>
      </w:r>
    </w:p>
    <w:p>
      <w:pPr>
        <w:pStyle w:val="ListNumber"/>
      </w:pPr>
      <w:r>
        <w:t>补齐 Tile：加入输入输出缓冲、局部累加、DMA 或网络接口、派发和同步。</w:t>
      </w:r>
    </w:p>
    <w:p>
      <w:pPr>
        <w:pStyle w:val="ListNumber"/>
      </w:pPr>
      <w:r>
        <w:t>做资源分工与软件映射：决定算子落点、切块、数据驻留、融合和任务顺序。</w:t>
      </w:r>
    </w:p>
    <w:p>
      <w:pPr>
        <w:pStyle w:val="ListNumber"/>
      </w:pPr>
      <w:r>
        <w:t>放大到多 Tile：评估网络与外存争用、负载不均、归约流量和同步开销。</w:t>
      </w:r>
    </w:p>
    <w:p>
      <w:pPr>
        <w:pStyle w:val="ListNumber"/>
      </w:pPr>
      <w:r>
        <w:t>联合探索架构与映射：比较性能、能量、面积和精度约束下的 Pareto 方案。</w:t>
      </w:r>
    </w:p>
    <w:p>
      <w:pPr>
        <w:pStyle w:val="ListNumber"/>
      </w:pPr>
      <w:r>
        <w:t>对决定方案优劣的关键部件做电路或 RTL 校准；面积、封装或带宽问题需要时再引入 Chiplet。</w:t>
      </w:r>
    </w:p>
    <w:p>
      <w:r>
        <w:t>该流程需要迭代。例如发现外存受限，应同时检查片上容量、数据复用和映射，而不只是增加计算宏。改变计算 Tile 数量，也要检查 NoC 和存储端口能否提供新增流量。</w:t>
      </w:r>
    </w:p>
    <w:p>
      <w:pPr>
        <w:pStyle w:val="Heading2"/>
      </w:pPr>
      <w:r>
        <w:t>5.4 必须保持一致的计算口径</w:t>
      </w:r>
    </w:p>
    <w:p>
      <w:r>
        <w:rPr>
          <w:b/>
        </w:rPr>
        <w:t>带宽。</w:t>
      </w:r>
      <w:r>
        <w:t xml:space="preserve"> 理想带宽 = 每次传输的数据位宽 / 8 × 每秒传输次数 × 独立链路数。持续带宽还受协议、访问模式、仲裁和反压影响，分别标注单向与双向、有效载荷与编码位。</w:t>
      </w:r>
    </w:p>
    <w:p>
      <w:r>
        <w:rPr>
          <w:b/>
        </w:rPr>
        <w:t>算力。</w:t>
      </w:r>
      <w:r>
        <w:t xml:space="preserve"> 数字计算单元可按 PE 数 × 每 PE 每次发射的 MAC 数 × 频率 / 发射间隔计算理想 MAC/s；各量的精度和粒度必须相同。把一次 MAC 计为 2 ops 时明确声明。CIM 应先计算完整目标精度操作的发射能力。</w:t>
      </w:r>
    </w:p>
    <w:p>
      <w:r>
        <w:rPr>
          <w:b/>
        </w:rPr>
        <w:t>延迟。</w:t>
      </w:r>
      <w:r>
        <w:t xml:space="preserve"> 端到端延迟由带依赖和资源约束的执行时间线确定。只有完全串行的阶段才能直接相加；计算与传输可重叠时，应由事件与资源模型决定。Roofline 可按 min(峰值算力, 带宽 × 运算强度) 做瓶颈初筛，不能代替完整延迟模型。</w:t>
      </w:r>
    </w:p>
    <w:p>
      <w:r>
        <w:rPr>
          <w:b/>
        </w:rPr>
        <w:t>能量。</w:t>
      </w:r>
      <w:r>
        <w:t xml:space="preserve"> 总能量可按各类动作次数 × 对应每动作能量，再加各电源状态下漏电功率 × 持续时间汇总。CIM 阵列、ADC、累加、存储、NoC 和片外访问划分互斥统计边界。权重装载需报告冷启动成本，以及实际复用次数下的摊销成本。</w:t>
      </w:r>
    </w:p>
    <w:p>
      <w:r>
        <w:rPr>
          <w:b/>
        </w:rPr>
        <w:t>面积。</w:t>
      </w:r>
      <w:r>
        <w:t xml:space="preserve"> 组件面积按实际实例累计，共享外围只计一次；另外标明布线、时钟与电源、测试及封装开销是否覆盖。任何 TOPS/W 数字都必须带精度、运算计数规则和系统边界。</w:t>
      </w:r>
    </w:p>
    <w:p>
      <w:pPr>
        <w:pStyle w:val="Heading1"/>
      </w:pPr>
      <w:r>
        <w:t>6 在 UniverseModel 中落地</w:t>
      </w:r>
    </w:p>
    <w:p>
      <w:pPr>
        <w:pStyle w:val="Heading2"/>
      </w:pPr>
      <w:r>
        <w:t>6.1 参数管理与可视化</w:t>
      </w:r>
    </w:p>
    <w:p>
      <w:r>
        <w:t>参数定义应同时驱动文件校验、图形表单和批量扫描。每个字段展示中英文名、单位、合法范围、当前值、继承来源和成本依据。枚举用选择框；有明确连续范围的变量可用滑块；整数、位宽和合法宏组织采用相应约束。</w:t>
      </w:r>
    </w:p>
    <w:p>
      <w:r>
        <w:t>配置按组件默认值 → 基础架构 → 变体覆盖 → 实验覆盖解析，运行时保存不可变快照。可视化界面建议包括资源层次树、连接图、参数编辑、校验问题和方案对比。派生量显示公式与依赖，特征化数据通过成本配置选择；运行结果与可编辑输入分开展示。</w:t>
      </w:r>
    </w:p>
    <w:p>
      <w:r>
        <w:t>改动后逐层检查：字段是否有效，连接与资源是否兼容，成本模型是否仍适用，负载和映射是否可行。涉及位宽、端口、容量和时序的错误应标出具体组件及冲突字段。</w:t>
      </w:r>
    </w:p>
    <w:p>
      <w:pPr>
        <w:pStyle w:val="Heading2"/>
        <w:keepNext/>
      </w:pPr>
      <w:r>
        <w:t>6.2 模块解耦与数据传递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边界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交换内容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约束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配置到模型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解析后的 HardwareSpec、成本配置引用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组件只接收所属参数和明确依赖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模型到编译器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操作能力、精度、容量、端口、连接与映射约束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编译器不读组件内部队列和动态状态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编译器到仿真器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ExecutionPlan：资源、缓冲、操作和依赖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绑定硬件快照与负载版本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组件之间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数据请求、接收或背压、完成事件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明确操作 ID、端口、缓冲引用、尺寸和时序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仿真器到评估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SimulationResult 与 TraceEvent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包含统计口径、版本、配置及输入哈希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大张量使用 Buffer / Tensor Reference 表达：存储资源、偏移、长度、数据类型、形状、布局和量化信息。进程内可以引用共享数据对象；持久化或跨进程时使用文件或块存储引用。数据到达、结果可见和资源释放通过有明确定义的事件表达。</w:t>
      </w:r>
    </w:p>
    <w:p>
      <w:r>
        <w:t>组件模型提供功能和资源行为，仿真器管理时间推进；编译器决定映射与静态依赖，运行时仲裁处理真实冲突。成本模型可替换，但操作语义和统计边界保持一致。详细契约见 docs/interfaces/contracts.md。</w:t>
      </w:r>
    </w:p>
    <w:p>
      <w:pPr>
        <w:pStyle w:val="Heading2"/>
      </w:pPr>
      <w:r>
        <w:t>6.3 首版实现范围</w:t>
      </w:r>
    </w:p>
    <w:p>
      <w:r>
        <w:t>先选择一个代表性矩阵任务及必要的后处理，建立数字基线和一种 CIM 候选。首批配置覆盖精度、矩阵或阵列尺寸、Tile 数、局部存储、片外带宽、DMA、延迟与发射间隔；采用模拟 CIM 时再增加转换、编码和误差配置。</w:t>
      </w:r>
    </w:p>
    <w:p>
      <w:r>
        <w:t>验收时至少说明：功能误差是否达标，计算与传输分别花费多少时间，哪个资源造成等待，能耗主要来自哪些动作；改变一个参数后，性能变化是否能被轨迹解释。完成这个闭环后，再扩展完整计算图、更多异构单元和复杂互连。</w:t>
      </w:r>
    </w:p>
    <w:p>
      <w:r>
        <w:t>参数字典、成本配置和组件注册是后续实现的约定；现有目录骨架及界面原型尚不提供这些后端能力。</w:t>
      </w:r>
    </w:p>
    <w:p>
      <w:pPr>
        <w:pStyle w:val="Heading1"/>
      </w:pPr>
      <w:r>
        <w:t>7 参考资料</w:t>
      </w:r>
    </w:p>
    <w:p>
      <w:r>
        <w:t>以下公开资料用于解释结构、工具和参数来源。具体实验还应固定工具提交版本与参数文件，并保存实际使用的数据。</w:t>
      </w:r>
    </w:p>
    <w:p>
      <w:pPr>
        <w:pStyle w:val="ListBullet"/>
      </w:pPr>
      <w:r>
        <w:t>[1] NVDLA Hardware Architectural Specification。可配置加速器的模块、缓冲、控制和接口示例。https://nvdla.org/hw/v1/hwarch.html</w:t>
      </w:r>
    </w:p>
    <w:p>
      <w:pPr>
        <w:pStyle w:val="ListBullet"/>
      </w:pPr>
      <w:r>
        <w:t>[2] Timeloop。工作负载、架构、映射与成本的分离及联合探索。https://timeloop.csail.mit.edu/</w:t>
      </w:r>
    </w:p>
    <w:p>
      <w:pPr>
        <w:pStyle w:val="ListBullet"/>
      </w:pPr>
      <w:r>
        <w:t>[3] Accelergy 与 CiMLoop。架构级能量面积、插件及 CIM 建模；CiMLoop 论文发表于 ISPASS 2024。https://github.com/Accelergy-Project/accelergy</w:t>
      </w:r>
    </w:p>
    <w:p>
      <w:pPr>
        <w:pStyle w:val="ListBullet"/>
      </w:pPr>
      <w:r>
        <w:t>[4] CACTI。存储组织的时间、功耗和面积模型。https://github.com/HewlettPackard/cacti</w:t>
      </w:r>
    </w:p>
    <w:p>
      <w:pPr>
        <w:pStyle w:val="ListBullet"/>
      </w:pPr>
      <w:r>
        <w:t>[5] DNN+NeuroSim V1.4。CIM 分层建模与算法精度评估。https://github.com/neurosim/DNN_NeuroSim_V1.4</w:t>
      </w:r>
    </w:p>
    <w:p>
      <w:pPr>
        <w:pStyle w:val="ListBullet"/>
      </w:pPr>
      <w:r>
        <w:t>[6] Ramulator 2。DRAM 控制器和时序模型。https://github.com/CMU-SAFARI/ramulator2</w:t>
      </w:r>
    </w:p>
    <w:p>
      <w:pPr>
        <w:pStyle w:val="ListBullet"/>
      </w:pPr>
      <w:r>
        <w:t>[7] ZigZag。架构与映射探索，含数字和模拟 IMC 支持。https://github.com/KULeuven-MICAS/zigzag</w:t>
      </w:r>
    </w:p>
    <w:p>
      <w:pPr>
        <w:pStyle w:val="ListBullet"/>
      </w:pPr>
      <w:r>
        <w:t>[8] Le Gallo 等，A 64-core mixed-signal in-memory compute chip based on phase-change memory for deep neural network inference，Nature Electronics，2023。https://www.nature.com/articles/s41928-023-01010-1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8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405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24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67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83" w:lineRule="exact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0" w:lineRule="exact" w:after="8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0" w:lineRule="exact" w:after="8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Normal"/>
    <w:pPr>
      <w:spacing w:line="280" w:lineRule="exact" w:before="0" w:after="0"/>
    </w:pPr>
    <w:rPr>
      <w:rFonts w:ascii="Microsoft YaHei" w:hAnsi="Microsoft YaHei" w:eastAsia="Microsoft YaHei" w:cs="Microsoft YaHei"/>
      <w:b w:val="0"/>
      <w:i w:val="0"/>
      <w:color w:val="000000"/>
      <w:sz w:val="19"/>
      <w:u w:val="none"/>
    </w:rPr>
  </w:style>
  <w:style w:type="paragraph" w:customStyle="1" w:styleId="CodeBlock">
    <w:name w:val="Code Block"/>
    <w:basedOn w:val="Normal"/>
    <w:pPr>
      <w:spacing w:line="252" w:lineRule="auto" w:after="0"/>
    </w:pPr>
    <w:rPr>
      <w:rFonts w:ascii="Consolas" w:hAnsi="Consolas" w:eastAsia="Microsoft YaHei" w:cs="Microsoft YaHei"/>
      <w:b w:val="0"/>
      <w:i w:val="0"/>
      <w:color w:val="000000"/>
      <w:sz w:val="1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芯片架构结构参数与设计方法</dc:title>
  <dc:subject>UniverseModel 中英文术语 参数来源 CIM 与异构建模</dc:subject>
  <dc:creator>UniverseModel</dc:creator>
  <cp:keywords/>
  <dc:description>Markdown source SHA256: 828d91a6e5088e151b90731193df6a8451ef652347081b400c8465632b594937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