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UniverseModel 芯片架构建模工程设计</w:t>
      </w:r>
    </w:p>
    <w:p>
      <w:pPr>
        <w:pStyle w:val="Subtitle"/>
      </w:pPr>
      <w:r>
        <w:t>工程结构 接口约定 验证方法</w:t>
      </w:r>
    </w:p>
    <w:p>
      <w:pPr>
        <w:pStyle w:val="Heading1"/>
      </w:pPr>
      <w:r>
        <w:t>1 工程结构与模块职责</w:t>
      </w:r>
    </w:p>
    <w:p>
      <w:pPr>
        <w:pStyle w:val="Heading2"/>
      </w:pPr>
      <w:r>
        <w:t>建模范围</w:t>
      </w:r>
    </w:p>
    <w:p>
      <w:r>
        <w:t>UniverseModel 支撑芯片架构定义、软件映射、功能验证与性能评估。设计产出包括架构规格、可执行模型、映射计划和实验结果。后续通过关键模块 RTL 的仿真与综合结果校准模型。</w:t>
      </w:r>
    </w:p>
    <w:p>
      <w:r>
        <w:rPr>
          <w:rFonts w:ascii="Consolas" w:hAnsi="Consolas" w:eastAsia="Microsoft YaHei"/>
        </w:rPr>
        <w:t>chipmodel</w:t>
      </w:r>
      <w:r>
        <w:t xml:space="preserve"> 保存软件实现的架构和微架构模型。计算单元、流水线、缓冲区、端口及仲裁行为均可在该层描述。RTL 后续作为独立实现加入，并对照同一份接口规格验证。</w:t>
      </w:r>
    </w:p>
    <w:p>
      <w:r>
        <w:t>首先确定目标负载、支持的操作、数值精度和资源约束，再选择模型精度与实现语言。当前结构不绑定特定指令集或芯片类型。</w:t>
      </w:r>
    </w:p>
    <w:p>
      <w:pPr>
        <w:pStyle w:val="Heading2"/>
        <w:keepNext/>
      </w:pPr>
      <w:r>
        <w:t>顶层职责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3572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目录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负责内容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主要产出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chipmodel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硬件资源、内部状态、操作行为与成本估计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硬件能力描述和组件模型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compiler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计算图转换、划分、映射与静态调度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可供仿真的执行计划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simulator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驱动模型执行，推进时间，处理事件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输出数据、统计、执行轨迹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workloads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代表性任务、输入规格与独立参考实现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负载定义及正确性基准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evaluation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实验运行、参数扫描、指标分析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可复现的方案对比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tests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模型、接口与端到端验证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自动检查与回归用例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config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硬件、编译、仿真和实验配置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可序列化的运行参数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data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输入数据与运行结果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数据集和实验记录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example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展示一次完整调用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最小可复现示例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docs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架构规格、接口约定与验证方法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Markdown 源文档和 Word 汇编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rFonts w:ascii="Consolas" w:hAnsi="Consolas" w:eastAsia="Microsoft YaHei"/>
        </w:rPr>
        <w:t>workloads</w:t>
      </w:r>
      <w:r>
        <w:t xml:space="preserve"> 描述要执行什么，</w:t>
      </w:r>
      <w:r>
        <w:rPr>
          <w:rFonts w:ascii="Consolas" w:hAnsi="Consolas" w:eastAsia="Microsoft YaHei"/>
        </w:rPr>
        <w:t>config</w:t>
      </w:r>
      <w:r>
        <w:t xml:space="preserve"> 描述采用哪些参数，</w:t>
      </w:r>
      <w:r>
        <w:rPr>
          <w:rFonts w:ascii="Consolas" w:hAnsi="Consolas" w:eastAsia="Microsoft YaHei"/>
        </w:rPr>
        <w:t>data</w:t>
      </w:r>
      <w:r>
        <w:t xml:space="preserve"> 保存具体数据和结果。大型输入通过清单、校验值和获取方式管理；每次运行保存实际使用的配置快照。</w:t>
      </w:r>
    </w:p>
    <w:p>
      <w:pPr>
        <w:pStyle w:val="Heading2"/>
      </w:pPr>
      <w:r>
        <w:t>芯片模型</w:t>
      </w:r>
    </w:p>
    <w:p>
      <w:pPr>
        <w:keepNext/>
      </w:pPr>
      <w:r>
        <w:t>各组件分别定义静态参数、运行状态和状态转换。组件可以返回完成事件或延迟估计，统一时间轴由仿真引擎管理。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3572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子目录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主要参数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主要状态与行为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compute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支持操作、精度、并行度、吞吐与延迟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发射、执行、流水线占用、完成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memory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容量、位宽、端口、访问延迟和带宽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分配、读写、端口冲突、请求排队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interconnect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拓扑、链路带宽、路由和传输规则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传输、争用、背压、交付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control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队列容量、发射规则和同步机制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就绪判断、派发、仲裁、同步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带宽、容量和延迟参数由硬件配置提供，编译器与仿真器读取同一份解析结果。组件之间通过显式端口、请求和事件交互。芯片模型依赖的公共类型应保持稳定，避免依赖编译器内部优化 pass。</w:t>
      </w:r>
    </w:p>
    <w:p>
      <w:pPr>
        <w:pStyle w:val="Heading2"/>
      </w:pPr>
      <w:r>
        <w:t>编译器和仿真器</w:t>
      </w:r>
    </w:p>
    <w:p>
      <w:pPr>
        <w:keepNext/>
      </w:pPr>
      <w:r>
        <w:t>保留现有编译器目录。下表定义各阶段的职责，具体 pass 顺序由 pipeline 根据数据依赖组织。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编译器目录</w:t>
            </w:r>
          </w:p>
        </w:tc>
        <w:tc>
          <w:tcPr>
            <w:tcW w:type="dxa" w:w="7370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ir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表达计算语义、数据对象及依赖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globalsplit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全局任务或计算图划分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globalsolver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全局资源与映射方案求解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tiling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确定计算块和数据块的粒度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memplan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分配存储区域并管理数据生命周期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sched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确定静态顺序、资源映射与依赖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lowering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转换到目标架构支持的操作层级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interpret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解释 IR，用于编译语义检查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export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导出带版本的执行计划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pipeline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组织 pass，检查输入输出约束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lba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保留现有目录，职责明确后接入 pipeline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rFonts w:ascii="Consolas" w:hAnsi="Consolas" w:eastAsia="Microsoft YaHei"/>
        </w:rPr>
        <w:t>simulator/engine</w:t>
      </w:r>
      <w:r>
        <w:t xml:space="preserve"> 负责事件队列、时间推进、完成通知和终止判断；</w:t>
      </w:r>
      <w:r>
        <w:rPr>
          <w:rFonts w:ascii="Consolas" w:hAnsi="Consolas" w:eastAsia="Microsoft YaHei"/>
        </w:rPr>
        <w:t>stats</w:t>
      </w:r>
      <w:r>
        <w:t xml:space="preserve"> 汇总计数器；</w:t>
      </w:r>
      <w:r>
        <w:rPr>
          <w:rFonts w:ascii="Consolas" w:hAnsi="Consolas" w:eastAsia="Microsoft YaHei"/>
        </w:rPr>
        <w:t>trace</w:t>
      </w:r>
      <w:r>
        <w:t xml:space="preserve"> 记录操作和资源事件。组件状态由芯片模型维护。</w:t>
      </w:r>
    </w:p>
    <w:p>
      <w:r>
        <w:t>编译器给出映射及静态依赖。执行时的端口占用、队列阻塞和仲裁由芯片模型表达，仿真引擎推进这些行为。计划中的预计时间用于分析，实际完成时间由仿真得到。</w:t>
      </w:r>
    </w:p>
    <w:p>
      <w:r>
        <w:t>IR 解释器检查编译转换的语义。功能仿真检查执行计划在硬件操作语义下的结果。两者均应与 workloads/reference 中独立实现的参考结果比对。</w:t>
      </w:r>
    </w:p>
    <w:p>
      <w:pPr>
        <w:pStyle w:val="Heading2"/>
      </w:pPr>
      <w:r>
        <w:t>数据流与实现顺序</w:t>
      </w:r>
    </w:p>
    <w:p>
      <w:r>
        <w:t>负载定义与输入数据进入编译器。编译器查询硬件能力，导出执行计划。仿真器装载同一硬件配置和输入数据，执行计划并记录结果。evaluation 完成功能比对、性能分析和方案比较。</w:t>
      </w:r>
    </w:p>
    <w:p>
      <w:pPr>
        <w:keepNext/>
      </w:pPr>
      <w:r>
        <w:t>硬件配置、执行计划、输入数据通过标识及内容哈希关联。仿真开始前检查引用一致性。参数扫描逐次生成配置快照，是否重新编译由实验目的决定。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737"/>
        <w:gridCol w:w="3515"/>
        <w:gridCol w:w="5386"/>
      </w:tblGrid>
      <w:tr>
        <w:trPr>
          <w:cantSplit/>
          <w:tblHeader/>
        </w:trPr>
        <w:tc>
          <w:tcPr>
            <w:tcW w:type="dxa" w:w="737"/>
            <w:vAlign w:val="center"/>
            <w:shd w:fill="E8EEF4"/>
          </w:tcPr>
          <w:p>
            <w:pPr>
              <w:pStyle w:val="TableBody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3515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实现重点</w:t>
            </w:r>
          </w:p>
        </w:tc>
        <w:tc>
          <w:tcPr>
            <w:tcW w:type="dxa" w:w="5386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完成条件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1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最小架构规格和工作负载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操作、资源、数据格式及预期输出明确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2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功能模型和最小映射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执行输出与独立参考一致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3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时间模型和资源争用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延迟与占用符合可手算案例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4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参数扫描和对比分析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同一实验可复现，性能变化有证据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5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关键模块 RTL 校准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记录模型与 RTL 的差异并更新参数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阶段 2 可以采用直接映射，按需要增加编译优化。阶段 3 先建立能够解释瓶颈的时间模型，再细化流水线、队列或逐周期行为。</w:t>
      </w:r>
    </w:p>
    <w:p>
      <w:pPr>
        <w:pStyle w:val="Heading1"/>
        <w:pageBreakBefore/>
      </w:pPr>
      <w:r>
        <w:t>2 模块接口与执行约定</w:t>
      </w:r>
    </w:p>
    <w:p>
      <w:pPr>
        <w:pStyle w:val="Heading2"/>
      </w:pPr>
      <w:r>
        <w:t>契约边界</w:t>
      </w:r>
    </w:p>
    <w:p>
      <w:pPr>
        <w:keepNext/>
      </w:pPr>
      <w:r>
        <w:t>本节定义首版实现应遵守的语义。具体类、函数及序列化 schema 在实现时确定。外部数据格式与编译器内部 IR 分开版本管理；导出器和装载器负责转换与校验。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1701"/>
        <w:gridCol w:w="1984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数据对象</w:t>
            </w:r>
          </w:p>
        </w:tc>
        <w:tc>
          <w:tcPr>
            <w:tcW w:type="dxa" w:w="1701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生成方</w:t>
            </w:r>
          </w:p>
        </w:tc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使用方</w:t>
            </w:r>
          </w:p>
        </w:tc>
        <w:tc>
          <w:tcPr>
            <w:tcW w:type="dxa" w:w="3969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必备内容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HardwareSpec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</w:pPr>
            <w:r>
              <w:t>config 与 chipmodel</w:t>
            </w:r>
          </w:p>
        </w:tc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compiler、simulator</w:t>
            </w:r>
          </w:p>
        </w:tc>
        <w:tc>
          <w:tcPr>
            <w:tcW w:type="dxa" w:w="3969"/>
            <w:vAlign w:val="center"/>
          </w:tcPr>
          <w:p>
            <w:pPr>
              <w:pStyle w:val="TableBody"/>
            </w:pPr>
            <w:r>
              <w:t>版本、资源、能力、连接、约束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WorkloadSpec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</w:pPr>
            <w:r>
              <w:t>workloads</w:t>
            </w:r>
          </w:p>
        </w:tc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compiler、evaluation</w:t>
            </w:r>
          </w:p>
        </w:tc>
        <w:tc>
          <w:tcPr>
            <w:tcW w:type="dxa" w:w="3969"/>
            <w:vAlign w:val="center"/>
          </w:tcPr>
          <w:p>
            <w:pPr>
              <w:pStyle w:val="TableBody"/>
            </w:pPr>
            <w:r>
              <w:t>操作、数据类型、形状、输入和参考规则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ExecutionPlan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</w:pPr>
            <w:r>
              <w:t>compiler</w:t>
            </w:r>
          </w:p>
        </w:tc>
        <w:tc>
          <w:tcPr>
            <w:tcW w:type="dxa" w:w="1984"/>
            <w:vAlign w:val="center"/>
          </w:tcPr>
          <w:p>
            <w:pPr>
              <w:pStyle w:val="TableBody"/>
            </w:pPr>
            <w:r>
              <w:t>simulator</w:t>
            </w:r>
          </w:p>
        </w:tc>
        <w:tc>
          <w:tcPr>
            <w:tcW w:type="dxa" w:w="3969"/>
            <w:vAlign w:val="center"/>
          </w:tcPr>
          <w:p>
            <w:pPr>
              <w:pStyle w:val="TableBody"/>
            </w:pPr>
            <w:r>
              <w:t>资源映射、缓冲分配、操作、依赖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SimulationResult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</w:pPr>
            <w:r>
              <w:t>simulator</w:t>
            </w:r>
          </w:p>
        </w:tc>
        <w:tc>
          <w:tcPr>
            <w:tcW w:type="dxa" w:w="1984"/>
            <w:vAlign w:val="center"/>
          </w:tcPr>
          <w:p>
            <w:pPr>
              <w:pStyle w:val="TableBody"/>
            </w:pPr>
            <w:r>
              <w:t>evaluation、tests</w:t>
            </w:r>
          </w:p>
        </w:tc>
        <w:tc>
          <w:tcPr>
            <w:tcW w:type="dxa" w:w="3969"/>
            <w:vAlign w:val="center"/>
          </w:tcPr>
          <w:p>
            <w:pPr>
              <w:pStyle w:val="TableBody"/>
            </w:pPr>
            <w:r>
              <w:t>运行状态、输出引用、指标、配置标识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TraceEvent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</w:pPr>
            <w:r>
              <w:t>simulator/trace</w:t>
            </w:r>
          </w:p>
        </w:tc>
        <w:tc>
          <w:tcPr>
            <w:tcW w:type="dxa" w:w="1984"/>
            <w:vAlign w:val="center"/>
          </w:tcPr>
          <w:p>
            <w:pPr>
              <w:pStyle w:val="TableBody"/>
            </w:pPr>
            <w:r>
              <w:t>evaluation、调试工具</w:t>
            </w:r>
          </w:p>
        </w:tc>
        <w:tc>
          <w:tcPr>
            <w:tcW w:type="dxa" w:w="3969"/>
            <w:vAlign w:val="center"/>
          </w:tcPr>
          <w:p>
            <w:pPr>
              <w:pStyle w:val="TableBody"/>
            </w:pPr>
            <w:r>
              <w:t>时间、操作、资源、事件、阻塞原因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硬件与负载描述</w:t>
      </w:r>
    </w:p>
    <w:p>
      <w:r>
        <w:t>HardwareSpec 为每个计算、存储、传输和控制资源分配唯一标识，声明支持的操作及资源连接。动态行为的选择也属于配置，例如仲裁策略、路由规则和队列深度。</w:t>
      </w:r>
    </w:p>
    <w:p>
      <w:r>
        <w:t>容量与地址以字节表示，带宽以字节每周期或字节每秒表示并显式标注。单时钟模型声明时钟频率和周期单位；引入多时钟域时声明时钟域、转换规则及统一时间单位。</w:t>
      </w:r>
    </w:p>
    <w:p>
      <w:r>
        <w:t>WorkloadSpec 声明操作语义、输入输出的数据类型、形状及布局。数值规则包括累加精度、舍入、溢出或饱和处理，以及结果比对容差。参考实现独立于目标硬件模型。</w:t>
      </w:r>
    </w:p>
    <w:p>
      <w:pPr>
        <w:pStyle w:val="Heading2"/>
      </w:pPr>
      <w:r>
        <w:t>执行计划</w:t>
      </w:r>
    </w:p>
    <w:p>
      <w:pPr>
        <w:keepNext/>
      </w:pPr>
      <w:r>
        <w:t>ExecutionPlan 包含计划版本、目标硬件配置哈希、负载标识、缓冲区表和操作表。计划导出时固化这些信息；每次运行另外记录输入数据哈希。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3572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必备字段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校验要求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缓冲区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标识、存储资源、偏移、字节数、布局、生命周期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地址有效，容量满足，活跃区间内重叠有依据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操作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标识、类型、目标资源、输入输出、属性、依赖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标识唯一，类型受支持，资源及数据引用存在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搬运操作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源区域、目标区域、字节数、传输路径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区域不越界，路径连通，完成时目标数据可见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计算操作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操作码、形状、精度和缓冲区引用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数值语义明确，资源能力满足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同步操作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等待的操作或事件、同步范围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引用存在，就绪与完成条件明确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依赖边表示前驱完成后，后继才具备执行资格；资源可用性仍需在运行时判断。异步操作的完成事件必须对应实际完成，不能仅表示已提交到队列。</w:t>
      </w:r>
    </w:p>
    <w:p>
      <w:r>
        <w:t>首版计划采用有限操作依赖图。循环在导出前展开或转为语义明确的复合操作。装载时检测依赖环、未知操作、越界访问、不支持的精度和配置不匹配，并给出对象标识与原因。</w:t>
      </w:r>
    </w:p>
    <w:p>
      <w:r>
        <w:t>存在数据复用或地址别名时，计划必须记录合法生命周期和访问顺序。读后写、写后读及写后写冲突应由依赖或已声明的硬件同步规则约束。</w:t>
      </w:r>
    </w:p>
    <w:p>
      <w:pPr>
        <w:pStyle w:val="Heading2"/>
      </w:pPr>
      <w:r>
        <w:t>执行与时间</w:t>
      </w:r>
    </w:p>
    <w:p>
      <w:r>
        <w:t>一次操作依次经历提交、就绪、开始和完成。提交表示进入队列；就绪表示依赖已满足；开始表示取得所需资源；完成表示规定的效果已可观察。轨迹可按需要记录各状态。</w:t>
      </w:r>
    </w:p>
    <w:p>
      <w:r>
        <w:t>同一时刻的事件按照固定阶段和稳定标识处理，例如先释放完成资源，再更新依赖并仲裁新请求。阶段顺序属于仿真语义，必须记录，避免结果依赖容器遍历顺序。</w:t>
      </w:r>
    </w:p>
    <w:p>
      <w:r>
        <w:t>延迟、发射间隔和占用时间分别建模。流水线延迟为多个周期时仍可能每周期接受新操作；只有模型明确采用非流水执行时，才能将整个延迟视为独占时间。</w:t>
      </w:r>
    </w:p>
    <w:p>
      <w:r>
        <w:t>传输拆分为链路、存储端口等阶段时，各阶段的时间与资源占用只计入一次。多个阶段能否重叠由模型声明。预计时间和实际时间采用不同字段保存。</w:t>
      </w:r>
    </w:p>
    <w:p>
      <w:r>
        <w:t>所有操作完成且输出写回后，运行正常结束。存在未完成操作但无可推进事件时，运行以死锁或无进展错误结束。超时或最大事件数限制由仿真配置单独声明。</w:t>
      </w:r>
    </w:p>
    <w:p>
      <w:pPr>
        <w:pStyle w:val="Heading2"/>
      </w:pPr>
      <w:r>
        <w:t>输出与版本</w:t>
      </w:r>
    </w:p>
    <w:p>
      <w:r>
        <w:t>SimulationResult 记录运行状态、错误信息、输出位置、仿真时间、资源计数器、模型精度和版本标识。错误运行保留诊断记录，汇总性能时单独列出失败数量。</w:t>
      </w:r>
    </w:p>
    <w:p>
      <w:r>
        <w:t>TraceEvent 至少包含时间及单位、操作标识、资源标识和事件类型。记录等待时说明依赖、端口、队列或带宽等原因。大规模轨迹可以关闭或采样，统计计数器独立维护。</w:t>
      </w:r>
    </w:p>
    <w:p>
      <w:r>
        <w:t>每类外部对象携带 schema_version。装载器明确列出支持版本；不支持的版本直接报错。新增可选字段和改变原有字段语义分别处理，并为需要兼容的历史格式提供显式转换。</w:t>
      </w:r>
    </w:p>
    <w:p>
      <w:pPr>
        <w:pStyle w:val="Heading1"/>
        <w:pageBreakBefore/>
      </w:pPr>
      <w:r>
        <w:t>3 验证方法与性能评估</w:t>
      </w:r>
    </w:p>
    <w:p>
      <w:pPr>
        <w:pStyle w:val="Heading2"/>
        <w:keepNext/>
      </w:pPr>
      <w:r>
        <w:t>模型精度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3572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模型层次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验证内容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结果用途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功能模型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计算、访存、同步与数值语义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检查输出正确性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解析模型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计算量、数据量和资源上限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快速筛选架构参数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事件模型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排队、争用、传输与执行重叠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分析延迟和主要瓶颈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逐周期模型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每周期状态变化与控制行为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检查关键微架构细节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每份结果声明模型层次、覆盖的硬件行为和简化条件。功能模型没有时间精度承诺。面积与能耗估计记录参数来源和适用条件，后续用 RTL、综合或测量结果校准。</w:t>
      </w:r>
    </w:p>
    <w:p>
      <w:pPr>
        <w:pStyle w:val="Heading2"/>
        <w:keepNext/>
      </w:pPr>
      <w:r>
        <w:t>测试分工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3572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位置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验证重点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代表性检查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compiler/tests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IR 与各编译阶段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转换前后语义一致、映射满足约束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tests/chipmodel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组件状态与资源行为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容量边界、端口冲突、流水线吞吐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tests/simulator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事件推进与运行结束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并发完成、稳定排序、死锁与复位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tests/contracts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外部格式和语义约束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版本、引用、依赖环、单位及越界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tests/integration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整条执行链路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参考结果比对、统计和实验复现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功能测试使用独立参考结果。整数按规定的位宽和溢出规则比较；浮点按负载规定的绝对与相对容差比较，并处理 NaN、无穷和有符号零的约定。</w:t>
      </w:r>
    </w:p>
    <w:p>
      <w:r>
        <w:t>时间模型先通过可手算的小案例：单次计算、单次搬运、两个请求竞争同一资源，以及计算与传输重叠。每个用例列明初始状态、资源约束和预期完成时间。</w:t>
      </w:r>
    </w:p>
    <w:p>
      <w:pPr>
        <w:pStyle w:val="Heading2"/>
        <w:keepNext/>
      </w:pPr>
      <w:r>
        <w:t>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84"/>
        <w:gridCol w:w="3572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指标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定义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必须说明的条件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任务延迟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约定终点时间减去起点时间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是否包含装载、输入搬运与输出写回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吞吐量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测量区间内完成任务数除以时间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预热、测量区间、任务定义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资源利用率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已占用资源时间除以可用资源时间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资源粒度、容量和测量区间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存储峰值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同一时刻活跃分配字节数的最大值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统计的存储层级与生命周期规则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数据搬运量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指定接口实际通过的字节总数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接口边界、方向、重传及重复读取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Body"/>
            </w:pPr>
            <w:r>
              <w:t>等待时间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</w:pPr>
            <w:r>
              <w:t>指定操作或资源的阻塞时间</w:t>
            </w:r>
          </w:p>
        </w:tc>
        <w:tc>
          <w:tcPr>
            <w:tcW w:type="dxa" w:w="4082"/>
            <w:vAlign w:val="center"/>
          </w:tcPr>
          <w:p>
            <w:pPr>
              <w:pStyle w:val="TableBody"/>
            </w:pPr>
            <w:r>
              <w:t>阻塞原因及重叠区间处理方式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多端口或多执行槽资源使用容量归一化的资源时间。只统计“至少一个槽忙碌”时，指标应命名为忙碌时间比例。多个操作的等待可以重叠，不能将等待时间总和直接当作任务延迟。</w:t>
      </w:r>
    </w:p>
    <w:p>
      <w:r>
        <w:t>仿真程序在主机上的运行耗时单独记录。模型估计的芯片执行时间与主机运行耗时分别展示。</w:t>
      </w:r>
    </w:p>
    <w:p>
      <w:pPr>
        <w:pStyle w:val="Heading2"/>
      </w:pPr>
      <w:r>
        <w:t>实验组织</w:t>
      </w:r>
    </w:p>
    <w:p>
      <w:pPr>
        <w:keepNext/>
      </w:pPr>
      <w:r>
        <w:t>实验定义放在 config/experiments，执行逻辑放在 evaluation/experiments，分析逻辑放在 evaluation/analysis。每次运行写入独立的 data/runs/&lt;run_id&gt; 目录，并保存以下记录。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记录</w:t>
            </w:r>
          </w:p>
        </w:tc>
        <w:tc>
          <w:tcPr>
            <w:tcW w:type="dxa" w:w="7370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manifest.json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运行标识、代码版本与内容标识、输入哈希、随机种子、环境和运行状态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config.json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完整解析后的硬件、编译与仿真配置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plan.json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实际执行的计划；采用其他格式时记录格式与哈希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metrics.json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指标值、单位、统计区间和模型精度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validation.json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功能比对结果、容差及失败原因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</w:pPr>
            <w:r>
              <w:t>outputs 和 trace</w:t>
            </w:r>
          </w:p>
        </w:tc>
        <w:tc>
          <w:tcPr>
            <w:tcW w:type="dxa" w:w="7370"/>
            <w:vAlign w:val="center"/>
          </w:tcPr>
          <w:p>
            <w:pPr>
              <w:pStyle w:val="TableBody"/>
            </w:pPr>
            <w:r>
              <w:t>输出数据引用；按实验配置保存轨迹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尚未提交的代码需要保存补丁及新增源文件快照，或保存可恢复的源码归档。单独记录 Git 提交号不足以复现工作区中的改动。</w:t>
      </w:r>
    </w:p>
    <w:p>
      <w:r>
        <w:t>比较架构方案时固定负载、数值规则和指标口径。硬件参数变化后重新编译，用于比较各配置下的映射结果。研究固定映射的敏感性时，保留映射与静态调度，检查其在新配置下的合法性，再导出绑定新配置哈希的计划。两种实验方式分别标注。</w:t>
      </w:r>
    </w:p>
    <w:p>
      <w:r>
        <w:t>启用随机策略时记录种子并报告重复次数和离散程度。确定性模型使用相同输入重复运行，验证结果一致。汇总结果同时报告有效运行数和失败运行数。</w:t>
      </w:r>
    </w:p>
    <w:p>
      <w:pPr>
        <w:pStyle w:val="Heading2"/>
      </w:pPr>
      <w:r>
        <w:t>首个端到端案例</w:t>
      </w:r>
    </w:p>
    <w:p>
      <w:r>
        <w:t>选择一个代表性任务，明确输入输出、参考结果和数值规则。建立包含计算、存储、传输与控制资源的最小硬件配置，采用直接映射导出执行计划。</w:t>
      </w:r>
    </w:p>
    <w:p>
      <w:r>
        <w:t>验收条件如下。</w:t>
      </w:r>
    </w:p>
    <w:p>
      <w:pPr>
        <w:pStyle w:val="ListNumber"/>
      </w:pPr>
      <w:r>
        <w:t>计划装载通过格式、引用、容量和依赖检查。</w:t>
      </w:r>
    </w:p>
    <w:p>
      <w:pPr>
        <w:pStyle w:val="ListNumber"/>
      </w:pPr>
      <w:r>
        <w:t>仿真输出符合参考结果与规定容差。</w:t>
      </w:r>
    </w:p>
    <w:p>
      <w:pPr>
        <w:pStyle w:val="ListNumber"/>
      </w:pPr>
      <w:r>
        <w:t>至少一个无争用场景的完成时间可手工核算。</w:t>
      </w:r>
    </w:p>
    <w:p>
      <w:pPr>
        <w:pStyle w:val="ListNumber"/>
      </w:pPr>
      <w:r>
        <w:t>至少一个争用场景能从轨迹解释等待原因。</w:t>
      </w:r>
    </w:p>
    <w:p>
      <w:pPr>
        <w:pStyle w:val="ListNumber"/>
      </w:pPr>
      <w:r>
        <w:t>改变一项硬件参数后，记录计划是否变化，并解释性能变化。</w:t>
      </w:r>
    </w:p>
    <w:p>
      <w:pPr>
        <w:pStyle w:val="ListNumber"/>
      </w:pPr>
      <w:r>
        <w:t>保存配置、代码及数据标识后，能够复现输出和指标。</w:t>
      </w:r>
    </w:p>
    <w:p>
      <w:r>
        <w:t>达到这些条件后，再增加负载规模、编译优化和模型细节。RTL 校准从对架构结论影响最大的模块开始，记录校准前后的参数与误差。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8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05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24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67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83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pPr>
      <w:spacing w:line="280" w:lineRule="exact" w:before="0" w:after="0"/>
    </w:pPr>
    <w:rPr>
      <w:rFonts w:ascii="Microsoft YaHei" w:hAnsi="Microsoft YaHei" w:eastAsia="Microsoft YaHei" w:cs="Microsoft YaHei"/>
      <w:b w:val="0"/>
      <w:i w:val="0"/>
      <w:color w:val="000000"/>
      <w:sz w:val="19"/>
      <w:u w:val="none"/>
    </w:rPr>
  </w:style>
  <w:style w:type="paragraph" w:customStyle="1" w:styleId="CodeBlock">
    <w:name w:val="Code Block"/>
    <w:basedOn w:val="Normal"/>
    <w:pPr>
      <w:spacing w:line="252" w:lineRule="auto" w:after="0"/>
    </w:pPr>
    <w:rPr>
      <w:rFonts w:ascii="Consolas" w:hAnsi="Consolas" w:eastAsia="Microsoft YaHei" w:cs="Microsoft YaHei"/>
      <w:b w:val="0"/>
      <w:i w:val="0"/>
      <w:color w:val="000000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UniverseModel 芯片架构建模工程设计</dc:title>
  <dc:subject>工程结构、模块接口与验证评估</dc:subject>
  <dc:creator>UniverseModel</dc:creator>
  <cp:keywords/>
  <dc:description>Markdown source SHA256: 16329882bd87fe2b6d158f968560ca44fbc197545b9596247255d97605f91b2a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