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异构芯片封装与集群建模规划</w:t>
      </w:r>
    </w:p>
    <w:p>
      <w:pPr>
        <w:pStyle w:val="Subtitle"/>
      </w:pPr>
      <w:r>
        <w:t>CPU GPU NPU CIM 三维集成 HBF 多卡与多机</w:t>
      </w:r>
    </w:p>
    <w:p>
      <w:r>
        <w:t>UniverseModel 扩展为能够组合 CPU、GPU、NPU、CIM 和 3D CIM 的多层架构建模平台。芯片内多核、封装内多裸片、节点内多卡和集群内多机分别表达，通过统一资源、端口、数据引用和时间语义连接。当前工作仍以架构定义、功能模型、映射和性能评估为主，RTL 用于后续关键模块校准。</w:t>
      </w:r>
    </w:p>
    <w:p>
      <w:r>
        <w:t>本规划中的 HBF 指 High Bandwidth Flash；duo die 按双裸片 Dual-Die 处理。相关模块目录与设计文档现已建立，执行接口和模型仍待实现。当前模块边界以 docs/architecture/design.md 和 modules.json 为准。</w:t>
      </w:r>
    </w:p>
    <w:p>
      <w:pPr>
        <w:pStyle w:val="Heading1"/>
      </w:pPr>
      <w:r>
        <w:t>1 模块边界与设计判断</w:t>
      </w:r>
    </w:p>
    <w:p>
      <w:pPr>
        <w:keepNext/>
      </w:pPr>
      <w:r>
        <w:t>工程已增加 systemmodel 和 clustermodel 的结构，将 chipmodel 的组合范围明确到封装。多核放在 chipmodel 内；板卡、节点和集群按各自管理的资源与共享瓶颈建模。这样可以在单芯片模型成熟后复用它，也可以用粗粒度设备模型先开展系统实验。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模块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建模范围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核心职责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chipmodel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Core、Tile、Die、Package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计算、存储、片内及跨裸片通信、封装集成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systemmodel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Board / Card、Node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CPU 插槽、设备实例、主存、NUMA、PCIe / CXL、NIC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clustermodel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多 Node、Fabric、Switch、Rack / Pod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网络拓扑、共享链路、路由、拥塞、资源分组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compiler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单设备和跨设备映射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切块、分区、放置、数据布局、静态依赖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runtime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软件执行策略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派发、流与队列、通信算法、动态策略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simulator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所有建模层次的执行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时间推进、事件、资源争用、统计与终止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configuration / contracts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公共配置与契约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参数定义、解析校验、版本、资源与数据语义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runtime 表达被建模的软件行为，simulator 表达运行这些行为的仿真机制。AllReduce 的分块与通信步骤属于软件通信层；交换机只处理其收到的流量。具备硬件归约能力的交换机应显式声明对应操作，不能默认具有该能力。</w:t>
      </w:r>
    </w:p>
    <w:p>
      <w:r>
        <w:t>clustermodel 负责硬件资源与连接。作业放置、模型并行策略和动态负载均衡分别由编译映射或运行时策略处理。首版只调度一个实验内的工作负载，生产集群管理、容器平台和多租户服务留待出现明确需求时引入。</w:t>
      </w:r>
    </w:p>
    <w:p>
      <w:pPr>
        <w:pStyle w:val="Heading1"/>
      </w:pPr>
      <w:r>
        <w:t>2 同时保留物理结构与逻辑资源视图</w:t>
      </w:r>
    </w:p>
    <w:p>
      <w:pPr>
        <w:pStyle w:val="Heading2"/>
      </w:pPr>
      <w:r>
        <w:t>2.1 物理包含关系</w:t>
      </w:r>
    </w:p>
    <w:p>
      <w:pPr>
        <w:keepNext/>
      </w:pPr>
      <w:r>
        <w:t>典型层次为 Cluster → Node → Board / Card → Package → Die → Tile / Core → Engine / Array。Rack、Pod、Socket 作为需要时启用的中间层；板卡也可以省略，例如加速器直接安装在主板上。GPU 的 SM / CU、NPU Tile、CPU Core 和 CIM Macro 各有独立资源含义，不使用一个通用 core_count 换算算力。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物理含义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建模约束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Package 封装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一个或多个计算、I/O 或存储裸片的集成边界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标明电源、散热、外部接口与面积边界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Die 裸片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具体工艺上的一片芯片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可以含多种计算单元和多个时钟域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Card / Board 板卡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一组封装、板级连接、电源和存储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不要求一张卡仅有一个设备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Node 节点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可管理的主机或计算节点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定义 CPU、主存、设备与 NIC 的连接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Cluster 集群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多节点及连接它们的网络资源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不假设节点同构或网络全互连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同一物理实例仅有一个所有者，以稳定 ID 被其他视图引用。资源数量沿包含关系汇总；逻辑分组不再拥有一份实体，防止在卡、设备、裸片之间重复统计。总硅面积按实际裸片累计，封装占地由位置、堆叠与封装边界确定；3D 堆叠后的占地不能直接用各裸片面积之和代替。</w:t>
      </w:r>
    </w:p>
    <w:p>
      <w:pPr>
        <w:pStyle w:val="Heading2"/>
      </w:pPr>
      <w:r>
        <w:t>2.2 软件可见设备与执行资源</w:t>
      </w:r>
    </w:p>
    <w:p>
      <w:r>
        <w:t>DeviceView 表示软件看到的 CPU、GPU、NPU 或 CIM 设备，指向其实际资源。一个设备可跨多个裸片，一个裸片也可提供多个逻辑设备或分区。双裸片 GPU 不自动等于两个 GPU Rank。是否共享地址空间、缓存一致性或统一内存，需要各自声明。</w:t>
      </w:r>
    </w:p>
    <w:p>
      <w:pPr>
        <w:keepNext/>
      </w:pPr>
      <w:r>
        <w:t>CPU、GPU、NPU、CIM 均作为可选择和组合的资源族。实现上另外记录 engine_kind 和 compute_mechanism：NPU 内部可以同时含数字 MAC 和 CIM Engine，CIM 也可以独立暴露为设备。CIM 不应被限制为所有 NPU 之外的互斥类别。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执行资源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需要表达的能力与结构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首版可采用的抽象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CPU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ISA、核数、SIMD、缓存、NUMA、控制与主机开销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算子或任务服务模型；需要时细化微架构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GPU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SM / CU、SIMT、矩阵单元、寄存器与共享存储、访存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经校准的算子模型或 Tile 级资源模型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NPU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张量操作、数据流、片上存储、DMA、数值格式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阵列、存储、搬运与队列模型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CIM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介质、计算域、编码、阵列、外围、装载及误差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完整宏操作与资源占用模型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3D CIM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CIM 能力加阵列层次、跨层访问、外围共享与热约束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分层宏或裸片组合模型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不同设备之间只允许映射受支持的操作与精度。性能库必须按形状、布局、精度、批量和适用条件查询；一个 TOPS 数值不足以代表 CPU、GPU、NPU 或 CIM 的执行行为。</w:t>
      </w:r>
    </w:p>
    <w:p>
      <w:r>
        <w:t>一个用于检查组合能力的例子是：2 个节点，每节点含控制 CPU、1 个 GPU 设备、1 个 NPU 设备和 1 个 CIM 设备。其中 CIM 设备对应双计算裸片封装，两个裸片形成 3D 堆叠，并连接 HBM 与 HBF。这个例子描述研究配置，不代表已校准的产品。</w:t>
      </w:r>
    </w:p>
    <w:p>
      <w:r>
        <w:t>若每个 CIM 裸片内部再采用多层阵列，阵列层数作为裸片内部参数。该配置有 2 个逻辑 CIM 设备、4 个 CIM 计算裸片；加入的存储及 I/O 裸片另计。它同时包含设备异构、三维 CIM、封装组合和多机通信。</w:t>
      </w:r>
    </w:p>
    <w:p>
      <w:pPr>
        <w:pStyle w:val="Heading2"/>
      </w:pPr>
      <w:r>
        <w:t>2.3 五类关系分别保存</w:t>
      </w:r>
    </w:p>
    <w:p>
      <w:pPr>
        <w:pStyle w:val="ListBullet"/>
      </w:pPr>
      <w:r>
        <w:t>包含关系：谁实际拥有哪个资源，用于结构、生命周期和面积统计。</w:t>
      </w:r>
    </w:p>
    <w:p>
      <w:pPr>
        <w:pStyle w:val="ListBullet"/>
      </w:pPr>
      <w:r>
        <w:t>通信关系：哪些端口相连、走哪条路径、共享哪些链路和队列。</w:t>
      </w:r>
    </w:p>
    <w:p>
      <w:pPr>
        <w:pStyle w:val="ListBullet"/>
      </w:pPr>
      <w:r>
        <w:t>地址与一致性关系：内存在哪里、谁能访问、何时可见、是否缓存一致。</w:t>
      </w:r>
    </w:p>
    <w:p>
      <w:pPr>
        <w:pStyle w:val="ListBullet"/>
      </w:pPr>
      <w:r>
        <w:t>执行关系：任务、Rank、模型分区与物理资源怎样绑定。</w:t>
      </w:r>
    </w:p>
    <w:p>
      <w:pPr>
        <w:pStyle w:val="ListBullet"/>
      </w:pPr>
      <w:r>
        <w:t>物理耦合关系：位置、电源域、热邻接和共享功率预算。</w:t>
      </w:r>
    </w:p>
    <w:p>
      <w:r>
        <w:t>包含结构是树或森林，通信与热耦合通常是图。不能用父子层次推断所有节点互通，也不能因存在链路就假设具备跨设备 Load / Store、缓存一致性或原子操作。</w:t>
      </w:r>
    </w:p>
    <w:p>
      <w:pPr>
        <w:pStyle w:val="Heading1"/>
      </w:pPr>
      <w:r>
        <w:t>3 双裸片与三维集成</w:t>
      </w:r>
    </w:p>
    <w:p>
      <w:pPr>
        <w:pStyle w:val="Heading2"/>
      </w:pPr>
      <w:r>
        <w:t>3.1 数量与集成方式分别配置</w:t>
      </w:r>
    </w:p>
    <w:p>
      <w:pPr>
        <w:keepNext/>
      </w:pPr>
      <w:r>
        <w:t>Dual-Die 表示双裸片组织，不指定 2D、2.5D 或 3D 集成方式。应分别记录 compute_die_count、memory_die_count、io_die_count 和总实例数。所谓“双计算裸片”封装还可能包含 I/O 裸片、HBM 和基底逻辑，不能把总 die_count 固定为 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集成方式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关键结构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关键参数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单裸片 Monolithic Die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片内多核、片上网络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工艺、面积、片内连线和资源组织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2D 多裸片封装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裸片并置、封装基板连接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接口数量、距离、链路与引脚预算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2.5D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Interposer 中介层或局部桥接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裸片位置、桥接连接、接口密度与带宽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3D 多裸片堆叠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TSV、Micro-bump 或 Hybrid Bonding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堆叠顺序、垂直接口、节距、热路径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单裸片内三维结构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多层器件或三维存储阵列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内部阵列层数、寻址、选择和共享外围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封装可同时包含 2.5D 连接和局部 3D 堆叠。不要用一个全局 packaging=3d 覆盖全部连接；每组堆叠和每条连接分别声明实现方式。</w:t>
      </w:r>
    </w:p>
    <w:p>
      <w:r>
        <w:t>Apple M2 Ultra 是两片 M2 Max 裸片通过封装互连组成产品的公开例子 [2]；AMD MI300A 展示 CPU 与 GPU 的组合 [1]。这些例子用于确定对象边界，不用于直接给未知设计赋予吞吐或能效。</w:t>
      </w:r>
    </w:p>
    <w:p>
      <w:pPr>
        <w:pStyle w:val="Heading2"/>
      </w:pPr>
      <w:r>
        <w:t>3.2 3D CIM 的三种建模情形</w:t>
      </w:r>
    </w:p>
    <w:p>
      <w:r>
        <w:rPr>
          <w:b/>
        </w:rPr>
        <w:t>单裸片内的三维 CIM 阵列。</w:t>
      </w:r>
      <w:r>
        <w:t xml:space="preserve"> 例如利用三维存储器件执行阵列内运算。array_layers 属于器件和阵列模型，不能增加封装裸片数量。需要记录层选择、字线与位线、可并行访问层数、编码、感测和层间结果合并。公开的 3D FeNAND A-CiM 研究说明单元、非单元电路及页面组织需要共同优化 [7]。</w:t>
      </w:r>
    </w:p>
    <w:p>
      <w:r>
        <w:rPr>
          <w:b/>
        </w:rPr>
        <w:t>多个 CIM 裸片堆叠。</w:t>
      </w:r>
      <w:r>
        <w:t xml:space="preserve"> 多个 CIM Die 与逻辑基底或外围裸片组合。die_stack_depth、垂直端口、跨层流量、共享 ADC / 累加器及功率预算属于实际结构。增加层数可能增加权重容量，也可能受共享外围和出栈带宽限制。</w:t>
      </w:r>
    </w:p>
    <w:p>
      <w:r>
        <w:rPr>
          <w:b/>
        </w:rPr>
        <w:t>CIM 与数字逻辑异构堆叠。</w:t>
      </w:r>
      <w:r>
        <w:t xml:space="preserve"> CIM 裸片与 NPU、向量、控制或存储裸片共同集成。需要明确输入、权重、部分和及输出分别在哪一层，以及哪条路径完成转换和归约。单纯在数字逻辑上堆存储，并不会自动成为 CIM；必须具有明确的阵列内或紧耦合外围计算操作。</w:t>
      </w:r>
    </w:p>
    <w:p>
      <w:r>
        <w:t>三种情形可以组合。应同时保存 array_layers、die_stack_depth 和各类 die_count，不能共用一个 layers 字段。</w:t>
      </w:r>
    </w:p>
    <w:p>
      <w:pPr>
        <w:pStyle w:val="Heading2"/>
      </w:pPr>
      <w:r>
        <w:t>3.3 封装与热模型的最小参数</w:t>
      </w:r>
    </w:p>
    <w:p>
      <w:r>
        <w:t>每片裸片记录工艺、长宽、位置、朝向、层级、功率域、时钟域和热节点。每个连接记录端口、物理类型、协议、位宽或 Lane 数、速率、方向、延迟、有效载荷比例、每 bit 能量和并发限制。共享 ADC、控制器或垂直通道只实例化一次。</w:t>
      </w:r>
    </w:p>
    <w:p>
      <w:r>
        <w:t>TSV 是 Through-Silicon Via；Micro-bump 是微凸点；Hybrid Bonding 是混合键合。UCIe 是可选的 Die-to-Die 接口标准，具体版本和模式通过配置引用；其官方资料包含 3D 集成支持 [3]。连接到 UCIe 不自动意味着整个封装具备缓存一致性。</w:t>
      </w:r>
    </w:p>
    <w:p>
      <w:r>
        <w:t>首版热模型提供 off、budget、rc 三种精度：off 仅报告功耗，不推断温度；budget 检查功率或外部给定温度是否越界，不计算温度场；rc 使用有来源的热阻热容及耦合关系估算温度。启用降频时，温度影响的服务率要反馈到执行时间线。没有校准数据时报告敏感性，不声称已完成封装热验证。</w:t>
      </w:r>
    </w:p>
    <w:p>
      <w:pPr>
        <w:pStyle w:val="Heading1"/>
      </w:pPr>
      <w:r>
        <w:t>4 HBM 与 HBF 的存储层次</w:t>
      </w:r>
    </w:p>
    <w:p>
      <w:pPr>
        <w:keepNext/>
      </w:pPr>
      <w:r>
        <w:t>HBM 是 High Bandwidth Memory，通常采用堆叠 DRAM；HBF 是 High Bandwidth Flash，采用 Flash / NAND 存储技术。两者的容量、带宽、时延、访问粒度和写入行为分别建模。HBF 可以是系统数据供应层，不应因为具有较高带宽就直接复用 HBM 的访存语义。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参数范围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HBM / DRAM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HBF / Flash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组织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Stack、Channel、Pseudo-channel、Bank、Row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Die、Plane、Page、Block 和控制器并行性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服务行为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读写时序、行状态、读写切换、刷新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读取、编程、擦除、管理开销及读写不对称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粒度与路径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控制器可见的请求与突发粒度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原始介质粒度和接口可见粒度分别记录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约束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时序、容量、带宽和功率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还需考虑写入寿命、写放大及管理策略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数据策略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热数据、激活、工作区等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大容量权重与其他数据的放置、预取、缓存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Page、Program、Erase 等描述的是 Flash 介质行为；若具体 HBF 控制器隐藏这些操作，外部模型按接口公开的服务行为建模，内部模型按所选精度细化。不要未经核实就套用某个 SSD 的 FTL、队列或接口协议。</w:t>
      </w:r>
    </w:p>
    <w:p>
      <w:r>
        <w:t>截至本规划所依据的公开资料，SK hynix 于 2026 年 8 月公布的 HBF 信息将其定位为 HBM 与 SSD 之间的存储层，并描述了 UCIe 连接及规格分档 [4]。建模应引用具体规格版本和实现数据；公告中的上限不等于某个访问模式下的持续性能。</w:t>
      </w:r>
    </w:p>
    <w:p>
      <w:pPr>
        <w:pStyle w:val="Heading2"/>
      </w:pPr>
      <w:r>
        <w:t>4.1 HBF 与 CIM 的关系</w:t>
      </w:r>
    </w:p>
    <w:p>
      <w:r>
        <w:t>HBF 作为供数存储，与使用 Flash 器件计算的 CIM，是两个独立能力。某个 HBF 产品不因采用 NAND 就自动具备 CIM 操作。若研究 HBF 与 3D CIM 的一体化方案，需要额外定义计算能力、访问冲突、外围、控制和误差模型。</w:t>
      </w:r>
    </w:p>
    <w:p>
      <w:r>
        <w:t>一种候选数据路径是 HBF → 传输引擎 → HBM / SRAM 暂存 → CIM 权重装载；允许直接供数的设计另行声明路径。权重首次装载、换入换出、缓存命中、双缓冲和计算重叠都进入执行计划。是否值得增加 HBF，取决于容量需求、复用率和搬运开销。</w:t>
      </w:r>
    </w:p>
    <w:p>
      <w:r>
        <w:t>训练与推理、Prefill 与 Decode、固定权重与动态张量分别评估。3D CIM 的权重容量增加后，仍需检查激活、KV Cache、部分和、转换器和网络是否成为新的瓶颈。</w:t>
      </w:r>
    </w:p>
    <w:p>
      <w:pPr>
        <w:pStyle w:val="Heading1"/>
      </w:pPr>
      <w:r>
        <w:t>5 节点和集群设计</w:t>
      </w:r>
    </w:p>
    <w:p>
      <w:pPr>
        <w:pStyle w:val="Heading2"/>
      </w:pPr>
      <w:r>
        <w:t>5.1 systemmodel 负责单节点</w:t>
      </w:r>
    </w:p>
    <w:p>
      <w:r>
        <w:t>Node 组合 CPU Socket、主存、加速设备、板卡互连和 NIC。至少表达 NUMA 距离、PCIe Root Complex / Switch、Peer-to-Peer 可达性、DMA 引擎、设备本地内存和主机暂存路径。数据从 CPU 内存到 GPU、NPU 或 CIM，可能争用同一个 PCIe 上行口。</w:t>
      </w:r>
    </w:p>
    <w:p>
      <w:r>
        <w:t>NIC 是 Network Interface Controller；NUMA 是 Non-Uniform Memory Access。RDMA 表示 Remote Direct Memory Access，但可否直达某个设备缓冲区仍取决于路径、地址注册和平台支持。CXL 相关协议能力分别配置，不能由存在 PCIe 物理连接推断其具有 CXL 一致性或内存扩展能力 [5]。</w:t>
      </w:r>
    </w:p>
    <w:p>
      <w:pPr>
        <w:pStyle w:val="Heading2"/>
        <w:keepNext/>
      </w:pPr>
      <w:r>
        <w:t>5.2 clustermodel 负责跨节点连接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对象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关键参数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需要解释的结果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Node 类型与数量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各类型设备、内存、NIC 和能力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异构容量、计算与通信不均衡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NIC / Endpoint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端口、带宽、队列、注入上限、卸载能力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发送接收瓶颈及主机开销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Fabric / Switch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拓扑、端口数、交换容量、缓冲、路由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共享路径、拥塞及双向流量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Link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速率、传播与协议延迟、有效负载、错误模型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实际传输时间与链路占用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Rack / Pod 分组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成员、网络层次、电源和故障域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跨组通信与共享预算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Scale-up 表示紧耦合扩展域，Scale-out 表示更大范围的网络扩展；二者与“节点内”和“节点间”并非永久一一对应。机架级互连也可能形成 Scale-up 域。它们应作为 Fabric 的角色与能力，物理位置独立保存。</w:t>
      </w:r>
    </w:p>
    <w:p>
      <w:r>
        <w:t>共享带宽、Oversubscription（超额订阅）、Bisection Bandwidth（二分带宽）、多 Rail 和路径选择影响扩展效率。不能把某条网络端口带宽乘以节点数，直接作为全部通信都能使用的带宽。</w:t>
      </w:r>
    </w:p>
    <w:p>
      <w:pPr>
        <w:pStyle w:val="Heading2"/>
      </w:pPr>
      <w:r>
        <w:t>5.3 模型规模与精度</w:t>
      </w:r>
    </w:p>
    <w:p>
      <w:r>
        <w:t>首版以消息、分块和流为网络仿真粒度，保留实际共享资源与争用。单个瓶颈链路需要时再细化为包或 Flit。节点内部可以采用经过校准的粗粒度 GPU 模型，同时对 3D CIM 保留更细的资源行为。</w:t>
      </w:r>
    </w:p>
    <w:p>
      <w:r>
        <w:t>组件的细粒度和摘要模型必须具有相同的端口、操作语义和统计边界。一个组件不能同时运行详细模型并再额外收取一份摘要延迟。结果按资源声明精度，不能因为局部逐周期就声称全系统逐周期精确。</w:t>
      </w:r>
    </w:p>
    <w:p>
      <w:pPr>
        <w:pStyle w:val="Heading1"/>
      </w:pPr>
      <w:r>
        <w:t>6 分布式映射与通信</w:t>
      </w:r>
    </w:p>
    <w:p>
      <w:pPr>
        <w:pStyle w:val="Heading2"/>
        <w:keepNext/>
      </w:pPr>
      <w:r>
        <w:t>6.1 硬件层次与并行策略分别选择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并行策略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英文术语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主要成本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数据并行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Data Parallelism，DP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复制状态；训练时通常有梯度同步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张量并行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Tensor Parallelism，TP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算子内切分与频繁集合通信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流水并行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Pipeline Parallelism，PP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阶段传输、气泡、微批量及负载不均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专家并行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Expert Parallelism，EP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MoE 路由、AllToAll、专家热点与权重驻留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上下文或序列并行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Context / Sequence Parallelism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序列切分、注意力交换与归约；具体策略单独定义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异构映射同时考虑支持操作、精度、形状效率、本地容量及通信代价。例如 CPU 处理控制与不规则任务，GPU 处理动态或高精度运算，NPU 处理匹配其数据流的张量任务，CIM 或 3D CIM 处理适合其编码和驻留方式的子图。这是候选分工，最终通过总成本比较决定。</w:t>
      </w:r>
    </w:p>
    <w:p>
      <w:r>
        <w:t>Rank 是通信参与者标识；Rank 到进程、设备和资源的映射显式记录。不要固定一个 Rank 等于一张卡、一个裸片或一个核。不同资源速度不同时，分片比例可以不等，但必须满足算子语义和通信协议。</w:t>
      </w:r>
    </w:p>
    <w:p>
      <w:pPr>
        <w:pStyle w:val="Heading2"/>
      </w:pPr>
      <w:r>
        <w:t>6.2 通信操作与执行过程</w:t>
      </w:r>
    </w:p>
    <w:p>
      <w:r>
        <w:t>支持点对点 Send / Receive，以及 Broadcast、AllReduce、ReduceScatter、AllGather、AllToAll 等集合操作。操作记录通信组、成员次序、数据类型、元素数量或分段、归约运算、源目标缓冲及依赖。具体计数约束按操作种类校验 [6]。</w:t>
      </w:r>
    </w:p>
    <w:p>
      <w:r>
        <w:t>集合操作由通信层选择 Ring、Tree、分层或其他算法，再展开为传输和局部归约。先节点内、后节点间的分层方案只是候选；拓扑、消息大小、设备能力和拥塞决定其实际表现。</w:t>
      </w:r>
    </w:p>
    <w:p>
      <w:r>
        <w:t>跨设备搬运可能包含源内存读取、DMA、板级链路、NIC、网络、目标链路和内存写入。各阶段共享的资源都要计入，但相同物理传输只收费一次。Send 提交、源缓冲可复用、接收数据可见和集合完成分别定义，不能用一个未经说明的 done 替代。</w:t>
      </w:r>
    </w:p>
    <w:p>
      <w:r>
        <w:t>一个均匀环上的简化 AllReduce 模型为 T ≈ 2(p−1)α + 2(p−1)N/(pB)。其中 p 是参与者数，N 是每个参与者的输入字节数，α 是每步延迟，B 是对应有效单向带宽。该式用于无其他争用、均匀分片的初筛，局部归约、协议、拓扑拥塞及计算重叠需另外建模。</w:t>
      </w:r>
    </w:p>
    <w:p>
      <w:r>
        <w:t>集合算法可能改变浮点加法次序，CIM 输出还可能涉及量化与误差。端到端功能验证采用预先规定的精度和容差，不能仅因通信完成就认为数值正确。</w:t>
      </w:r>
    </w:p>
    <w:p>
      <w:pPr>
        <w:pStyle w:val="Heading1"/>
      </w:pPr>
      <w:r>
        <w:t>7 配置和公共数据契约</w:t>
      </w:r>
    </w:p>
    <w:p>
      <w:pPr>
        <w:pStyle w:val="Heading2"/>
      </w:pPr>
      <w:r>
        <w:t>7.1 类型模板与实际实例</w:t>
      </w:r>
    </w:p>
    <w:p>
      <w:r>
        <w:t>配置区分组件类型、实际实例、连接、逻辑视图与工作负载放置。node_count、card_count、die_count 等数量用于展开实例；展开后由实体图计算派生数量，避免同时维护相互矛盾的总数和明细。</w:t>
      </w:r>
    </w:p>
    <w:p>
      <w:r>
        <w:t>支持同构模板复用与按实例覆盖。例如集群可有 GPU 节点和 CIM 节点两种类型，也可以在一个节点中混合 GPU 卡和 CIM 卡。型号、介质、精度及封装模板不绑定数量固定的全局字段。</w:t>
      </w:r>
    </w:p>
    <w:p>
      <w:r>
        <w:t>配置目录为 config/hardware/components、chips、systems、clusters，以及独立 config/costs。它们是按职责组织的配置文件目录；组件模板与实例引用关系才决定实际架构。</w:t>
      </w:r>
    </w:p>
    <w:p>
      <w:r>
        <w:t>配置按默认值、类型模板、平台变体和实验覆盖解析，保存完整快照及哈希。改变底层结构后，重新校验所有使用该模板的实例、成本模型和执行计划。单实例覆盖需要明确目标 ID，不能悄悄改变全部同类型设备。</w:t>
      </w:r>
    </w:p>
    <w:p>
      <w:pPr>
        <w:pStyle w:val="Heading2"/>
        <w:keepNext/>
      </w:pPr>
      <w:r>
        <w:t>7.2 核心契约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契约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必备内容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使用边界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HardwareSpec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资源实例、包含关系、端口、链路、域和 DeviceView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延续现有名称，范围可扩展到整个实验平台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ComponentSpec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类型、能力、参数、模型和成本引用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支持芯片、节点和网络的分层组合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MemoryRegion / TensorRef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存储所有者、地址范围、形状、布局、精度与版本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明确数据当前位置及可访问性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PlacementPlan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子图、Rank、阶段与设备映射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编译映射与运行时共同遵守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CommunicationPlan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通信组、算法、分块、路径约束和依赖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与计算计划组合执行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ExecutionPlan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计算、存储、传输、同步及硬件快照哈希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可分层组织，但保持统一依赖语义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SimulationResult / TraceEvent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指标、资源范围、精度、版本和因果事件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支持芯片到集群逐层归因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Chip、System、Cluster 采用类型化的组合描述，统一解析到 HardwareSpec；避免另外维护三份互不一致的硬件真相。新增版本保留单芯片入口，单芯片任务无需先构造多机集群。</w:t>
      </w:r>
    </w:p>
    <w:p>
      <w:r>
        <w:t>TensorRef 至少标明所有者和地址空间。软件统一地址不等于物理本地；统一内存迁移和页面错误需要所选模型明确支持。不能通过共享 Python 对象绕过本应发生的设备或网络传输。</w:t>
      </w:r>
    </w:p>
    <w:p>
      <w:pPr>
        <w:pStyle w:val="Heading2"/>
      </w:pPr>
      <w:r>
        <w:t>7.3 跨模块调用边界</w:t>
      </w:r>
    </w:p>
    <w:p>
      <w:r>
        <w:t>编译器读取能力和拓扑，不访问组件内部队列。组件通过端口请求接收、接受或拒绝、背压和完成通知交互。仿真器负责统一时间推进，运行时策略根据已经发生的事件决策。全局规划器不得读取仿真未来信息来消除真实等待。</w:t>
      </w:r>
    </w:p>
    <w:p>
      <w:r>
        <w:t>组装器通过公共契约和模型工厂组合下层实例。chipmodel 不依赖 systemmodel、clustermodel 或编译器内部表示；底层组件也不需要知道自己属于几卡几机的实验。上层通过能力查询、端口和事件完成组合，禁止直接修改下层私有状态。</w:t>
      </w:r>
    </w:p>
    <w:p>
      <w:r>
        <w:t>先采用单进程、公共整数时间单位的事件引擎。周期按各自时钟域转换；跨域适配及取整规则固定。后续若采用联合仿真，须定义时间前进边界和因果约束，不让各子模拟器独立计时后直接相加。</w:t>
      </w:r>
    </w:p>
    <w:p>
      <w:r>
        <w:t>校验分为字段、结构与引用、端口及协议、地址与一致性、成本适用范围、工作负载映射六层。资源引用错误、不支持的精度、端口不兼容或缺少权重装载路径都应报告到具体实例与计划操作。合法拓扑中的网络超额订阅通过排队与拥塞体现，不直接当作配置错误。</w:t>
      </w:r>
    </w:p>
    <w:p>
      <w:pPr>
        <w:pStyle w:val="Heading1"/>
      </w:pPr>
      <w:r>
        <w:t>8 可视化和参数扫描</w:t>
      </w:r>
    </w:p>
    <w:p>
      <w:r>
        <w:t>界面采用同一配置源的多个视图：资源树查看 Cluster 到 Array；拓扑视图查看连接和共享链路；封装视图查看裸片平面位置与堆叠；映射视图查看子图和 Rank；时间线查看计算、搬运、归约与等待。图形坐标可以用于阅读，只有明确标记为物理坐标时才参与线长和成本计算。</w:t>
      </w:r>
    </w:p>
    <w:p>
      <w:pPr>
        <w:keepNext/>
      </w:pPr>
      <w:r>
        <w:t>选择资源后展示中英文名、单位、当前值、模板来源、单实例覆盖、依赖及成本依据。静态设计参数可编辑，运行中的状态和派生量只读；修改不能污染已开始运行的配置快照。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608"/>
        <w:gridCol w:w="3628"/>
        <w:gridCol w:w="3402"/>
      </w:tblGrid>
      <w:tr>
        <w:trPr>
          <w:cantSplit/>
          <w:tblHeader/>
        </w:trPr>
        <w:tc>
          <w:tcPr>
            <w:tcW w:type="dxa" w:w="260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扫描层次</w:t>
            </w:r>
          </w:p>
        </w:tc>
        <w:tc>
          <w:tcPr>
            <w:tcW w:type="dxa" w:w="362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设计变量示例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同时观察的结果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CIM / 3D CIM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阵列层数、激活层数、ADC 共享、权重位宽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容量、吞吐、误差、外围占用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Package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计算裸片数、堆叠顺序、垂直带宽、功率预算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跨裸片流量、温度或约束违例、降频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存储层次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HBM / HBF 容量、缓存、预取及装载策略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权重驻留、停顿、写入和迁移成本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Node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GPU / NPU / CIM 数量、PCIe 拓扑、NIC 绑定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本地争用、NUMA 访问和设备利用率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Cluster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节点类型比例、链路与交换层次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通信时间、拥塞、扩展效率、能耗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Body"/>
            </w:pPr>
            <w:r>
              <w:t>软件映射</w:t>
            </w:r>
          </w:p>
        </w:tc>
        <w:tc>
          <w:tcPr>
            <w:tcW w:type="dxa" w:w="3628"/>
            <w:vAlign w:val="center"/>
          </w:tcPr>
          <w:p>
            <w:pPr>
              <w:pStyle w:val="TableBody"/>
            </w:pPr>
            <w:r>
              <w:t>DP / TP / PP / EP、分片、微批量、算法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完成时间、内存峰值、通信量和精度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改变硬件后重新映射与保留映射的敏感性实验分别标注。后一种仍要验证合法性并导出绑定新硬件哈希的计划。参数组合可能不可实现，搜索空间需要联动约束，而非无条件笛卡尔积。</w:t>
      </w:r>
    </w:p>
    <w:p>
      <w:pPr>
        <w:pStyle w:val="Heading1"/>
      </w:pPr>
      <w:r>
        <w:t>9 实施顺序与验收</w:t>
      </w:r>
    </w:p>
    <w:p>
      <w:pPr>
        <w:keepNext/>
      </w:pPr>
      <w:r>
        <w:t>先固定接口和最小可执行路径，再扩大物理范围。下表 S1–S7 是异构扩展的工作分解；总体实现门槛使用 docs/architecture/validation.md 中的 A–F，两者分别编号。各层支持摘要模型，单卡系统实验与详细 CIM 研究可共享接口并独立推进。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737"/>
        <w:gridCol w:w="3515"/>
        <w:gridCol w:w="5386"/>
      </w:tblGrid>
      <w:tr>
        <w:trPr>
          <w:cantSplit/>
          <w:tblHeader/>
        </w:trPr>
        <w:tc>
          <w:tcPr>
            <w:tcW w:type="dxa" w:w="737"/>
            <w:vAlign w:val="center"/>
            <w:shd w:fill="E8EEF4"/>
          </w:tcPr>
          <w:p>
            <w:pPr>
              <w:pStyle w:val="TableBody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3515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实现范围</w:t>
            </w:r>
          </w:p>
        </w:tc>
        <w:tc>
          <w:tcPr>
            <w:tcW w:type="dxa" w:w="5386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完成条件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S1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参数字典、实例图、端口、能力与成本接口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单芯片配置有效，模板展开及引用唯一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S2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数字基线和 CIM 单芯片、多核与共享存储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功能正确；端口争用与流水线可手算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S3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Dual-Die、局部 3D 堆叠、3D CIM 和 HBF 模型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跨层与装载路径明确；热及介质简化条件可追踪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S4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单节点 CPU 加多类设备、多卡互连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共享 PCIe / 内存瓶颈可重现，数据可见性正确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S5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两节点、NIC、交换网络和点对点传输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网络竞争与完成时间符合基准案例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S6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集合通信与混合并行映射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Rank、操作序列、功能结果与时间线一致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TableBody"/>
              <w:jc w:val="center"/>
            </w:pPr>
            <w:r>
              <w:t>S7</w:t>
            </w:r>
          </w:p>
        </w:tc>
        <w:tc>
          <w:tcPr>
            <w:tcW w:type="dxa" w:w="3515"/>
            <w:vAlign w:val="center"/>
          </w:tcPr>
          <w:p>
            <w:pPr>
              <w:pStyle w:val="TableBody"/>
            </w:pPr>
            <w:r>
              <w:t>规模探索与关键成本校准</w:t>
            </w:r>
          </w:p>
        </w:tc>
        <w:tc>
          <w:tcPr>
            <w:tcW w:type="dxa" w:w="5386"/>
            <w:vAlign w:val="center"/>
          </w:tcPr>
          <w:p>
            <w:pPr>
              <w:pStyle w:val="TableBody"/>
            </w:pPr>
            <w:r>
              <w:t>多方案比较可复现，模型误差与敏感性可解释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S3 的 3D CIM 电路细化和 S4 的节点组合可以在接口固定后分别推进，不要求先具备完整晶体管级模型。首个集群闭环采用 2 节点，每节点控制 CPU 加 2 个加速设备，以小规模点对点和 AllReduce 验证通信。设备类型可从两个相同设备逐步替换为 GPU 与 CIM；生产规模数量通过配置扩展。</w:t>
      </w:r>
    </w:p>
    <w:p>
      <w:pPr>
        <w:pStyle w:val="Heading2"/>
      </w:pPr>
      <w:r>
        <w:t>9.1 最小验证集合</w:t>
      </w:r>
    </w:p>
    <w:p>
      <w:pPr>
        <w:pStyle w:val="ListBullet"/>
      </w:pPr>
      <w:r>
        <w:t>结构验证：两裸片合成一个逻辑设备不重复计数；一个节点可混用不同卡；可选层次省略后引用仍有效。</w:t>
      </w:r>
    </w:p>
    <w:p>
      <w:pPr>
        <w:pStyle w:val="ListBullet"/>
      </w:pPr>
      <w:r>
        <w:t>功能验证：CIM 编码、跨层归约、数据迁移和集合操作与独立参考一致；明确混合精度容差。</w:t>
      </w:r>
    </w:p>
    <w:p>
      <w:pPr>
        <w:pStyle w:val="ListBullet"/>
      </w:pPr>
      <w:r>
        <w:t>资源验证：共享 ADC、垂直链路、HBM 控制器、PCIe 上行和 NIC 产生可解释的等待。</w:t>
      </w:r>
    </w:p>
    <w:p>
      <w:pPr>
        <w:pStyle w:val="ListBullet"/>
      </w:pPr>
      <w:r>
        <w:t>边界验证：无可达路径、容量不足、不支持操作、非法 Rank 组及未知成本不会生成正常性能结论。</w:t>
      </w:r>
    </w:p>
    <w:p>
      <w:pPr>
        <w:pStyle w:val="ListBullet"/>
      </w:pPr>
      <w:r>
        <w:t>扩展验证：带宽趋小会暴露等待；带宽增大后可能转为计算受限。精度或映射变化时不强求性能单调。</w:t>
      </w:r>
    </w:p>
    <w:p>
      <w:pPr>
        <w:pStyle w:val="ListBullet"/>
      </w:pPr>
      <w:r>
        <w:t>校准验证：摘要模型在其声明的输入和争用范围内对齐细模型或实测；范围外明确失效。</w:t>
      </w:r>
    </w:p>
    <w:p>
      <w:pPr>
        <w:pStyle w:val="Heading2"/>
      </w:pPr>
      <w:r>
        <w:t>9.2 指标与实验口径</w:t>
      </w:r>
    </w:p>
    <w:p>
      <w:r>
        <w:t>同时报告任务延迟、吞吐、能量、存储峰值、通信字节、等待原因和每层利用率。训练可报告 Step Time，推理可报告 TTFT、TPOT 及吞吐；这些指标的起止点、批量、并发和预热条件必须固定。</w:t>
      </w:r>
    </w:p>
    <w:p>
      <w:r>
        <w:t>Strong Scaling 固定总工作量，Weak Scaling 随资源增加工作量。异构规模比较报告具体资源清单、面积或功率预算；只有明确同类基线和理想加速比例时，才使用对应的并行效率公式。</w:t>
      </w:r>
    </w:p>
    <w:p>
      <w:r>
        <w:t>芯片功耗、板卡功耗、节点功耗和设施功耗分别划界。共享交换机不能按每个通信参与者重复计入整机功耗；采用 PUE 时注明 IT 功耗边界，避免将已包含的冷却成本再乘一次。</w:t>
      </w:r>
    </w:p>
    <w:p>
      <w:pPr>
        <w:pStyle w:val="Heading1"/>
      </w:pPr>
      <w:r>
        <w:t>10 目录与实现位置</w:t>
      </w:r>
    </w:p>
    <w:p>
      <w:r>
        <w:t>以下目录已建立，作为后续执行模型的实现位置；原有 chipmodel/compute、memory、interconnect、control 保留。目录是代码职责划分，实际资源组成由配置决定。</w:t>
      </w:r>
    </w:p>
    <w:p>
      <w:pPr>
        <w:pStyle w:val="CodeBlock"/>
      </w:pPr>
      <w:r>
        <w:t>chipmodel/</w:t>
      </w:r>
    </w:p>
    <w:p>
      <w:pPr>
        <w:pStyle w:val="CodeBlock"/>
      </w:pPr>
      <w:r>
        <w:t xml:space="preserve">  compute/          CPU GPU NPU CIM 与 3D CIM 执行模型</w:t>
      </w:r>
    </w:p>
    <w:p>
      <w:pPr>
        <w:pStyle w:val="CodeBlock"/>
      </w:pPr>
      <w:r>
        <w:t xml:space="preserve">  memory/           SRAM DRAM Flash 与控制器</w:t>
      </w:r>
    </w:p>
    <w:p>
      <w:pPr>
        <w:pStyle w:val="CodeBlock"/>
      </w:pPr>
      <w:r>
        <w:t xml:space="preserve">  interconnect/     片内及 Die-to-Die 连接</w:t>
      </w:r>
    </w:p>
    <w:p>
      <w:pPr>
        <w:pStyle w:val="CodeBlock"/>
      </w:pPr>
      <w:r>
        <w:t xml:space="preserve">  control/          芯片发射 仲裁 同步</w:t>
      </w:r>
    </w:p>
    <w:p>
      <w:pPr>
        <w:pStyle w:val="CodeBlock"/>
      </w:pPr>
      <w:r>
        <w:t xml:space="preserve">  composition/      Tile Die Package 组合</w:t>
      </w:r>
    </w:p>
    <w:p>
      <w:pPr>
        <w:pStyle w:val="CodeBlock"/>
      </w:pPr>
      <w:r>
        <w:t xml:space="preserve">  packaging/        裸片位置 堆叠 物理连接 热参数</w:t>
      </w:r>
    </w:p>
    <w:p>
      <w:pPr>
        <w:pStyle w:val="CodeBlock"/>
      </w:pPr>
      <w:r>
        <w:t>systemmodel/</w:t>
      </w:r>
    </w:p>
    <w:p>
      <w:pPr>
        <w:pStyle w:val="CodeBlock"/>
      </w:pPr>
      <w:r>
        <w:t xml:space="preserve">  composition/      Board Card Node</w:t>
      </w:r>
    </w:p>
    <w:p>
      <w:pPr>
        <w:pStyle w:val="CodeBlock"/>
      </w:pPr>
      <w:r>
        <w:t xml:space="preserve">  io/               PCIe CXL DMA NIC 与地址路径</w:t>
      </w:r>
    </w:p>
    <w:p>
      <w:pPr>
        <w:pStyle w:val="CodeBlock"/>
      </w:pPr>
      <w:r>
        <w:t>clustermodel/</w:t>
      </w:r>
    </w:p>
    <w:p>
      <w:pPr>
        <w:pStyle w:val="CodeBlock"/>
      </w:pPr>
      <w:r>
        <w:t xml:space="preserve">  composition/      Cluster 与资源分组</w:t>
      </w:r>
    </w:p>
    <w:p>
      <w:pPr>
        <w:pStyle w:val="CodeBlock"/>
      </w:pPr>
      <w:r>
        <w:t xml:space="preserve">  fabric/           交换机 跨节点链路 路由与争用</w:t>
      </w:r>
    </w:p>
    <w:p>
      <w:pPr>
        <w:pStyle w:val="CodeBlock"/>
      </w:pPr>
      <w:r>
        <w:t>runtime/</w:t>
      </w:r>
    </w:p>
    <w:p>
      <w:pPr>
        <w:pStyle w:val="CodeBlock"/>
      </w:pPr>
      <w:r>
        <w:t xml:space="preserve">  dispatch/         软件队列 派发与动态策略</w:t>
      </w:r>
    </w:p>
    <w:p>
      <w:pPr>
        <w:pStyle w:val="CodeBlock"/>
      </w:pPr>
      <w:r>
        <w:t xml:space="preserve">  communication/    集合通信算法与分块</w:t>
      </w:r>
    </w:p>
    <w:p>
      <w:pPr>
        <w:pStyle w:val="CodeBlock"/>
      </w:pPr>
      <w:r>
        <w:t>contracts/          公共类型与格式</w:t>
      </w:r>
    </w:p>
    <w:p>
      <w:pPr>
        <w:pStyle w:val="CodeBlock"/>
      </w:pPr>
      <w:r>
        <w:t>configuration/      参数字典 解析 校验与冻结</w:t>
      </w:r>
    </w:p>
    <w:p>
      <w:pPr>
        <w:pStyle w:val="CodeBlock"/>
      </w:pPr>
      <w:r>
        <w:t>costmodel/          条件成本 特征化与不确定性</w:t>
      </w:r>
    </w:p>
    <w:p>
      <w:pPr>
        <w:pStyle w:val="CodeBlock"/>
      </w:pPr>
      <w:r>
        <w:t>artifacts/          清单 序列化 存储与来源</w:t>
      </w:r>
    </w:p>
    <w:p>
      <w:pPr>
        <w:pStyle w:val="CodeBlock"/>
      </w:pPr>
      <w:r>
        <w:t>ui/                 参数表单 拓扑 映射与时序视图</w:t>
      </w:r>
    </w:p>
    <w:p>
      <w:r>
        <w:t>NIC 的硬件状态由实例所属的 systemmodel 维护，clustermodel 引用其端口；需要细化 NIC 内部时再组合 chipmodel 资源。同一个物理组件只有一份状态。公共端口和事件定义放在 contracts，具体时序适配仍由对应模型负责。</w:t>
      </w:r>
    </w:p>
    <w:p>
      <w:r>
        <w:t>现有 compiler/src/globalsplit、globalsolver、tiling、memplan、sched、lowering 和 export 按阶段扩展跨设备支持，不立即复制一套集群编译器。现有 simulator 和 evaluation 继续承担统一执行、实验管理与结果分析。主模块的 README.md 与 docs/design.md 说明子目录、状态、输入输出和验证责任；本次建立结构，不代表已完成执行实现。</w:t>
      </w:r>
    </w:p>
    <w:p>
      <w:pPr>
        <w:pStyle w:val="Heading1"/>
        <w:pageBreakBefore/>
      </w:pPr>
      <w:r>
        <w:t>11 参考资料</w:t>
      </w:r>
    </w:p>
    <w:p>
      <w:r>
        <w:t>以下资料用于确认技术边界和公开实例。使用其中的参数时仍需保存规格版本、统计范围和适用条件。</w:t>
      </w:r>
    </w:p>
    <w:p>
      <w:pPr>
        <w:pStyle w:val="ListBullet"/>
      </w:pPr>
      <w:r>
        <w:t>[1] AMD Instinct MI300A。CPU 与 GPU 组合的公开产品例子。https://www.amd.com/en/products/accelerators/instinct/mi300/mi300a.html</w:t>
      </w:r>
    </w:p>
    <w:p>
      <w:pPr>
        <w:pStyle w:val="ListBullet"/>
      </w:pPr>
      <w:r>
        <w:t>[2] Apple introduces M2 Ultra，2023。两片 M2 Max 裸片与 UltraFusion 封装。https://www.apple.com/newsroom/2023/06/apple-introduces-m2-ultra/</w:t>
      </w:r>
    </w:p>
    <w:p>
      <w:pPr>
        <w:pStyle w:val="ListBullet"/>
      </w:pPr>
      <w:r>
        <w:t>[3] UCIe Specifications。Die-to-Die、封装和 3D 支持，具体能力按版本选择。https://www.uciexpress.org/specifications</w:t>
      </w:r>
    </w:p>
    <w:p>
      <w:pPr>
        <w:pStyle w:val="ListBullet"/>
      </w:pPr>
      <w:r>
        <w:t>[4] SK hynix 与 Sandisk 发布 HBF 首批规格的公告，2026 年 8 月 4 日。https://news.skhynix.com/en/hbf-at-fms-2026/</w:t>
      </w:r>
    </w:p>
    <w:p>
      <w:pPr>
        <w:pStyle w:val="ListBullet"/>
      </w:pPr>
      <w:r>
        <w:t>[5] CXL Consortium，About CXL。处理器、内存与加速器的连接能力。https://computeexpresslink.org/about-cxl/</w:t>
      </w:r>
    </w:p>
    <w:p>
      <w:pPr>
        <w:pStyle w:val="ListBullet"/>
      </w:pPr>
      <w:r>
        <w:t>[6] NVIDIA NCCL，Collective Operations。集合操作和参与者语义参考。https://docs.nvidia.com/deeplearning/nccl/user-guide/docs/usage/collectives.html</w:t>
      </w:r>
    </w:p>
    <w:p>
      <w:pPr>
        <w:pStyle w:val="ListBullet"/>
      </w:pPr>
      <w:r>
        <w:t>[7] SK hynix，Co-Optimizing Cell, Non-Cell, and Page Schemes for Energy Efficient Analog Computing in 3D FeNAND 的研究介绍，2026。用于解释三维阵列 CIM，不将其特定实验收益设为通用默认值。https://news.skhynix.com/en/research-inside-ep2/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8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05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24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67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83" w:lineRule="exact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0" w:lineRule="exact"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0" w:lineRule="exact"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pPr>
      <w:spacing w:line="280" w:lineRule="exact" w:before="0" w:after="0"/>
    </w:pPr>
    <w:rPr>
      <w:rFonts w:ascii="Microsoft YaHei" w:hAnsi="Microsoft YaHei" w:eastAsia="Microsoft YaHei" w:cs="Microsoft YaHei"/>
      <w:b w:val="0"/>
      <w:i w:val="0"/>
      <w:color w:val="000000"/>
      <w:sz w:val="19"/>
      <w:u w:val="none"/>
    </w:rPr>
  </w:style>
  <w:style w:type="paragraph" w:customStyle="1" w:styleId="CodeBlock">
    <w:name w:val="Code Block"/>
    <w:basedOn w:val="Normal"/>
    <w:pPr>
      <w:spacing w:line="252" w:lineRule="auto" w:after="0"/>
    </w:pPr>
    <w:rPr>
      <w:rFonts w:ascii="Consolas" w:hAnsi="Consolas" w:eastAsia="Microsoft YaHei" w:cs="Microsoft YaHei"/>
      <w:b w:val="0"/>
      <w:i w:val="0"/>
      <w:color w:val="000000"/>
      <w:sz w:val="1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异构芯片封装与集群建模规划</dc:title>
  <dc:subject>CPU GPU NPU CIM 三维集成 HBF 多卡与多机</dc:subject>
  <dc:creator>UniverseModel</dc:creator>
  <cp:keywords/>
  <dc:description>Markdown source SHA256: 9aaf28935faea68879c81444956f53951562e8f3347c216f52a82de7f2d9f09b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