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Clinic Cloud Migration Portfolio Closeout Report</w:t>
      </w:r>
    </w:p>
    <w:p>
      <w:pPr>
        <w:pStyle w:val="Subtitle"/>
      </w:pPr>
      <w:r>
        <w:t>Formal project record for Waves 0 through 6</w:t>
      </w:r>
    </w:p>
    <w:p>
      <w:r>
        <w:t>Closure date 28 September 2026</w:t>
      </w:r>
    </w:p>
    <w:p>
      <w:r>
        <w:t>Portfolio environment AWS Asia Pacific Hong Kong region</w:t>
      </w:r>
    </w:p>
    <w:p>
      <w:r>
        <w:t>Data classification Sanitized portfolio record with synthetic data only</w:t>
      </w:r>
    </w:p>
    <w:p>
      <w:r>
        <w:t>Recommended repository destination docs/portfolio-closeout/</w:t>
      </w:r>
    </w:p>
    <w:p/>
    <w:p>
      <w:r>
        <w:t>This report closes the portfolio through Wave 6. It records the implemented platform and network work, the partially deployed Appointment API engineering, two validated migration designs that were intentionally not deployed, and the Lab and Radiology workstream terminated because its external ISP connectivity prerequisite was unavailable.</w:t>
      </w:r>
    </w:p>
    <w:p>
      <w:r>
        <w:t>The closure is a project-management disposition, not a claim that a production clinic migration or clinical go-live occurred.</w:t>
      </w:r>
    </w:p>
    <w:p>
      <w:r>
        <w:br w:type="page"/>
      </w:r>
    </w:p>
    <w:p>
      <w:pPr>
        <w:pStyle w:val="Heading1"/>
      </w:pPr>
      <w:r>
        <w:t>Document Control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448"/>
            <w:shd w:fill="1F4E78"/>
            <w:tcMar>
              <w:top w:w="100" w:type="dxa"/>
              <w:start w:w="120" w:type="dxa"/>
              <w:bottom w:w="100" w:type="dxa"/>
              <w:end w:w="120" w:type="dxa"/>
            </w:tcMar>
            <w:vAlign w:val="center"/>
          </w:tcPr>
          <w:p>
            <w:pPr>
              <w:spacing w:after="0"/>
              <w:jc w:val="center"/>
            </w:pPr>
            <w:r>
              <w:rPr>
                <w:b/>
                <w:color w:val="FFFFFF"/>
                <w:sz w:val="18"/>
              </w:rPr>
              <w:t>Field</w:t>
            </w:r>
          </w:p>
        </w:tc>
        <w:tc>
          <w:tcPr>
            <w:tcW w:type="dxa" w:w="7056"/>
            <w:shd w:fill="1F4E78"/>
            <w:tcMar>
              <w:top w:w="100" w:type="dxa"/>
              <w:start w:w="120" w:type="dxa"/>
              <w:bottom w:w="100" w:type="dxa"/>
              <w:end w:w="120" w:type="dxa"/>
            </w:tcMar>
            <w:vAlign w:val="center"/>
          </w:tcPr>
          <w:p>
            <w:pPr>
              <w:spacing w:after="0"/>
              <w:jc w:val="center"/>
            </w:pPr>
            <w:r>
              <w:rPr>
                <w:b/>
                <w:color w:val="FFFFFF"/>
                <w:sz w:val="18"/>
              </w:rPr>
              <w:t>Value</w:t>
            </w:r>
          </w:p>
        </w:tc>
      </w:tr>
      <w:tr>
        <w:tc>
          <w:tcPr>
            <w:tcW w:type="dxa" w:w="2448"/>
            <w:tcMar>
              <w:top w:w="100" w:type="dxa"/>
              <w:start w:w="120" w:type="dxa"/>
              <w:bottom w:w="100" w:type="dxa"/>
              <w:end w:w="120" w:type="dxa"/>
            </w:tcMar>
            <w:vAlign w:val="center"/>
          </w:tcPr>
          <w:p>
            <w:pPr>
              <w:spacing w:after="0"/>
            </w:pPr>
            <w:r>
              <w:rPr>
                <w:sz w:val="18"/>
              </w:rPr>
              <w:t>Purpose</w:t>
            </w:r>
          </w:p>
        </w:tc>
        <w:tc>
          <w:tcPr>
            <w:tcW w:type="dxa" w:w="7056"/>
            <w:tcMar>
              <w:top w:w="100" w:type="dxa"/>
              <w:start w:w="120" w:type="dxa"/>
              <w:bottom w:w="100" w:type="dxa"/>
              <w:end w:w="120" w:type="dxa"/>
            </w:tcMar>
            <w:vAlign w:val="center"/>
          </w:tcPr>
          <w:p>
            <w:pPr>
              <w:spacing w:after="0"/>
            </w:pPr>
            <w:r>
              <w:rPr>
                <w:sz w:val="18"/>
              </w:rPr>
              <w:t>Authoritative portfolio closeout record for Waves 0 through 6</w:t>
            </w:r>
          </w:p>
        </w:tc>
      </w:tr>
      <w:tr>
        <w:tc>
          <w:tcPr>
            <w:tcW w:type="dxa" w:w="2448"/>
            <w:tcMar>
              <w:top w:w="100" w:type="dxa"/>
              <w:start w:w="120" w:type="dxa"/>
              <w:bottom w:w="100" w:type="dxa"/>
              <w:end w:w="120" w:type="dxa"/>
            </w:tcMar>
            <w:vAlign w:val="center"/>
            <w:shd w:fill="F2F6FA"/>
          </w:tcPr>
          <w:p>
            <w:pPr>
              <w:spacing w:after="0"/>
            </w:pPr>
            <w:r>
              <w:rPr>
                <w:sz w:val="18"/>
              </w:rPr>
              <w:t>Audience</w:t>
            </w:r>
          </w:p>
        </w:tc>
        <w:tc>
          <w:tcPr>
            <w:tcW w:type="dxa" w:w="7056"/>
            <w:tcMar>
              <w:top w:w="100" w:type="dxa"/>
              <w:start w:w="120" w:type="dxa"/>
              <w:bottom w:w="100" w:type="dxa"/>
              <w:end w:w="120" w:type="dxa"/>
            </w:tcMar>
            <w:vAlign w:val="center"/>
            <w:shd w:fill="F2F6FA"/>
          </w:tcPr>
          <w:p>
            <w:pPr>
              <w:spacing w:after="0"/>
            </w:pPr>
            <w:r>
              <w:rPr>
                <w:sz w:val="18"/>
              </w:rPr>
              <w:t>Project owner, technical reviewers, hiring reviewers, and future maintainers</w:t>
            </w:r>
          </w:p>
        </w:tc>
      </w:tr>
      <w:tr>
        <w:tc>
          <w:tcPr>
            <w:tcW w:type="dxa" w:w="2448"/>
            <w:tcMar>
              <w:top w:w="100" w:type="dxa"/>
              <w:start w:w="120" w:type="dxa"/>
              <w:bottom w:w="100" w:type="dxa"/>
              <w:end w:w="120" w:type="dxa"/>
            </w:tcMar>
            <w:vAlign w:val="center"/>
          </w:tcPr>
          <w:p>
            <w:pPr>
              <w:spacing w:after="0"/>
            </w:pPr>
            <w:r>
              <w:rPr>
                <w:sz w:val="18"/>
              </w:rPr>
              <w:t>Repository</w:t>
            </w:r>
          </w:p>
        </w:tc>
        <w:tc>
          <w:tcPr>
            <w:tcW w:type="dxa" w:w="7056"/>
            <w:tcMar>
              <w:top w:w="100" w:type="dxa"/>
              <w:start w:w="120" w:type="dxa"/>
              <w:bottom w:w="100" w:type="dxa"/>
              <w:end w:w="120" w:type="dxa"/>
            </w:tcMar>
            <w:vAlign w:val="center"/>
          </w:tcPr>
          <w:p>
            <w:pPr>
              <w:spacing w:after="0"/>
            </w:pPr>
            <w:r>
              <w:rPr>
                <w:sz w:val="18"/>
              </w:rPr>
              <w:t>clinic-cloud-iac</w:t>
            </w:r>
          </w:p>
        </w:tc>
      </w:tr>
      <w:tr>
        <w:tc>
          <w:tcPr>
            <w:tcW w:type="dxa" w:w="2448"/>
            <w:tcMar>
              <w:top w:w="100" w:type="dxa"/>
              <w:start w:w="120" w:type="dxa"/>
              <w:bottom w:w="100" w:type="dxa"/>
              <w:end w:w="120" w:type="dxa"/>
            </w:tcMar>
            <w:vAlign w:val="center"/>
            <w:shd w:fill="F2F6FA"/>
          </w:tcPr>
          <w:p>
            <w:pPr>
              <w:spacing w:after="0"/>
            </w:pPr>
            <w:r>
              <w:rPr>
                <w:sz w:val="18"/>
              </w:rPr>
              <w:t>Recommended location</w:t>
            </w:r>
          </w:p>
        </w:tc>
        <w:tc>
          <w:tcPr>
            <w:tcW w:type="dxa" w:w="7056"/>
            <w:tcMar>
              <w:top w:w="100" w:type="dxa"/>
              <w:start w:w="120" w:type="dxa"/>
              <w:bottom w:w="100" w:type="dxa"/>
              <w:end w:w="120" w:type="dxa"/>
            </w:tcMar>
            <w:vAlign w:val="center"/>
            <w:shd w:fill="F2F6FA"/>
          </w:tcPr>
          <w:p>
            <w:pPr>
              <w:spacing w:after="0"/>
            </w:pPr>
            <w:r>
              <w:rPr>
                <w:sz w:val="18"/>
              </w:rPr>
              <w:t>docs/portfolio-closeout/</w:t>
            </w:r>
          </w:p>
        </w:tc>
      </w:tr>
      <w:tr>
        <w:tc>
          <w:tcPr>
            <w:tcW w:type="dxa" w:w="2448"/>
            <w:tcMar>
              <w:top w:w="100" w:type="dxa"/>
              <w:start w:w="120" w:type="dxa"/>
              <w:bottom w:w="100" w:type="dxa"/>
              <w:end w:w="120" w:type="dxa"/>
            </w:tcMar>
            <w:vAlign w:val="center"/>
          </w:tcPr>
          <w:p>
            <w:pPr>
              <w:spacing w:after="0"/>
            </w:pPr>
            <w:r>
              <w:rPr>
                <w:sz w:val="18"/>
              </w:rPr>
              <w:t>Evidence basis</w:t>
            </w:r>
          </w:p>
        </w:tc>
        <w:tc>
          <w:tcPr>
            <w:tcW w:type="dxa" w:w="7056"/>
            <w:tcMar>
              <w:top w:w="100" w:type="dxa"/>
              <w:start w:w="120" w:type="dxa"/>
              <w:bottom w:w="100" w:type="dxa"/>
              <w:end w:w="120" w:type="dxa"/>
            </w:tcMar>
            <w:vAlign w:val="center"/>
          </w:tcPr>
          <w:p>
            <w:pPr>
              <w:spacing w:after="0"/>
            </w:pPr>
            <w:r>
              <w:rPr>
                <w:sz w:val="18"/>
              </w:rPr>
              <w:t>Current Git branch, tracked evidence, repository documentation, and project decision records</w:t>
            </w:r>
          </w:p>
        </w:tc>
      </w:tr>
      <w:tr>
        <w:tc>
          <w:tcPr>
            <w:tcW w:type="dxa" w:w="2448"/>
            <w:tcMar>
              <w:top w:w="100" w:type="dxa"/>
              <w:start w:w="120" w:type="dxa"/>
              <w:bottom w:w="100" w:type="dxa"/>
              <w:end w:w="120" w:type="dxa"/>
            </w:tcMar>
            <w:vAlign w:val="center"/>
            <w:shd w:fill="F2F6FA"/>
          </w:tcPr>
          <w:p>
            <w:pPr>
              <w:spacing w:after="0"/>
            </w:pPr>
            <w:r>
              <w:rPr>
                <w:sz w:val="18"/>
              </w:rPr>
              <w:t>Excluded material</w:t>
            </w:r>
          </w:p>
        </w:tc>
        <w:tc>
          <w:tcPr>
            <w:tcW w:type="dxa" w:w="7056"/>
            <w:tcMar>
              <w:top w:w="100" w:type="dxa"/>
              <w:start w:w="120" w:type="dxa"/>
              <w:bottom w:w="100" w:type="dxa"/>
              <w:end w:w="120" w:type="dxa"/>
            </w:tcMar>
            <w:vAlign w:val="center"/>
            <w:shd w:fill="F2F6FA"/>
          </w:tcPr>
          <w:p>
            <w:pPr>
              <w:spacing w:after="0"/>
            </w:pPr>
            <w:r>
              <w:rPr>
                <w:sz w:val="18"/>
              </w:rPr>
              <w:t>State, plans, tfvars, credentials, secret values, build archives, caches, raw payloads, and PHI or PII</w:t>
            </w:r>
          </w:p>
        </w:tc>
      </w:tr>
      <w:tr>
        <w:tc>
          <w:tcPr>
            <w:tcW w:type="dxa" w:w="2448"/>
            <w:tcMar>
              <w:top w:w="100" w:type="dxa"/>
              <w:start w:w="120" w:type="dxa"/>
              <w:bottom w:w="100" w:type="dxa"/>
              <w:end w:w="120" w:type="dxa"/>
            </w:tcMar>
            <w:vAlign w:val="center"/>
          </w:tcPr>
          <w:p>
            <w:pPr>
              <w:spacing w:after="0"/>
            </w:pPr>
            <w:r>
              <w:rPr>
                <w:sz w:val="18"/>
              </w:rPr>
              <w:t>Overall status</w:t>
            </w:r>
          </w:p>
        </w:tc>
        <w:tc>
          <w:tcPr>
            <w:tcW w:type="dxa" w:w="7056"/>
            <w:tcMar>
              <w:top w:w="100" w:type="dxa"/>
              <w:start w:w="120" w:type="dxa"/>
              <w:bottom w:w="100" w:type="dxa"/>
              <w:end w:w="120" w:type="dxa"/>
            </w:tcMar>
            <w:vAlign w:val="center"/>
          </w:tcPr>
          <w:p>
            <w:pPr>
              <w:spacing w:after="0"/>
            </w:pPr>
            <w:r>
              <w:rPr>
                <w:sz w:val="18"/>
              </w:rPr>
              <w:t>Portfolio closed through Wave 6 with differentiated terminal outcomes</w:t>
            </w:r>
          </w:p>
        </w:tc>
      </w:tr>
    </w:tbl>
    <w:p>
      <w:pPr>
        <w:spacing w:after="20"/>
      </w:pPr>
    </w:p>
    <w:p>
      <w:pPr>
        <w:pStyle w:val="Heading2"/>
      </w:pPr>
      <w:r>
        <w:t>Contents</w:t>
      </w:r>
    </w:p>
    <w:p>
      <w:pPr>
        <w:pStyle w:val="ListBullet"/>
        <w:spacing w:after="40"/>
      </w:pPr>
      <w:r>
        <w:t>Executive Summary</w:t>
      </w:r>
    </w:p>
    <w:p>
      <w:pPr>
        <w:pStyle w:val="ListBullet"/>
        <w:spacing w:after="40"/>
      </w:pPr>
      <w:r>
        <w:t>Project Scope and Evidence Boundary</w:t>
      </w:r>
    </w:p>
    <w:p>
      <w:pPr>
        <w:pStyle w:val="ListBullet"/>
        <w:spacing w:after="40"/>
      </w:pPr>
      <w:r>
        <w:t>Architecture and Security Evolution</w:t>
      </w:r>
    </w:p>
    <w:p>
      <w:pPr>
        <w:pStyle w:val="ListBullet"/>
        <w:spacing w:after="40"/>
      </w:pPr>
      <w:r>
        <w:t>Wave by Wave Record</w:t>
      </w:r>
    </w:p>
    <w:p>
      <w:pPr>
        <w:pStyle w:val="ListBullet"/>
        <w:spacing w:after="40"/>
      </w:pPr>
      <w:r>
        <w:t>Incident and Recovery Lessons</w:t>
      </w:r>
    </w:p>
    <w:p>
      <w:pPr>
        <w:pStyle w:val="ListBullet"/>
        <w:spacing w:after="40"/>
      </w:pPr>
      <w:r>
        <w:t>Validation and Testing Evidence</w:t>
      </w:r>
    </w:p>
    <w:p>
      <w:pPr>
        <w:pStyle w:val="ListBullet"/>
        <w:spacing w:after="40"/>
      </w:pPr>
      <w:r>
        <w:t>IAM and Secrets Governance</w:t>
      </w:r>
    </w:p>
    <w:p>
      <w:pPr>
        <w:pStyle w:val="ListBullet"/>
        <w:spacing w:after="40"/>
      </w:pPr>
      <w:r>
        <w:t>Cost Control Decisions</w:t>
      </w:r>
    </w:p>
    <w:p>
      <w:pPr>
        <w:pStyle w:val="ListBullet"/>
        <w:spacing w:after="40"/>
      </w:pPr>
      <w:r>
        <w:t>Portfolio and Resume Framing</w:t>
      </w:r>
    </w:p>
    <w:p>
      <w:pPr>
        <w:pStyle w:val="ListBullet"/>
        <w:spacing w:after="40"/>
      </w:pPr>
      <w:r>
        <w:t>Limitations and Residual Risks</w:t>
      </w:r>
    </w:p>
    <w:p>
      <w:pPr>
        <w:pStyle w:val="ListBullet"/>
        <w:spacing w:after="40"/>
      </w:pPr>
      <w:r>
        <w:t>Final Closure Statement</w:t>
      </w:r>
    </w:p>
    <w:p>
      <w:pPr>
        <w:pStyle w:val="ListBullet"/>
        <w:spacing w:after="40"/>
      </w:pPr>
      <w:r>
        <w:t>Appendices</w:t>
      </w:r>
    </w:p>
    <w:p>
      <w:pPr>
        <w:pStyle w:val="Heading1"/>
        <w:pageBreakBefore/>
      </w:pPr>
      <w:r>
        <w:t>Executive Summary</w:t>
      </w:r>
    </w:p>
    <w:p>
      <w:r>
        <w:t>The clinic cloud security engineering portfolio has reached a documented terminal state for every workstream in scope from Wave 0 through Wave 6. Waves 0, 1, and 2 closed with passing implementation and validation evidence. Wave 3 closed after engineering and testing were completed, while final deployment was intentionally deferred at the owner-controlled IAM boundary. Waves 4 and 5 validated migration architecture and security controls without deployment. Wave 6 completed discovery and then terminated because the ISP would not provide the public connectivity required for the on-premises VPN endpoint.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864"/>
            <w:shd w:fill="1F4E78"/>
            <w:tcMar>
              <w:top w:w="100" w:type="dxa"/>
              <w:start w:w="120" w:type="dxa"/>
              <w:bottom w:w="100" w:type="dxa"/>
              <w:end w:w="120" w:type="dxa"/>
            </w:tcMar>
            <w:vAlign w:val="center"/>
          </w:tcPr>
          <w:p>
            <w:pPr>
              <w:spacing w:after="0"/>
              <w:jc w:val="center"/>
            </w:pPr>
            <w:r>
              <w:rPr>
                <w:b/>
                <w:color w:val="FFFFFF"/>
                <w:sz w:val="16"/>
              </w:rPr>
              <w:t>Wave</w:t>
            </w:r>
          </w:p>
        </w:tc>
        <w:tc>
          <w:tcPr>
            <w:tcW w:type="dxa" w:w="3744"/>
            <w:shd w:fill="1F4E78"/>
            <w:tcMar>
              <w:top w:w="100" w:type="dxa"/>
              <w:start w:w="120" w:type="dxa"/>
              <w:bottom w:w="100" w:type="dxa"/>
              <w:end w:w="120" w:type="dxa"/>
            </w:tcMar>
            <w:vAlign w:val="center"/>
          </w:tcPr>
          <w:p>
            <w:pPr>
              <w:spacing w:after="0"/>
              <w:jc w:val="center"/>
            </w:pPr>
            <w:r>
              <w:rPr>
                <w:b/>
                <w:color w:val="FFFFFF"/>
                <w:sz w:val="16"/>
              </w:rPr>
              <w:t>Final Status</w:t>
            </w:r>
          </w:p>
        </w:tc>
        <w:tc>
          <w:tcPr>
            <w:tcW w:type="dxa" w:w="4896"/>
            <w:shd w:fill="1F4E78"/>
            <w:tcMar>
              <w:top w:w="100" w:type="dxa"/>
              <w:start w:w="120" w:type="dxa"/>
              <w:bottom w:w="100" w:type="dxa"/>
              <w:end w:w="120" w:type="dxa"/>
            </w:tcMar>
            <w:vAlign w:val="center"/>
          </w:tcPr>
          <w:p>
            <w:pPr>
              <w:spacing w:after="0"/>
              <w:jc w:val="center"/>
            </w:pPr>
            <w:r>
              <w:rPr>
                <w:b/>
                <w:color w:val="FFFFFF"/>
                <w:sz w:val="16"/>
              </w:rPr>
              <w:t>Disposition</w:t>
            </w:r>
          </w:p>
        </w:tc>
      </w:tr>
      <w:tr>
        <w:tc>
          <w:tcPr>
            <w:tcW w:type="dxa" w:w="864"/>
            <w:tcMar>
              <w:top w:w="100" w:type="dxa"/>
              <w:start w:w="120" w:type="dxa"/>
              <w:bottom w:w="100" w:type="dxa"/>
              <w:end w:w="120" w:type="dxa"/>
            </w:tcMar>
            <w:vAlign w:val="center"/>
          </w:tcPr>
          <w:p>
            <w:pPr>
              <w:spacing w:after="0"/>
              <w:jc w:val="center"/>
            </w:pPr>
            <w:r>
              <w:rPr>
                <w:sz w:val="16"/>
              </w:rPr>
              <w:t>W0</w:t>
            </w:r>
          </w:p>
        </w:tc>
        <w:tc>
          <w:tcPr>
            <w:tcW w:type="dxa" w:w="3744"/>
            <w:tcMar>
              <w:top w:w="100" w:type="dxa"/>
              <w:start w:w="120" w:type="dxa"/>
              <w:bottom w:w="100" w:type="dxa"/>
              <w:end w:w="120" w:type="dxa"/>
            </w:tcMar>
            <w:vAlign w:val="center"/>
          </w:tcPr>
          <w:p>
            <w:pPr>
              <w:spacing w:after="0"/>
            </w:pPr>
            <w:r>
              <w:rPr>
                <w:sz w:val="16"/>
              </w:rPr>
              <w:t>CLOSED - PASS</w:t>
            </w:r>
          </w:p>
        </w:tc>
        <w:tc>
          <w:tcPr>
            <w:tcW w:type="dxa" w:w="4896"/>
            <w:tcMar>
              <w:top w:w="100" w:type="dxa"/>
              <w:start w:w="120" w:type="dxa"/>
              <w:bottom w:w="100" w:type="dxa"/>
              <w:end w:w="120" w:type="dxa"/>
            </w:tcMar>
            <w:vAlign w:val="center"/>
          </w:tcPr>
          <w:p>
            <w:pPr>
              <w:spacing w:after="0"/>
            </w:pPr>
            <w:r>
              <w:rPr>
                <w:sz w:val="16"/>
              </w:rPr>
              <w:t>Implemented foundation</w:t>
            </w:r>
          </w:p>
        </w:tc>
      </w:tr>
      <w:tr>
        <w:tc>
          <w:tcPr>
            <w:tcW w:type="dxa" w:w="864"/>
            <w:tcMar>
              <w:top w:w="100" w:type="dxa"/>
              <w:start w:w="120" w:type="dxa"/>
              <w:bottom w:w="100" w:type="dxa"/>
              <w:end w:w="120" w:type="dxa"/>
            </w:tcMar>
            <w:vAlign w:val="center"/>
            <w:shd w:fill="F2F6FA"/>
          </w:tcPr>
          <w:p>
            <w:pPr>
              <w:spacing w:after="0"/>
              <w:jc w:val="center"/>
            </w:pPr>
            <w:r>
              <w:rPr>
                <w:sz w:val="16"/>
              </w:rPr>
              <w:t>W1</w:t>
            </w:r>
          </w:p>
        </w:tc>
        <w:tc>
          <w:tcPr>
            <w:tcW w:type="dxa" w:w="3744"/>
            <w:tcMar>
              <w:top w:w="100" w:type="dxa"/>
              <w:start w:w="120" w:type="dxa"/>
              <w:bottom w:w="100" w:type="dxa"/>
              <w:end w:w="120" w:type="dxa"/>
            </w:tcMar>
            <w:vAlign w:val="center"/>
            <w:shd w:fill="F2F6FA"/>
          </w:tcPr>
          <w:p>
            <w:pPr>
              <w:spacing w:after="0"/>
            </w:pPr>
            <w:r>
              <w:rPr>
                <w:sz w:val="16"/>
              </w:rPr>
              <w:t>CLOSED - PASS</w:t>
            </w:r>
          </w:p>
        </w:tc>
        <w:tc>
          <w:tcPr>
            <w:tcW w:type="dxa" w:w="4896"/>
            <w:tcMar>
              <w:top w:w="100" w:type="dxa"/>
              <w:start w:w="120" w:type="dxa"/>
              <w:bottom w:w="100" w:type="dxa"/>
              <w:end w:w="120" w:type="dxa"/>
            </w:tcMar>
            <w:vAlign w:val="center"/>
            <w:shd w:fill="F2F6FA"/>
          </w:tcPr>
          <w:p>
            <w:pPr>
              <w:spacing w:after="0"/>
            </w:pPr>
            <w:r>
              <w:rPr>
                <w:sz w:val="16"/>
              </w:rPr>
              <w:t>Implemented and validated</w:t>
            </w:r>
          </w:p>
        </w:tc>
      </w:tr>
      <w:tr>
        <w:tc>
          <w:tcPr>
            <w:tcW w:type="dxa" w:w="864"/>
            <w:tcMar>
              <w:top w:w="100" w:type="dxa"/>
              <w:start w:w="120" w:type="dxa"/>
              <w:bottom w:w="100" w:type="dxa"/>
              <w:end w:w="120" w:type="dxa"/>
            </w:tcMar>
            <w:vAlign w:val="center"/>
          </w:tcPr>
          <w:p>
            <w:pPr>
              <w:spacing w:after="0"/>
              <w:jc w:val="center"/>
            </w:pPr>
            <w:r>
              <w:rPr>
                <w:sz w:val="16"/>
              </w:rPr>
              <w:t>W2</w:t>
            </w:r>
          </w:p>
        </w:tc>
        <w:tc>
          <w:tcPr>
            <w:tcW w:type="dxa" w:w="3744"/>
            <w:tcMar>
              <w:top w:w="100" w:type="dxa"/>
              <w:start w:w="120" w:type="dxa"/>
              <w:bottom w:w="100" w:type="dxa"/>
              <w:end w:w="120" w:type="dxa"/>
            </w:tcMar>
            <w:vAlign w:val="center"/>
          </w:tcPr>
          <w:p>
            <w:pPr>
              <w:spacing w:after="0"/>
            </w:pPr>
            <w:r>
              <w:rPr>
                <w:sz w:val="16"/>
              </w:rPr>
              <w:t>CLOSED - PASS</w:t>
            </w:r>
          </w:p>
        </w:tc>
        <w:tc>
          <w:tcPr>
            <w:tcW w:type="dxa" w:w="4896"/>
            <w:tcMar>
              <w:top w:w="100" w:type="dxa"/>
              <w:start w:w="120" w:type="dxa"/>
              <w:bottom w:w="100" w:type="dxa"/>
              <w:end w:w="120" w:type="dxa"/>
            </w:tcMar>
            <w:vAlign w:val="center"/>
          </w:tcPr>
          <w:p>
            <w:pPr>
              <w:spacing w:after="0"/>
            </w:pPr>
            <w:r>
              <w:rPr>
                <w:sz w:val="16"/>
              </w:rPr>
              <w:t>Implemented and validated</w:t>
            </w:r>
          </w:p>
        </w:tc>
      </w:tr>
      <w:tr>
        <w:tc>
          <w:tcPr>
            <w:tcW w:type="dxa" w:w="864"/>
            <w:tcMar>
              <w:top w:w="100" w:type="dxa"/>
              <w:start w:w="120" w:type="dxa"/>
              <w:bottom w:w="100" w:type="dxa"/>
              <w:end w:w="120" w:type="dxa"/>
            </w:tcMar>
            <w:vAlign w:val="center"/>
            <w:shd w:fill="F2F6FA"/>
          </w:tcPr>
          <w:p>
            <w:pPr>
              <w:spacing w:after="0"/>
              <w:jc w:val="center"/>
            </w:pPr>
            <w:r>
              <w:rPr>
                <w:sz w:val="16"/>
              </w:rPr>
              <w:t>W3</w:t>
            </w:r>
          </w:p>
        </w:tc>
        <w:tc>
          <w:tcPr>
            <w:tcW w:type="dxa" w:w="3744"/>
            <w:tcMar>
              <w:top w:w="100" w:type="dxa"/>
              <w:start w:w="120" w:type="dxa"/>
              <w:bottom w:w="100" w:type="dxa"/>
              <w:end w:w="120" w:type="dxa"/>
            </w:tcMar>
            <w:vAlign w:val="center"/>
            <w:shd w:fill="F2F6FA"/>
          </w:tcPr>
          <w:p>
            <w:pPr>
              <w:spacing w:after="0"/>
            </w:pPr>
            <w:r>
              <w:rPr>
                <w:sz w:val="16"/>
              </w:rPr>
              <w:t>ENGINEERING CLOSED - DEPLOYMENT DEFERRED</w:t>
            </w:r>
          </w:p>
        </w:tc>
        <w:tc>
          <w:tcPr>
            <w:tcW w:type="dxa" w:w="4896"/>
            <w:tcMar>
              <w:top w:w="100" w:type="dxa"/>
              <w:start w:w="120" w:type="dxa"/>
              <w:bottom w:w="100" w:type="dxa"/>
              <w:end w:w="120" w:type="dxa"/>
            </w:tcMar>
            <w:vAlign w:val="center"/>
            <w:shd w:fill="F2F6FA"/>
          </w:tcPr>
          <w:p>
            <w:pPr>
              <w:spacing w:after="0"/>
            </w:pPr>
            <w:r>
              <w:rPr>
                <w:sz w:val="16"/>
              </w:rPr>
              <w:t>Partially deployed; engineering validated</w:t>
            </w:r>
          </w:p>
        </w:tc>
      </w:tr>
      <w:tr>
        <w:tc>
          <w:tcPr>
            <w:tcW w:type="dxa" w:w="864"/>
            <w:tcMar>
              <w:top w:w="100" w:type="dxa"/>
              <w:start w:w="120" w:type="dxa"/>
              <w:bottom w:w="100" w:type="dxa"/>
              <w:end w:w="120" w:type="dxa"/>
            </w:tcMar>
            <w:vAlign w:val="center"/>
          </w:tcPr>
          <w:p>
            <w:pPr>
              <w:spacing w:after="0"/>
              <w:jc w:val="center"/>
            </w:pPr>
            <w:r>
              <w:rPr>
                <w:sz w:val="16"/>
              </w:rPr>
              <w:t>W4</w:t>
            </w:r>
          </w:p>
        </w:tc>
        <w:tc>
          <w:tcPr>
            <w:tcW w:type="dxa" w:w="3744"/>
            <w:tcMar>
              <w:top w:w="100" w:type="dxa"/>
              <w:start w:w="120" w:type="dxa"/>
              <w:bottom w:w="100" w:type="dxa"/>
              <w:end w:w="120" w:type="dxa"/>
            </w:tcMar>
            <w:vAlign w:val="center"/>
          </w:tcPr>
          <w:p>
            <w:pPr>
              <w:spacing w:after="0"/>
            </w:pPr>
            <w:r>
              <w:rPr>
                <w:sz w:val="16"/>
              </w:rPr>
              <w:t>DESIGN VALIDATED - NOT DEPLOYED</w:t>
            </w:r>
          </w:p>
        </w:tc>
        <w:tc>
          <w:tcPr>
            <w:tcW w:type="dxa" w:w="4896"/>
            <w:tcMar>
              <w:top w:w="100" w:type="dxa"/>
              <w:start w:w="120" w:type="dxa"/>
              <w:bottom w:w="100" w:type="dxa"/>
              <w:end w:w="120" w:type="dxa"/>
            </w:tcMar>
            <w:vAlign w:val="center"/>
          </w:tcPr>
          <w:p>
            <w:pPr>
              <w:spacing w:after="0"/>
            </w:pPr>
            <w:r>
              <w:rPr>
                <w:sz w:val="16"/>
              </w:rPr>
              <w:t>Design only</w:t>
            </w:r>
          </w:p>
        </w:tc>
      </w:tr>
      <w:tr>
        <w:tc>
          <w:tcPr>
            <w:tcW w:type="dxa" w:w="864"/>
            <w:tcMar>
              <w:top w:w="100" w:type="dxa"/>
              <w:start w:w="120" w:type="dxa"/>
              <w:bottom w:w="100" w:type="dxa"/>
              <w:end w:w="120" w:type="dxa"/>
            </w:tcMar>
            <w:vAlign w:val="center"/>
            <w:shd w:fill="F2F6FA"/>
          </w:tcPr>
          <w:p>
            <w:pPr>
              <w:spacing w:after="0"/>
              <w:jc w:val="center"/>
            </w:pPr>
            <w:r>
              <w:rPr>
                <w:sz w:val="16"/>
              </w:rPr>
              <w:t>W5</w:t>
            </w:r>
          </w:p>
        </w:tc>
        <w:tc>
          <w:tcPr>
            <w:tcW w:type="dxa" w:w="3744"/>
            <w:tcMar>
              <w:top w:w="100" w:type="dxa"/>
              <w:start w:w="120" w:type="dxa"/>
              <w:bottom w:w="100" w:type="dxa"/>
              <w:end w:w="120" w:type="dxa"/>
            </w:tcMar>
            <w:vAlign w:val="center"/>
            <w:shd w:fill="F2F6FA"/>
          </w:tcPr>
          <w:p>
            <w:pPr>
              <w:spacing w:after="0"/>
            </w:pPr>
            <w:r>
              <w:rPr>
                <w:sz w:val="16"/>
              </w:rPr>
              <w:t>DESIGN VALIDATED - NOT DEPLOYED</w:t>
            </w:r>
          </w:p>
        </w:tc>
        <w:tc>
          <w:tcPr>
            <w:tcW w:type="dxa" w:w="4896"/>
            <w:tcMar>
              <w:top w:w="100" w:type="dxa"/>
              <w:start w:w="120" w:type="dxa"/>
              <w:bottom w:w="100" w:type="dxa"/>
              <w:end w:w="120" w:type="dxa"/>
            </w:tcMar>
            <w:vAlign w:val="center"/>
            <w:shd w:fill="F2F6FA"/>
          </w:tcPr>
          <w:p>
            <w:pPr>
              <w:spacing w:after="0"/>
            </w:pPr>
            <w:r>
              <w:rPr>
                <w:sz w:val="16"/>
              </w:rPr>
              <w:t>Design only</w:t>
            </w:r>
          </w:p>
        </w:tc>
      </w:tr>
      <w:tr>
        <w:tc>
          <w:tcPr>
            <w:tcW w:type="dxa" w:w="864"/>
            <w:tcMar>
              <w:top w:w="100" w:type="dxa"/>
              <w:start w:w="120" w:type="dxa"/>
              <w:bottom w:w="100" w:type="dxa"/>
              <w:end w:w="120" w:type="dxa"/>
            </w:tcMar>
            <w:vAlign w:val="center"/>
          </w:tcPr>
          <w:p>
            <w:pPr>
              <w:spacing w:after="0"/>
              <w:jc w:val="center"/>
            </w:pPr>
            <w:r>
              <w:rPr>
                <w:sz w:val="16"/>
              </w:rPr>
              <w:t>W6</w:t>
            </w:r>
          </w:p>
        </w:tc>
        <w:tc>
          <w:tcPr>
            <w:tcW w:type="dxa" w:w="3744"/>
            <w:tcMar>
              <w:top w:w="100" w:type="dxa"/>
              <w:start w:w="120" w:type="dxa"/>
              <w:bottom w:w="100" w:type="dxa"/>
              <w:end w:w="120" w:type="dxa"/>
            </w:tcMar>
            <w:vAlign w:val="center"/>
          </w:tcPr>
          <w:p>
            <w:pPr>
              <w:spacing w:after="0"/>
            </w:pPr>
            <w:r>
              <w:rPr>
                <w:sz w:val="16"/>
              </w:rPr>
              <w:t>TERMINATED - EXTERNAL CONNECTIVITY PREREQUISITE UNAVAILABLE</w:t>
            </w:r>
          </w:p>
        </w:tc>
        <w:tc>
          <w:tcPr>
            <w:tcW w:type="dxa" w:w="4896"/>
            <w:tcMar>
              <w:top w:w="100" w:type="dxa"/>
              <w:start w:w="120" w:type="dxa"/>
              <w:bottom w:w="100" w:type="dxa"/>
              <w:end w:w="120" w:type="dxa"/>
            </w:tcMar>
            <w:vAlign w:val="center"/>
          </w:tcPr>
          <w:p>
            <w:pPr>
              <w:spacing w:after="0"/>
            </w:pPr>
            <w:r>
              <w:rPr>
                <w:sz w:val="16"/>
              </w:rPr>
              <w:t>Discovery completed; implementation terminated</w:t>
            </w:r>
          </w:p>
        </w:tc>
      </w:tr>
    </w:tbl>
    <w:p>
      <w:pPr>
        <w:spacing w:after="20"/>
      </w:pPr>
    </w:p>
    <w:p>
      <w:r>
        <w:t>The portfolio demonstrates a controlled progression from account and platform foundation to Terraform lifecycle management, existing-network adoption, serverless security engineering, workload migration design, and hybrid-connectivity due diligence. It also records decisions not to deploy when controls, ownership, evidence, cost, or external prerequisites were insufficient.</w:t>
      </w:r>
    </w:p>
    <w:p>
      <w:pPr>
        <w:pStyle w:val="Heading2"/>
      </w:pPr>
      <w:r>
        <w:t>Closure conclusion</w:t>
      </w:r>
    </w:p>
    <w:p>
      <w:r>
        <w:t>Waves 0 through 6 are formally closed for portfolio purposes. The accurate public description is that the portfolio completed implemented, deployment-deferred, design-validated, and externally terminated workstreams. It must not be described as a completed production clinic migration, a production-ready clinical platform, or an operational hybrid deployment.</w:t>
      </w:r>
    </w:p>
    <w:p>
      <w:pPr>
        <w:pStyle w:val="Heading1"/>
        <w:pageBreakBefore/>
      </w:pPr>
      <w:r>
        <w:t>Project Scope and Evidence Boundary</w:t>
      </w:r>
    </w:p>
    <w:p>
      <w:pPr>
        <w:pStyle w:val="Heading2"/>
      </w:pPr>
      <w:r>
        <w:t>Project purpose</w:t>
      </w:r>
    </w:p>
    <w:p>
      <w:r>
        <w:t>The project was created as a synthetic healthcare cloud migration and security engineering portfolio. It used a nonproduction AWS account and Terraform to demonstrate how a clinic environment could be assessed, governed, adopted into infrastructure as code, secured, tested, and closed. The work emphasized private networking, encryption, controlled identity, recoverability, auditability, cost awareness, and honest acceptance criteria.</w:t>
      </w:r>
    </w:p>
    <w:p>
      <w:pPr>
        <w:pStyle w:val="Heading2"/>
      </w:pPr>
      <w:r>
        <w:t>Evidence boundary</w:t>
      </w:r>
    </w:p>
    <w:p>
      <w:pPr>
        <w:pStyle w:val="ListBullet"/>
        <w:spacing w:after="40"/>
      </w:pPr>
      <w:r>
        <w:t>The current repository contains formal tracked evidence for Wave 2 through Wave 5, detailed documentation and tests for Wave 3 through Wave 5, and Git history for the major engineering checkpoints.</w:t>
      </w:r>
    </w:p>
    <w:p>
      <w:pPr>
        <w:pStyle w:val="ListBullet"/>
        <w:spacing w:after="40"/>
      </w:pPr>
      <w:r>
        <w:t>Wave 0 and the FSx recovery incident are supported by project decision records and later infrastructure discovery. The current branch does not contain a dedicated Wave 0 closeout artifact.</w:t>
      </w:r>
    </w:p>
    <w:p>
      <w:pPr>
        <w:pStyle w:val="ListBullet"/>
        <w:spacing w:after="40"/>
      </w:pPr>
      <w:r>
        <w:t>Wave 6 discovery facts are supported by the final read-only discovery record in the project conversation. No Wave 6 repository or AWS mutation occurred.</w:t>
      </w:r>
    </w:p>
    <w:p>
      <w:pPr>
        <w:pStyle w:val="ListBullet"/>
        <w:spacing w:after="40"/>
      </w:pPr>
      <w:r>
        <w:t>Validation statements distinguish static tests, Terraform validation, read-only discovery, partial deployment, and live operation. A design pass is never treated as a deployment pass.</w:t>
      </w:r>
    </w:p>
    <w:p>
      <w:pPr>
        <w:pStyle w:val="Heading2"/>
      </w:pPr>
      <w:r>
        <w:t>Data handling</w:t>
      </w:r>
    </w:p>
    <w:p>
      <w:r>
        <w:t>The project uses synthetic or mock data only. The closeout package omits secret values, credentials, private keys, state files, binary Terraform plans, tfvars, raw queue payloads, build ZIPs, PHI, PII, and local credential caches. Account identifiers, resource identifiers, local user paths, and public IP addresses are redacted in the packaged supporting copies.</w:t>
      </w:r>
    </w:p>
    <w:p>
      <w:pPr>
        <w:pStyle w:val="Heading1"/>
        <w:pageBreakBefore/>
      </w:pPr>
      <w:r>
        <w:t>Architecture and Security Evolution</w:t>
      </w:r>
    </w:p>
    <w:p>
      <w:pPr>
        <w:pStyle w:val="Heading2"/>
      </w:pPr>
      <w:r>
        <w:t>Foundation to governed nonproduction</w:t>
      </w:r>
    </w:p>
    <w:p>
      <w:r>
        <w:t>Wave 0 established the organizational and account direction: a separated nonproduction environment, workforce access through IAM Identity Center, Hong Kong region validation, service availability discovery, and a private clinic platform baseline. The early environment included private network services such as Directory Service and FSx, with recovery and monitoring work treated as explicit engineering gates rather than assumed controls.</w:t>
      </w:r>
    </w:p>
    <w:p>
      <w:pPr>
        <w:pStyle w:val="Heading2"/>
      </w:pPr>
      <w:r>
        <w:t>Terraform lifecycle and protected state</w:t>
      </w:r>
    </w:p>
    <w:p>
      <w:r>
        <w:t>Wave 1 converted the project into a repeatable infrastructure-as-code workflow. It covered format, validate, saved-plan review, controlled apply, independent verification, drift detection, import and state ownership, remote S3 state, versioning, encryption, public-access blocking, TLS-only policy, and native state locking. Temporary plans and local variable files were classified as local artifacts and excluded from source control.</w:t>
      </w:r>
    </w:p>
    <w:p>
      <w:pPr>
        <w:pStyle w:val="Heading2"/>
      </w:pPr>
      <w:r>
        <w:t>Network adoption and private service access</w:t>
      </w:r>
    </w:p>
    <w:p>
      <w:r>
        <w:t>Wave 2 adopted and reconciled existing network resources into a reusable network module. The final module represented 18 network resources and produced a zero-change plan. The design kept private subnets without an internet default route, scoped the S3 gateway endpoint to private route tables, retained the Directory Service security group as an external dependency, and deferred broader endpoint creation until workload requirements justified it.</w:t>
      </w:r>
    </w:p>
    <w:p>
      <w:pPr>
        <w:pStyle w:val="Heading2"/>
      </w:pPr>
      <w:r>
        <w:t>Serverless appointment boundary</w:t>
      </w:r>
    </w:p>
    <w:p>
      <w:r>
        <w:t>Wave 3 introduced a public appointment intake boundary while preventing direct access to clinical databases, FSx, and Directory Service. The design used AWS WAF, API Gateway, Lambda, DynamoDB, SQS and a dead-letter queue, EventBridge reconciliation, CloudWatch logging and alarms, SNS routing, HMAC authentication, timestamp and nonce checks, replay prevention, atomic idempotency, workflow state controls, retries, exception handling, and manual-review states. Logs were designed to exclude request bodies, patient values, signatures, tokens, and secret material.</w:t>
      </w:r>
    </w:p>
    <w:p>
      <w:pPr>
        <w:pStyle w:val="Heading2"/>
      </w:pPr>
      <w:r>
        <w:t>Workload migration designs</w:t>
      </w:r>
    </w:p>
    <w:p>
      <w:r>
        <w:t>Wave 4 modeled a private Pharmacy application on Windows EC2 with private RDS for SQL Server, TLS client requirements, narrow security-group flows, Session Manager administration, external identity and secret ownership, provider integration alternatives, backups, restore validation, and synthetic prescription reconciliation. Wave 5 extended these patterns to a shared Clinic and EMR MySQL workload using private EC2, private RDS MySQL, and a temporary private DMS full-load plus CDC path. Wave 5 added clinical RBAC, break-glass controls, audit continuity, data integrity checks, cutover and rollback sequencing, and conditional FSx reference consistency.</w:t>
      </w:r>
    </w:p>
    <w:p>
      <w:pPr>
        <w:pStyle w:val="Heading2"/>
      </w:pPr>
      <w:r>
        <w:t>Hybrid integration discovery</w:t>
      </w:r>
    </w:p>
    <w:p>
      <w:r>
        <w:t>Wave 6 planned the Lab and Radiology hybrid path around encrypted protocols, strict routes, patient matching, checksums, acknowledgements, bounded retries, idempotency, downtime queueing, manual fallback, reconciliation, and staged alerting. Read-only discovery found an existing VGW and dynamic BGP VPN design, but both tunnels were down, accepted routes were zero, and private route tables had neither VGW propagation nor explicit on-premises routes. The ISP would not provide the required public connectivity, so implementation was terminated.</w:t>
      </w:r>
    </w:p>
    <w:p>
      <w:pPr>
        <w:pStyle w:val="Heading1"/>
      </w:pPr>
      <w:r>
        <w:t>Wave by Wave Record</w:t>
      </w:r>
    </w:p>
    <w:p>
      <w:pPr>
        <w:pStyle w:val="Heading2"/>
      </w:pPr>
      <w:r>
        <w:t>W0 Project and account foundation</w:t>
      </w:r>
    </w:p>
    <w:p>
      <w:r>
        <w:rPr>
          <w:b/>
        </w:rPr>
        <w:t xml:space="preserve">Final status  </w:t>
      </w:r>
      <w:r>
        <w:t>CLOSED - PASS</w:t>
      </w:r>
    </w:p>
    <w:p>
      <w:r>
        <w:rPr>
          <w:b/>
        </w:rPr>
        <w:t xml:space="preserve">Delivery classification  </w:t>
      </w:r>
      <w:r>
        <w:t>Implemented foundation</w:t>
      </w:r>
    </w:p>
    <w:p>
      <w:r>
        <w:t>Landing-zone direction, nonproduction account, identity access, regional/service discovery, private platform baseline, and recovery groundwork.</w:t>
      </w:r>
    </w:p>
    <w:p>
      <w:pPr>
        <w:pStyle w:val="ListBullet"/>
        <w:spacing w:after="40"/>
      </w:pPr>
      <w:r>
        <w:t>Established the nonproduction account and region access path.</w:t>
      </w:r>
    </w:p>
    <w:p>
      <w:pPr>
        <w:pStyle w:val="ListBullet"/>
        <w:spacing w:after="40"/>
      </w:pPr>
      <w:r>
        <w:t>Validated workforce identity and read-only service discovery patterns.</w:t>
      </w:r>
    </w:p>
    <w:p>
      <w:pPr>
        <w:pStyle w:val="ListBullet"/>
        <w:spacing w:after="40"/>
      </w:pPr>
      <w:r>
        <w:t>Built the initial private platform direction around network isolation, Directory Service, FSx, encryption, backup, logging, and later migration gates.</w:t>
      </w:r>
    </w:p>
    <w:p>
      <w:pPr>
        <w:pStyle w:val="ListBullet"/>
        <w:spacing w:after="40"/>
      </w:pPr>
      <w:r>
        <w:t>Recorded the accidental deletion of an empty FSx file system as an incident and recreated the service without claiming data restoration.</w:t>
      </w:r>
    </w:p>
    <w:p>
      <w:pPr>
        <w:pStyle w:val="Heading2"/>
      </w:pPr>
      <w:r>
        <w:t>W1 Terraform and IaC foundation</w:t>
      </w:r>
    </w:p>
    <w:p>
      <w:r>
        <w:rPr>
          <w:b/>
        </w:rPr>
        <w:t xml:space="preserve">Final status  </w:t>
      </w:r>
      <w:r>
        <w:t>CLOSED - PASS</w:t>
      </w:r>
    </w:p>
    <w:p>
      <w:r>
        <w:rPr>
          <w:b/>
        </w:rPr>
        <w:t xml:space="preserve">Delivery classification  </w:t>
      </w:r>
      <w:r>
        <w:t>Implemented and validated</w:t>
      </w:r>
    </w:p>
    <w:p>
      <w:r>
        <w:t>Terraform workflow, state protection, import/lifecycle, drift reconciliation, remote S3 state, locking, and repository hygiene.</w:t>
      </w:r>
    </w:p>
    <w:p>
      <w:pPr>
        <w:pStyle w:val="ListBullet"/>
        <w:spacing w:after="40"/>
      </w:pPr>
      <w:r>
        <w:t>Created the protected S3 backend with versioning, encryption, block-public-access, TLS-only policy, force-destroy disabled, and lifecycle protection.</w:t>
      </w:r>
    </w:p>
    <w:p>
      <w:pPr>
        <w:pStyle w:val="ListBullet"/>
        <w:spacing w:after="40"/>
      </w:pPr>
      <w:r>
        <w:t>Migrated the nonproduction root from local state to remote state and validated locking through competing access.</w:t>
      </w:r>
    </w:p>
    <w:p>
      <w:pPr>
        <w:pStyle w:val="ListBullet"/>
        <w:spacing w:after="40"/>
      </w:pPr>
      <w:r>
        <w:t>Demonstrated import, state ownership removal, first managed resource creation, controlled drift, and drift reconciliation.</w:t>
      </w:r>
    </w:p>
    <w:p>
      <w:pPr>
        <w:pStyle w:val="ListBullet"/>
        <w:spacing w:after="40"/>
      </w:pPr>
      <w:r>
        <w:t>Closed with recursive formatting, validation, zero-drift plans, and repository hygiene checks.</w:t>
      </w:r>
    </w:p>
    <w:p>
      <w:pPr>
        <w:pStyle w:val="Heading2"/>
      </w:pPr>
      <w:r>
        <w:t>W2 Network foundation and reconciliation</w:t>
      </w:r>
    </w:p>
    <w:p>
      <w:r>
        <w:rPr>
          <w:b/>
        </w:rPr>
        <w:t xml:space="preserve">Final status  </w:t>
      </w:r>
      <w:r>
        <w:t>CLOSED - PASS</w:t>
      </w:r>
    </w:p>
    <w:p>
      <w:r>
        <w:rPr>
          <w:b/>
        </w:rPr>
        <w:t xml:space="preserve">Delivery classification  </w:t>
      </w:r>
      <w:r>
        <w:t>Implemented and validated</w:t>
      </w:r>
    </w:p>
    <w:p>
      <w:r>
        <w:t>Existing network adoption, modular refactor, private routing, security-group reconciliation, and an S3 gateway endpoint scoped to private route tables.</w:t>
      </w:r>
    </w:p>
    <w:p>
      <w:pPr>
        <w:pStyle w:val="ListBullet"/>
        <w:spacing w:after="40"/>
      </w:pPr>
      <w:r>
        <w:t>Reconciled existing VPC, subnet, route-table, internet gateway, route association, security-group, and endpoint ownership.</w:t>
      </w:r>
    </w:p>
    <w:p>
      <w:pPr>
        <w:pStyle w:val="ListBullet"/>
        <w:spacing w:after="40"/>
      </w:pPr>
      <w:r>
        <w:t>Refactored the adopted network into a module with 18 resources and no residual root-level network resources.</w:t>
      </w:r>
    </w:p>
    <w:p>
      <w:pPr>
        <w:pStyle w:val="ListBullet"/>
        <w:spacing w:after="40"/>
      </w:pPr>
      <w:r>
        <w:t>Created and verified one S3 gateway endpoint associated only with the two private route tables.</w:t>
      </w:r>
    </w:p>
    <w:p>
      <w:pPr>
        <w:pStyle w:val="ListBullet"/>
        <w:spacing w:after="40"/>
      </w:pPr>
      <w:r>
        <w:t>Closed with Terraform validation, plan exit code zero, no changes, and no tracked or untracked risk artifacts in the repository.</w:t>
      </w:r>
    </w:p>
    <w:p>
      <w:pPr>
        <w:pStyle w:val="Heading2"/>
        <w:pageBreakBefore/>
      </w:pPr>
      <w:r>
        <w:t>W3 Appointment API workflow</w:t>
      </w:r>
    </w:p>
    <w:p>
      <w:r>
        <w:rPr>
          <w:b/>
        </w:rPr>
        <w:t xml:space="preserve">Final status  </w:t>
      </w:r>
      <w:r>
        <w:t>ENGINEERING CLOSED - DEPLOYMENT DEFERRED</w:t>
      </w:r>
    </w:p>
    <w:p>
      <w:r>
        <w:rPr>
          <w:b/>
        </w:rPr>
        <w:t xml:space="preserve">Delivery classification  </w:t>
      </w:r>
      <w:r>
        <w:t>Partially deployed; engineering validated</w:t>
      </w:r>
    </w:p>
    <w:p>
      <w:r>
        <w:t>Secure serverless workflow engineered with 205 passing tests. Thirty Terraform-managed resources exist; the reviewed remaining 21 non-IAM resources were not deployed.</w:t>
      </w:r>
    </w:p>
    <w:p>
      <w:pPr>
        <w:pStyle w:val="ListBullet"/>
        <w:spacing w:after="40"/>
      </w:pPr>
      <w:r>
        <w:t>Completed architecture, HMAC and replay controls, edge hardening, workflow reconciliation, monitoring, and adversarial validation.</w:t>
      </w:r>
    </w:p>
    <w:p>
      <w:pPr>
        <w:pStyle w:val="ListBullet"/>
        <w:spacing w:after="40"/>
      </w:pPr>
      <w:r>
        <w:t>Passed 205 application, contract, unit, security, privacy, and Terraform-invariant tests.</w:t>
      </w:r>
    </w:p>
    <w:p>
      <w:pPr>
        <w:pStyle w:val="ListBullet"/>
        <w:spacing w:after="40"/>
      </w:pPr>
      <w:r>
        <w:t>Retained 30 deployed Terraform-managed Wave 3 resources; did not deploy the final reviewed 21-resource non-IAM remainder.</w:t>
      </w:r>
    </w:p>
    <w:p>
      <w:pPr>
        <w:pStyle w:val="ListBullet"/>
        <w:spacing w:after="40"/>
      </w:pPr>
      <w:r>
        <w:t>Moved HMAC secret and four IAM roles to external owner-controlled governance after provider and permission incidents.</w:t>
      </w:r>
    </w:p>
    <w:p>
      <w:pPr>
        <w:pStyle w:val="ListBullet"/>
        <w:spacing w:after="40"/>
      </w:pPr>
      <w:r>
        <w:t>Deleted the saved plan at closeout and marked it unauthorized for reuse.</w:t>
      </w:r>
    </w:p>
    <w:p>
      <w:pPr>
        <w:pStyle w:val="Heading2"/>
      </w:pPr>
      <w:r>
        <w:t>W4 Pharmacy migration</w:t>
      </w:r>
    </w:p>
    <w:p>
      <w:r>
        <w:rPr>
          <w:b/>
        </w:rPr>
        <w:t xml:space="preserve">Final status  </w:t>
      </w:r>
      <w:r>
        <w:t>DESIGN VALIDATED - NOT DEPLOYED</w:t>
      </w:r>
    </w:p>
    <w:p>
      <w:r>
        <w:rPr>
          <w:b/>
        </w:rPr>
        <w:t xml:space="preserve">Delivery classification  </w:t>
      </w:r>
      <w:r>
        <w:t>Design only</w:t>
      </w:r>
    </w:p>
    <w:p>
      <w:r>
        <w:t>Private Windows EC2 and RDS SQL Server design, provider integration alternatives, recovery design, and 19 passing static design tests. No AWS mutation or migration.</w:t>
      </w:r>
    </w:p>
    <w:p>
      <w:pPr>
        <w:pStyle w:val="ListBullet"/>
        <w:spacing w:after="40"/>
      </w:pPr>
      <w:r>
        <w:t>Passed Terraform formatting and validation and 19 static design tests.</w:t>
      </w:r>
    </w:p>
    <w:p>
      <w:pPr>
        <w:pStyle w:val="ListBullet"/>
        <w:spacing w:after="40"/>
      </w:pPr>
      <w:r>
        <w:t>Modeled no public EC2 or RDS address, no routine RDP, and SQL access only from the application security group.</w:t>
      </w:r>
    </w:p>
    <w:p>
      <w:pPr>
        <w:pStyle w:val="ListBullet"/>
        <w:spacing w:after="40"/>
      </w:pPr>
      <w:r>
        <w:t>Documented HTTPS, callback, and SFTP provider patterns; prohibited FTP.</w:t>
      </w:r>
    </w:p>
    <w:p>
      <w:pPr>
        <w:pStyle w:val="ListBullet"/>
        <w:spacing w:after="40"/>
      </w:pPr>
      <w:r>
        <w:t>Performed no AWS calls, Terraform plan, apply, live cutover, or migration.</w:t>
      </w:r>
    </w:p>
    <w:p>
      <w:pPr>
        <w:pStyle w:val="Heading2"/>
      </w:pPr>
      <w:r>
        <w:t>W5 Clinic and EMR shared MySQL migration</w:t>
      </w:r>
    </w:p>
    <w:p>
      <w:r>
        <w:rPr>
          <w:b/>
        </w:rPr>
        <w:t xml:space="preserve">Final status  </w:t>
      </w:r>
      <w:r>
        <w:t>DESIGN VALIDATED - NOT DEPLOYED</w:t>
      </w:r>
    </w:p>
    <w:p>
      <w:r>
        <w:rPr>
          <w:b/>
        </w:rPr>
        <w:t xml:space="preserve">Delivery classification  </w:t>
      </w:r>
      <w:r>
        <w:t>Design only</w:t>
      </w:r>
    </w:p>
    <w:p>
      <w:r>
        <w:t>Private EC2, RDS MySQL, temporary private DMS full-load plus CDC design, RBAC/UAT and integrity design, and 34 passing static design tests. No AWS mutation or migration.</w:t>
      </w:r>
    </w:p>
    <w:p>
      <w:pPr>
        <w:pStyle w:val="ListBullet"/>
        <w:spacing w:after="40"/>
      </w:pPr>
      <w:r>
        <w:t>Passed Terraform formatting and validation and 34 static design tests.</w:t>
      </w:r>
    </w:p>
    <w:p>
      <w:pPr>
        <w:pStyle w:val="ListBullet"/>
        <w:spacing w:after="40"/>
      </w:pPr>
      <w:r>
        <w:t>Modeled private RDS MySQL and DMS full-load plus CDC with certificate verification, validation, bounded logging, and external secrets.</w:t>
      </w:r>
    </w:p>
    <w:p>
      <w:pPr>
        <w:pStyle w:val="ListBullet"/>
        <w:spacing w:after="40"/>
      </w:pPr>
      <w:r>
        <w:t>Added clinical RBAC, break-glass governance, integrity and CDC tests, audit continuity, FSx reference checks, cutover, rollback, and isolated restore design.</w:t>
      </w:r>
    </w:p>
    <w:p>
      <w:pPr>
        <w:pStyle w:val="ListBullet"/>
        <w:spacing w:after="40"/>
      </w:pPr>
      <w:r>
        <w:t>Performed no AWS mutation, DMS task, database migration, clinical UAT, cutover, or rollback.</w:t>
      </w:r>
    </w:p>
    <w:p>
      <w:pPr>
        <w:pStyle w:val="Heading2"/>
      </w:pPr>
      <w:r>
        <w:t>W6 Lab and Radiology hybrid integration</w:t>
      </w:r>
    </w:p>
    <w:p>
      <w:r>
        <w:rPr>
          <w:b/>
        </w:rPr>
        <w:t xml:space="preserve">Final status  </w:t>
      </w:r>
      <w:r>
        <w:t>TERMINATED - EXTERNAL CONNECTIVITY PREREQUISITE UNAVAILABLE</w:t>
      </w:r>
    </w:p>
    <w:p>
      <w:r>
        <w:rPr>
          <w:b/>
        </w:rPr>
        <w:t xml:space="preserve">Delivery classification  </w:t>
      </w:r>
      <w:r>
        <w:t>Discovery completed; implementation terminated</w:t>
      </w:r>
    </w:p>
    <w:p>
      <w:r>
        <w:t>Read-only discovery found both existing VPN tunnels down, zero accepted routes, and no private-route-table path to on-premises networks. ISP-side public connectivity was unavailable.</w:t>
      </w:r>
    </w:p>
    <w:p>
      <w:pPr>
        <w:pStyle w:val="ListBullet"/>
        <w:spacing w:after="40"/>
      </w:pPr>
      <w:r>
        <w:t>Identity gate passed for the correct nonproduction account.</w:t>
      </w:r>
    </w:p>
    <w:p>
      <w:pPr>
        <w:pStyle w:val="ListBullet"/>
        <w:spacing w:after="40"/>
      </w:pPr>
      <w:r>
        <w:t>Existing VPN was available as an AWS object but both tunnels were down and accepted zero routes.</w:t>
      </w:r>
    </w:p>
    <w:p>
      <w:pPr>
        <w:pStyle w:val="ListBullet"/>
        <w:spacing w:after="40"/>
      </w:pPr>
      <w:r>
        <w:t>No Transit Gateway existed; the private route tables exposed no usable on-premises path.</w:t>
      </w:r>
    </w:p>
    <w:p>
      <w:pPr>
        <w:pStyle w:val="ListBullet"/>
        <w:spacing w:after="40"/>
      </w:pPr>
      <w:r>
        <w:t>Security-group and logging gaps were identified, but no remediation was attempted because the external connectivity prerequisite failed.</w:t>
      </w:r>
    </w:p>
    <w:p>
      <w:pPr>
        <w:pStyle w:val="ListBullet"/>
        <w:spacing w:after="40"/>
      </w:pPr>
      <w:r>
        <w:t>No Terraform, AWS, repository, migration, or clinical-validation mutation occurred.</w:t>
      </w:r>
    </w:p>
    <w:p>
      <w:pPr>
        <w:pStyle w:val="Heading1"/>
      </w:pPr>
      <w:r>
        <w:t>Incident and Recovery Lessons</w:t>
      </w:r>
    </w:p>
    <w:p>
      <w:pPr>
        <w:pStyle w:val="Heading2"/>
      </w:pPr>
      <w:r>
        <w:t>Accidental FSx deletion</w:t>
      </w:r>
    </w:p>
    <w:p>
      <w:r>
        <w:t>An empty nonproduction FSx file system was accidentally deleted. Because the file system contained no material workload data, the project recreated it rather than claiming a backup restore. The incident exposed a key recovery distinction: FSx automatic backups and centrally governed AWS Backup coverage serve different purposes, and an explicit backup resource assignment does not automatically follow a replacement file-system identifier.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016"/>
            <w:shd w:fill="1F4E78"/>
            <w:tcMar>
              <w:top w:w="100" w:type="dxa"/>
              <w:start w:w="120" w:type="dxa"/>
              <w:bottom w:w="100" w:type="dxa"/>
              <w:end w:w="120" w:type="dxa"/>
            </w:tcMar>
            <w:vAlign w:val="center"/>
          </w:tcPr>
          <w:p>
            <w:pPr>
              <w:spacing w:after="0"/>
              <w:jc w:val="center"/>
            </w:pPr>
            <w:r>
              <w:rPr>
                <w:b/>
                <w:color w:val="FFFFFF"/>
                <w:sz w:val="17"/>
              </w:rPr>
              <w:t>Incident stage</w:t>
            </w:r>
          </w:p>
        </w:tc>
        <w:tc>
          <w:tcPr>
            <w:tcW w:type="dxa" w:w="7488"/>
            <w:shd w:fill="1F4E78"/>
            <w:tcMar>
              <w:top w:w="100" w:type="dxa"/>
              <w:start w:w="120" w:type="dxa"/>
              <w:bottom w:w="100" w:type="dxa"/>
              <w:end w:w="120" w:type="dxa"/>
            </w:tcMar>
            <w:vAlign w:val="center"/>
          </w:tcPr>
          <w:p>
            <w:pPr>
              <w:spacing w:after="0"/>
              <w:jc w:val="center"/>
            </w:pPr>
            <w:r>
              <w:rPr>
                <w:b/>
                <w:color w:val="FFFFFF"/>
                <w:sz w:val="17"/>
              </w:rPr>
              <w:t>Record</w:t>
            </w:r>
          </w:p>
        </w:tc>
      </w:tr>
      <w:tr>
        <w:tc>
          <w:tcPr>
            <w:tcW w:type="dxa" w:w="2016"/>
            <w:tcMar>
              <w:top w:w="100" w:type="dxa"/>
              <w:start w:w="120" w:type="dxa"/>
              <w:bottom w:w="100" w:type="dxa"/>
              <w:end w:w="120" w:type="dxa"/>
            </w:tcMar>
            <w:vAlign w:val="center"/>
          </w:tcPr>
          <w:p>
            <w:pPr>
              <w:spacing w:after="0"/>
            </w:pPr>
            <w:r>
              <w:rPr>
                <w:sz w:val="17"/>
              </w:rPr>
              <w:t>Cause</w:t>
            </w:r>
          </w:p>
        </w:tc>
        <w:tc>
          <w:tcPr>
            <w:tcW w:type="dxa" w:w="7488"/>
            <w:tcMar>
              <w:top w:w="100" w:type="dxa"/>
              <w:start w:w="120" w:type="dxa"/>
              <w:bottom w:w="100" w:type="dxa"/>
              <w:end w:w="120" w:type="dxa"/>
            </w:tcMar>
            <w:vAlign w:val="center"/>
          </w:tcPr>
          <w:p>
            <w:pPr>
              <w:spacing w:after="0"/>
            </w:pPr>
            <w:r>
              <w:rPr>
                <w:sz w:val="17"/>
              </w:rPr>
              <w:t>Operator or configuration error caused deletion of an empty nonproduction FSx file system.</w:t>
            </w:r>
          </w:p>
        </w:tc>
      </w:tr>
      <w:tr>
        <w:tc>
          <w:tcPr>
            <w:tcW w:type="dxa" w:w="2016"/>
            <w:tcMar>
              <w:top w:w="100" w:type="dxa"/>
              <w:start w:w="120" w:type="dxa"/>
              <w:bottom w:w="100" w:type="dxa"/>
              <w:end w:w="120" w:type="dxa"/>
            </w:tcMar>
            <w:vAlign w:val="center"/>
            <w:shd w:fill="F2F6FA"/>
          </w:tcPr>
          <w:p>
            <w:pPr>
              <w:spacing w:after="0"/>
            </w:pPr>
            <w:r>
              <w:rPr>
                <w:sz w:val="17"/>
              </w:rPr>
              <w:t>Impact</w:t>
            </w:r>
          </w:p>
        </w:tc>
        <w:tc>
          <w:tcPr>
            <w:tcW w:type="dxa" w:w="7488"/>
            <w:tcMar>
              <w:top w:w="100" w:type="dxa"/>
              <w:start w:w="120" w:type="dxa"/>
              <w:bottom w:w="100" w:type="dxa"/>
              <w:end w:w="120" w:type="dxa"/>
            </w:tcMar>
            <w:vAlign w:val="center"/>
            <w:shd w:fill="F2F6FA"/>
          </w:tcPr>
          <w:p>
            <w:pPr>
              <w:spacing w:after="0"/>
            </w:pPr>
            <w:r>
              <w:rPr>
                <w:sz w:val="17"/>
              </w:rPr>
              <w:t>No production or clinical data loss; service identity changed after recreation.</w:t>
            </w:r>
          </w:p>
        </w:tc>
      </w:tr>
      <w:tr>
        <w:tc>
          <w:tcPr>
            <w:tcW w:type="dxa" w:w="2016"/>
            <w:tcMar>
              <w:top w:w="100" w:type="dxa"/>
              <w:start w:w="120" w:type="dxa"/>
              <w:bottom w:w="100" w:type="dxa"/>
              <w:end w:w="120" w:type="dxa"/>
            </w:tcMar>
            <w:vAlign w:val="center"/>
          </w:tcPr>
          <w:p>
            <w:pPr>
              <w:spacing w:after="0"/>
            </w:pPr>
            <w:r>
              <w:rPr>
                <w:sz w:val="17"/>
              </w:rPr>
              <w:t>Recovery</w:t>
            </w:r>
          </w:p>
        </w:tc>
        <w:tc>
          <w:tcPr>
            <w:tcW w:type="dxa" w:w="7488"/>
            <w:tcMar>
              <w:top w:w="100" w:type="dxa"/>
              <w:start w:w="120" w:type="dxa"/>
              <w:bottom w:w="100" w:type="dxa"/>
              <w:end w:w="120" w:type="dxa"/>
            </w:tcMar>
            <w:vAlign w:val="center"/>
          </w:tcPr>
          <w:p>
            <w:pPr>
              <w:spacing w:after="0"/>
            </w:pPr>
            <w:r>
              <w:rPr>
                <w:sz w:val="17"/>
              </w:rPr>
              <w:t>Recreate the empty file system, reconnect Directory and network dependencies, and verify backup assignment for the new resource.</w:t>
            </w:r>
          </w:p>
        </w:tc>
      </w:tr>
      <w:tr>
        <w:tc>
          <w:tcPr>
            <w:tcW w:type="dxa" w:w="2016"/>
            <w:tcMar>
              <w:top w:w="100" w:type="dxa"/>
              <w:start w:w="120" w:type="dxa"/>
              <w:bottom w:w="100" w:type="dxa"/>
              <w:end w:w="120" w:type="dxa"/>
            </w:tcMar>
            <w:vAlign w:val="center"/>
            <w:shd w:fill="F2F6FA"/>
          </w:tcPr>
          <w:p>
            <w:pPr>
              <w:spacing w:after="0"/>
            </w:pPr>
            <w:r>
              <w:rPr>
                <w:sz w:val="17"/>
              </w:rPr>
              <w:t>Validation lesson</w:t>
            </w:r>
          </w:p>
        </w:tc>
        <w:tc>
          <w:tcPr>
            <w:tcW w:type="dxa" w:w="7488"/>
            <w:tcMar>
              <w:top w:w="100" w:type="dxa"/>
              <w:start w:w="120" w:type="dxa"/>
              <w:bottom w:w="100" w:type="dxa"/>
              <w:end w:w="120" w:type="dxa"/>
            </w:tcMar>
            <w:vAlign w:val="center"/>
            <w:shd w:fill="F2F6FA"/>
          </w:tcPr>
          <w:p>
            <w:pPr>
              <w:spacing w:after="0"/>
            </w:pPr>
            <w:r>
              <w:rPr>
                <w:sz w:val="17"/>
              </w:rPr>
              <w:t>A recreation is not a restore. Recovery evidence should verify SMB access, permissions, checksums, backup capture, and recovery timing when data exists.</w:t>
            </w:r>
          </w:p>
        </w:tc>
      </w:tr>
      <w:tr>
        <w:tc>
          <w:tcPr>
            <w:tcW w:type="dxa" w:w="2016"/>
            <w:tcMar>
              <w:top w:w="100" w:type="dxa"/>
              <w:start w:w="120" w:type="dxa"/>
              <w:bottom w:w="100" w:type="dxa"/>
              <w:end w:w="120" w:type="dxa"/>
            </w:tcMar>
            <w:vAlign w:val="center"/>
          </w:tcPr>
          <w:p>
            <w:pPr>
              <w:spacing w:after="0"/>
            </w:pPr>
            <w:r>
              <w:rPr>
                <w:sz w:val="17"/>
              </w:rPr>
              <w:t>Prevention</w:t>
            </w:r>
          </w:p>
        </w:tc>
        <w:tc>
          <w:tcPr>
            <w:tcW w:type="dxa" w:w="7488"/>
            <w:tcMar>
              <w:top w:w="100" w:type="dxa"/>
              <w:start w:w="120" w:type="dxa"/>
              <w:bottom w:w="100" w:type="dxa"/>
              <w:end w:w="120" w:type="dxa"/>
            </w:tcMar>
            <w:vAlign w:val="center"/>
          </w:tcPr>
          <w:p>
            <w:pPr>
              <w:spacing w:after="0"/>
            </w:pPr>
            <w:r>
              <w:rPr>
                <w:sz w:val="17"/>
              </w:rPr>
              <w:t>Use lifecycle protection, deletion protection where supported, stable DNS abstraction, explicit approvals, protected backup selection, and recurring assignment checks.</w:t>
            </w:r>
          </w:p>
        </w:tc>
      </w:tr>
    </w:tbl>
    <w:p>
      <w:pPr>
        <w:spacing w:after="20"/>
      </w:pPr>
    </w:p>
    <w:p>
      <w:pPr>
        <w:pStyle w:val="Heading2"/>
      </w:pPr>
      <w:r>
        <w:t>Wave 3 partial apply and provider recovery</w:t>
      </w:r>
    </w:p>
    <w:p>
      <w:r>
        <w:t>Wave 3 experienced partial Terraform apply attempts and a provider stall around Secrets Manager create or refresh behavior. The response preserved the state boundary, stopped repeated mutation attempts, treated saved plans as single-use artifacts, and refactored the HMAC secret from Terraform ownership to an external ARN contract. Later IAM create-role failures led to a second ownership refactor: four execution and logging roles became external prerequisites.</w:t>
      </w:r>
    </w:p>
    <w:p>
      <w:pPr>
        <w:pStyle w:val="ListBullet"/>
        <w:spacing w:after="40"/>
      </w:pPr>
      <w:r>
        <w:t>Do not assume a failed apply is atomic; inspect persisted resources and state before any recovery plan.</w:t>
      </w:r>
    </w:p>
    <w:p>
      <w:pPr>
        <w:pStyle w:val="ListBullet"/>
        <w:spacing w:after="40"/>
      </w:pPr>
      <w:r>
        <w:t>Bind approval to an exact plan hash and change shape, then invalidate and delete the plan when ownership or configuration changes.</w:t>
      </w:r>
    </w:p>
    <w:p>
      <w:pPr>
        <w:pStyle w:val="ListBullet"/>
        <w:spacing w:after="40"/>
      </w:pPr>
      <w:r>
        <w:t>Stop instead of widening permissions when a separation-of-duties boundary is deliberate.</w:t>
      </w:r>
    </w:p>
    <w:p>
      <w:pPr>
        <w:pStyle w:val="ListBullet"/>
        <w:spacing w:after="40"/>
      </w:pPr>
      <w:r>
        <w:t>A resource ARN contract can preserve application design while keeping secret values and IAM administration outside Terraform.</w:t>
      </w:r>
    </w:p>
    <w:p>
      <w:pPr>
        <w:pStyle w:val="ListBullet"/>
        <w:spacing w:after="40"/>
      </w:pPr>
      <w:r>
        <w:t>Close the wave honestly when engineering is complete but operational prerequisites remain unavailable.</w:t>
      </w:r>
    </w:p>
    <w:p>
      <w:pPr>
        <w:pStyle w:val="Heading2"/>
      </w:pPr>
      <w:r>
        <w:t>Expired SSO during Wave 6 discovery</w:t>
      </w:r>
    </w:p>
    <w:p>
      <w:r>
        <w:t>The first Wave 6 discovery attempt stopped at the mandatory identity gate when the SSO token expired and refresh failed. No further AWS commands were run. After the owner reauthenticated, the read-only identity gate passed and discovery resumed. The lesson is that account identity is a prerequisite, not a routine preamble that can be bypassed.</w:t>
      </w:r>
    </w:p>
    <w:p>
      <w:pPr>
        <w:pStyle w:val="Heading1"/>
      </w:pPr>
      <w:r>
        <w:t>Validation and Testing Evidence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trPr>
        <w:tc>
          <w:tcPr>
            <w:tcW w:type="dxa" w:w="1008"/>
            <w:shd w:fill="1F4E78"/>
            <w:tcMar>
              <w:top w:w="100" w:type="dxa"/>
              <w:start w:w="120" w:type="dxa"/>
              <w:bottom w:w="100" w:type="dxa"/>
              <w:end w:w="120" w:type="dxa"/>
            </w:tcMar>
            <w:vAlign w:val="center"/>
          </w:tcPr>
          <w:p>
            <w:pPr>
              <w:spacing w:after="0"/>
              <w:jc w:val="center"/>
            </w:pPr>
            <w:r>
              <w:rPr>
                <w:b/>
                <w:color w:val="FFFFFF"/>
                <w:sz w:val="16"/>
              </w:rPr>
              <w:t>Area</w:t>
            </w:r>
          </w:p>
        </w:tc>
        <w:tc>
          <w:tcPr>
            <w:tcW w:type="dxa" w:w="4032"/>
            <w:shd w:fill="1F4E78"/>
            <w:tcMar>
              <w:top w:w="100" w:type="dxa"/>
              <w:start w:w="120" w:type="dxa"/>
              <w:bottom w:w="100" w:type="dxa"/>
              <w:end w:w="120" w:type="dxa"/>
            </w:tcMar>
            <w:vAlign w:val="center"/>
          </w:tcPr>
          <w:p>
            <w:pPr>
              <w:spacing w:after="0"/>
              <w:jc w:val="center"/>
            </w:pPr>
            <w:r>
              <w:rPr>
                <w:b/>
                <w:color w:val="FFFFFF"/>
                <w:sz w:val="16"/>
              </w:rPr>
              <w:t>Evidence</w:t>
            </w:r>
          </w:p>
        </w:tc>
        <w:tc>
          <w:tcPr>
            <w:tcW w:type="dxa" w:w="1584"/>
            <w:shd w:fill="1F4E78"/>
            <w:tcMar>
              <w:top w:w="100" w:type="dxa"/>
              <w:start w:w="120" w:type="dxa"/>
              <w:bottom w:w="100" w:type="dxa"/>
              <w:end w:w="120" w:type="dxa"/>
            </w:tcMar>
            <w:vAlign w:val="center"/>
          </w:tcPr>
          <w:p>
            <w:pPr>
              <w:spacing w:after="0"/>
              <w:jc w:val="center"/>
            </w:pPr>
            <w:r>
              <w:rPr>
                <w:b/>
                <w:color w:val="FFFFFF"/>
                <w:sz w:val="16"/>
              </w:rPr>
              <w:t>Result</w:t>
            </w:r>
          </w:p>
        </w:tc>
        <w:tc>
          <w:tcPr>
            <w:tcW w:type="dxa" w:w="2880"/>
            <w:shd w:fill="1F4E78"/>
            <w:tcMar>
              <w:top w:w="100" w:type="dxa"/>
              <w:start w:w="120" w:type="dxa"/>
              <w:bottom w:w="100" w:type="dxa"/>
              <w:end w:w="120" w:type="dxa"/>
            </w:tcMar>
            <w:vAlign w:val="center"/>
          </w:tcPr>
          <w:p>
            <w:pPr>
              <w:spacing w:after="0"/>
              <w:jc w:val="center"/>
            </w:pPr>
            <w:r>
              <w:rPr>
                <w:b/>
                <w:color w:val="FFFFFF"/>
                <w:sz w:val="16"/>
              </w:rPr>
              <w:t>Boundary</w:t>
            </w:r>
          </w:p>
        </w:tc>
      </w:tr>
      <w:tr>
        <w:tc>
          <w:tcPr>
            <w:tcW w:type="dxa" w:w="1008"/>
            <w:tcMar>
              <w:top w:w="100" w:type="dxa"/>
              <w:start w:w="120" w:type="dxa"/>
              <w:bottom w:w="100" w:type="dxa"/>
              <w:end w:w="120" w:type="dxa"/>
            </w:tcMar>
            <w:vAlign w:val="center"/>
          </w:tcPr>
          <w:p>
            <w:pPr>
              <w:spacing w:after="0"/>
              <w:jc w:val="center"/>
            </w:pPr>
            <w:r>
              <w:rPr>
                <w:sz w:val="16"/>
              </w:rPr>
              <w:t>Wave 1</w:t>
            </w:r>
          </w:p>
        </w:tc>
        <w:tc>
          <w:tcPr>
            <w:tcW w:type="dxa" w:w="4032"/>
            <w:tcMar>
              <w:top w:w="100" w:type="dxa"/>
              <w:start w:w="120" w:type="dxa"/>
              <w:bottom w:w="100" w:type="dxa"/>
              <w:end w:w="120" w:type="dxa"/>
            </w:tcMar>
            <w:vAlign w:val="center"/>
          </w:tcPr>
          <w:p>
            <w:pPr>
              <w:spacing w:after="0"/>
            </w:pPr>
            <w:r>
              <w:rPr>
                <w:sz w:val="16"/>
              </w:rPr>
              <w:t>Terraform format, validate, plans, import, drift, state migration, locking, repository checks</w:t>
            </w:r>
          </w:p>
        </w:tc>
        <w:tc>
          <w:tcPr>
            <w:tcW w:type="dxa" w:w="1584"/>
            <w:tcMar>
              <w:top w:w="100" w:type="dxa"/>
              <w:start w:w="120" w:type="dxa"/>
              <w:bottom w:w="100" w:type="dxa"/>
              <w:end w:w="120" w:type="dxa"/>
            </w:tcMar>
            <w:vAlign w:val="center"/>
          </w:tcPr>
          <w:p>
            <w:pPr>
              <w:spacing w:after="0"/>
            </w:pPr>
            <w:r>
              <w:rPr>
                <w:sz w:val="16"/>
              </w:rPr>
              <w:t>PASS</w:t>
            </w:r>
          </w:p>
        </w:tc>
        <w:tc>
          <w:tcPr>
            <w:tcW w:type="dxa" w:w="2880"/>
            <w:tcMar>
              <w:top w:w="100" w:type="dxa"/>
              <w:start w:w="120" w:type="dxa"/>
              <w:bottom w:w="100" w:type="dxa"/>
              <w:end w:w="120" w:type="dxa"/>
            </w:tcMar>
            <w:vAlign w:val="center"/>
          </w:tcPr>
          <w:p>
            <w:pPr>
              <w:spacing w:after="0"/>
            </w:pPr>
            <w:r>
              <w:rPr>
                <w:sz w:val="16"/>
              </w:rPr>
              <w:t>Nonproduction training and platform foundation</w:t>
            </w:r>
          </w:p>
        </w:tc>
      </w:tr>
      <w:tr>
        <w:tc>
          <w:tcPr>
            <w:tcW w:type="dxa" w:w="1008"/>
            <w:tcMar>
              <w:top w:w="100" w:type="dxa"/>
              <w:start w:w="120" w:type="dxa"/>
              <w:bottom w:w="100" w:type="dxa"/>
              <w:end w:w="120" w:type="dxa"/>
            </w:tcMar>
            <w:vAlign w:val="center"/>
            <w:shd w:fill="F2F6FA"/>
          </w:tcPr>
          <w:p>
            <w:pPr>
              <w:spacing w:after="0"/>
              <w:jc w:val="center"/>
            </w:pPr>
            <w:r>
              <w:rPr>
                <w:sz w:val="16"/>
              </w:rPr>
              <w:t>Wave 2</w:t>
            </w:r>
          </w:p>
        </w:tc>
        <w:tc>
          <w:tcPr>
            <w:tcW w:type="dxa" w:w="4032"/>
            <w:tcMar>
              <w:top w:w="100" w:type="dxa"/>
              <w:start w:w="120" w:type="dxa"/>
              <w:bottom w:w="100" w:type="dxa"/>
              <w:end w:w="120" w:type="dxa"/>
            </w:tcMar>
            <w:vAlign w:val="center"/>
            <w:shd w:fill="F2F6FA"/>
          </w:tcPr>
          <w:p>
            <w:pPr>
              <w:spacing w:after="0"/>
            </w:pPr>
            <w:r>
              <w:rPr>
                <w:sz w:val="16"/>
              </w:rPr>
              <w:t>Terraform validate; zero-change plan; 18-resource network module; risk-artifact review</w:t>
            </w:r>
          </w:p>
        </w:tc>
        <w:tc>
          <w:tcPr>
            <w:tcW w:type="dxa" w:w="1584"/>
            <w:tcMar>
              <w:top w:w="100" w:type="dxa"/>
              <w:start w:w="120" w:type="dxa"/>
              <w:bottom w:w="100" w:type="dxa"/>
              <w:end w:w="120" w:type="dxa"/>
            </w:tcMar>
            <w:vAlign w:val="center"/>
            <w:shd w:fill="F2F6FA"/>
          </w:tcPr>
          <w:p>
            <w:pPr>
              <w:spacing w:after="0"/>
            </w:pPr>
            <w:r>
              <w:rPr>
                <w:sz w:val="16"/>
              </w:rPr>
              <w:t>PASS</w:t>
            </w:r>
          </w:p>
        </w:tc>
        <w:tc>
          <w:tcPr>
            <w:tcW w:type="dxa" w:w="2880"/>
            <w:tcMar>
              <w:top w:w="100" w:type="dxa"/>
              <w:start w:w="120" w:type="dxa"/>
              <w:bottom w:w="100" w:type="dxa"/>
              <w:end w:w="120" w:type="dxa"/>
            </w:tcMar>
            <w:vAlign w:val="center"/>
            <w:shd w:fill="F2F6FA"/>
          </w:tcPr>
          <w:p>
            <w:pPr>
              <w:spacing w:after="0"/>
            </w:pPr>
            <w:r>
              <w:rPr>
                <w:sz w:val="16"/>
              </w:rPr>
              <w:t>Implemented nonproduction network ownership</w:t>
            </w:r>
          </w:p>
        </w:tc>
      </w:tr>
      <w:tr>
        <w:tc>
          <w:tcPr>
            <w:tcW w:type="dxa" w:w="1008"/>
            <w:tcMar>
              <w:top w:w="100" w:type="dxa"/>
              <w:start w:w="120" w:type="dxa"/>
              <w:bottom w:w="100" w:type="dxa"/>
              <w:end w:w="120" w:type="dxa"/>
            </w:tcMar>
            <w:vAlign w:val="center"/>
          </w:tcPr>
          <w:p>
            <w:pPr>
              <w:spacing w:after="0"/>
              <w:jc w:val="center"/>
            </w:pPr>
            <w:r>
              <w:rPr>
                <w:sz w:val="16"/>
              </w:rPr>
              <w:t>Wave 3</w:t>
            </w:r>
          </w:p>
        </w:tc>
        <w:tc>
          <w:tcPr>
            <w:tcW w:type="dxa" w:w="4032"/>
            <w:tcMar>
              <w:top w:w="100" w:type="dxa"/>
              <w:start w:w="120" w:type="dxa"/>
              <w:bottom w:w="100" w:type="dxa"/>
              <w:end w:w="120" w:type="dxa"/>
            </w:tcMar>
            <w:vAlign w:val="center"/>
          </w:tcPr>
          <w:p>
            <w:pPr>
              <w:spacing w:after="0"/>
            </w:pPr>
            <w:r>
              <w:rPr>
                <w:sz w:val="16"/>
              </w:rPr>
              <w:t>205 tests; Terraform format and validate; negative/security tests; package hash; sensitive-file review</w:t>
            </w:r>
          </w:p>
        </w:tc>
        <w:tc>
          <w:tcPr>
            <w:tcW w:type="dxa" w:w="1584"/>
            <w:tcMar>
              <w:top w:w="100" w:type="dxa"/>
              <w:start w:w="120" w:type="dxa"/>
              <w:bottom w:w="100" w:type="dxa"/>
              <w:end w:w="120" w:type="dxa"/>
            </w:tcMar>
            <w:vAlign w:val="center"/>
          </w:tcPr>
          <w:p>
            <w:pPr>
              <w:spacing w:after="0"/>
            </w:pPr>
            <w:r>
              <w:rPr>
                <w:sz w:val="16"/>
              </w:rPr>
              <w:t>PASS</w:t>
            </w:r>
          </w:p>
        </w:tc>
        <w:tc>
          <w:tcPr>
            <w:tcW w:type="dxa" w:w="2880"/>
            <w:tcMar>
              <w:top w:w="100" w:type="dxa"/>
              <w:start w:w="120" w:type="dxa"/>
              <w:bottom w:w="100" w:type="dxa"/>
              <w:end w:w="120" w:type="dxa"/>
            </w:tcMar>
            <w:vAlign w:val="center"/>
          </w:tcPr>
          <w:p>
            <w:pPr>
              <w:spacing w:after="0"/>
            </w:pPr>
            <w:r>
              <w:rPr>
                <w:sz w:val="16"/>
              </w:rPr>
              <w:t>Engineering pass; live deployment incomplete</w:t>
            </w:r>
          </w:p>
        </w:tc>
      </w:tr>
      <w:tr>
        <w:tc>
          <w:tcPr>
            <w:tcW w:type="dxa" w:w="1008"/>
            <w:tcMar>
              <w:top w:w="100" w:type="dxa"/>
              <w:start w:w="120" w:type="dxa"/>
              <w:bottom w:w="100" w:type="dxa"/>
              <w:end w:w="120" w:type="dxa"/>
            </w:tcMar>
            <w:vAlign w:val="center"/>
            <w:shd w:fill="F2F6FA"/>
          </w:tcPr>
          <w:p>
            <w:pPr>
              <w:spacing w:after="0"/>
              <w:jc w:val="center"/>
            </w:pPr>
            <w:r>
              <w:rPr>
                <w:sz w:val="16"/>
              </w:rPr>
              <w:t>Wave 4</w:t>
            </w:r>
          </w:p>
        </w:tc>
        <w:tc>
          <w:tcPr>
            <w:tcW w:type="dxa" w:w="4032"/>
            <w:tcMar>
              <w:top w:w="100" w:type="dxa"/>
              <w:start w:w="120" w:type="dxa"/>
              <w:bottom w:w="100" w:type="dxa"/>
              <w:end w:w="120" w:type="dxa"/>
            </w:tcMar>
            <w:vAlign w:val="center"/>
            <w:shd w:fill="F2F6FA"/>
          </w:tcPr>
          <w:p>
            <w:pPr>
              <w:spacing w:after="0"/>
            </w:pPr>
            <w:r>
              <w:rPr>
                <w:sz w:val="16"/>
              </w:rPr>
              <w:t>19 static design tests; format and validation; sensitive design review</w:t>
            </w:r>
          </w:p>
        </w:tc>
        <w:tc>
          <w:tcPr>
            <w:tcW w:type="dxa" w:w="1584"/>
            <w:tcMar>
              <w:top w:w="100" w:type="dxa"/>
              <w:start w:w="120" w:type="dxa"/>
              <w:bottom w:w="100" w:type="dxa"/>
              <w:end w:w="120" w:type="dxa"/>
            </w:tcMar>
            <w:vAlign w:val="center"/>
            <w:shd w:fill="F2F6FA"/>
          </w:tcPr>
          <w:p>
            <w:pPr>
              <w:spacing w:after="0"/>
            </w:pPr>
            <w:r>
              <w:rPr>
                <w:sz w:val="16"/>
              </w:rPr>
              <w:t>PASS</w:t>
            </w:r>
          </w:p>
        </w:tc>
        <w:tc>
          <w:tcPr>
            <w:tcW w:type="dxa" w:w="2880"/>
            <w:tcMar>
              <w:top w:w="100" w:type="dxa"/>
              <w:start w:w="120" w:type="dxa"/>
              <w:bottom w:w="100" w:type="dxa"/>
              <w:end w:w="120" w:type="dxa"/>
            </w:tcMar>
            <w:vAlign w:val="center"/>
            <w:shd w:fill="F2F6FA"/>
          </w:tcPr>
          <w:p>
            <w:pPr>
              <w:spacing w:after="0"/>
            </w:pPr>
            <w:r>
              <w:rPr>
                <w:sz w:val="16"/>
              </w:rPr>
              <w:t>Design only; no AWS or migration test</w:t>
            </w:r>
          </w:p>
        </w:tc>
      </w:tr>
      <w:tr>
        <w:tc>
          <w:tcPr>
            <w:tcW w:type="dxa" w:w="1008"/>
            <w:tcMar>
              <w:top w:w="100" w:type="dxa"/>
              <w:start w:w="120" w:type="dxa"/>
              <w:bottom w:w="100" w:type="dxa"/>
              <w:end w:w="120" w:type="dxa"/>
            </w:tcMar>
            <w:vAlign w:val="center"/>
          </w:tcPr>
          <w:p>
            <w:pPr>
              <w:spacing w:after="0"/>
              <w:jc w:val="center"/>
            </w:pPr>
            <w:r>
              <w:rPr>
                <w:sz w:val="16"/>
              </w:rPr>
              <w:t>Wave 5</w:t>
            </w:r>
          </w:p>
        </w:tc>
        <w:tc>
          <w:tcPr>
            <w:tcW w:type="dxa" w:w="4032"/>
            <w:tcMar>
              <w:top w:w="100" w:type="dxa"/>
              <w:start w:w="120" w:type="dxa"/>
              <w:bottom w:w="100" w:type="dxa"/>
              <w:end w:w="120" w:type="dxa"/>
            </w:tcMar>
            <w:vAlign w:val="center"/>
          </w:tcPr>
          <w:p>
            <w:pPr>
              <w:spacing w:after="0"/>
            </w:pPr>
            <w:r>
              <w:rPr>
                <w:sz w:val="16"/>
              </w:rPr>
              <w:t>34 static design tests; format and validation; sensitive-file and credential-signature scan</w:t>
            </w:r>
          </w:p>
        </w:tc>
        <w:tc>
          <w:tcPr>
            <w:tcW w:type="dxa" w:w="1584"/>
            <w:tcMar>
              <w:top w:w="100" w:type="dxa"/>
              <w:start w:w="120" w:type="dxa"/>
              <w:bottom w:w="100" w:type="dxa"/>
              <w:end w:w="120" w:type="dxa"/>
            </w:tcMar>
            <w:vAlign w:val="center"/>
          </w:tcPr>
          <w:p>
            <w:pPr>
              <w:spacing w:after="0"/>
            </w:pPr>
            <w:r>
              <w:rPr>
                <w:sz w:val="16"/>
              </w:rPr>
              <w:t>PASS</w:t>
            </w:r>
          </w:p>
        </w:tc>
        <w:tc>
          <w:tcPr>
            <w:tcW w:type="dxa" w:w="2880"/>
            <w:tcMar>
              <w:top w:w="100" w:type="dxa"/>
              <w:start w:w="120" w:type="dxa"/>
              <w:bottom w:w="100" w:type="dxa"/>
              <w:end w:w="120" w:type="dxa"/>
            </w:tcMar>
            <w:vAlign w:val="center"/>
          </w:tcPr>
          <w:p>
            <w:pPr>
              <w:spacing w:after="0"/>
            </w:pPr>
            <w:r>
              <w:rPr>
                <w:sz w:val="16"/>
              </w:rPr>
              <w:t>Design only; no DMS task, UAT, or cutover</w:t>
            </w:r>
          </w:p>
        </w:tc>
      </w:tr>
      <w:tr>
        <w:tc>
          <w:tcPr>
            <w:tcW w:type="dxa" w:w="1008"/>
            <w:tcMar>
              <w:top w:w="100" w:type="dxa"/>
              <w:start w:w="120" w:type="dxa"/>
              <w:bottom w:w="100" w:type="dxa"/>
              <w:end w:w="120" w:type="dxa"/>
            </w:tcMar>
            <w:vAlign w:val="center"/>
            <w:shd w:fill="F2F6FA"/>
          </w:tcPr>
          <w:p>
            <w:pPr>
              <w:spacing w:after="0"/>
              <w:jc w:val="center"/>
            </w:pPr>
            <w:r>
              <w:rPr>
                <w:sz w:val="16"/>
              </w:rPr>
              <w:t>Wave 6</w:t>
            </w:r>
          </w:p>
        </w:tc>
        <w:tc>
          <w:tcPr>
            <w:tcW w:type="dxa" w:w="4032"/>
            <w:tcMar>
              <w:top w:w="100" w:type="dxa"/>
              <w:start w:w="120" w:type="dxa"/>
              <w:bottom w:w="100" w:type="dxa"/>
              <w:end w:w="120" w:type="dxa"/>
            </w:tcMar>
            <w:vAlign w:val="center"/>
            <w:shd w:fill="F2F6FA"/>
          </w:tcPr>
          <w:p>
            <w:pPr>
              <w:spacing w:after="0"/>
            </w:pPr>
            <w:r>
              <w:rPr>
                <w:sz w:val="16"/>
              </w:rPr>
              <w:t>Read-only identity, VPN, route, security-group, NACL, logging, and cost discovery</w:t>
            </w:r>
          </w:p>
        </w:tc>
        <w:tc>
          <w:tcPr>
            <w:tcW w:type="dxa" w:w="1584"/>
            <w:tcMar>
              <w:top w:w="100" w:type="dxa"/>
              <w:start w:w="120" w:type="dxa"/>
              <w:bottom w:w="100" w:type="dxa"/>
              <w:end w:w="120" w:type="dxa"/>
            </w:tcMar>
            <w:vAlign w:val="center"/>
            <w:shd w:fill="F2F6FA"/>
          </w:tcPr>
          <w:p>
            <w:pPr>
              <w:spacing w:after="0"/>
            </w:pPr>
            <w:r>
              <w:rPr>
                <w:sz w:val="16"/>
              </w:rPr>
              <w:t>PREREQUISITE FAILED</w:t>
            </w:r>
          </w:p>
        </w:tc>
        <w:tc>
          <w:tcPr>
            <w:tcW w:type="dxa" w:w="2880"/>
            <w:tcMar>
              <w:top w:w="100" w:type="dxa"/>
              <w:start w:w="120" w:type="dxa"/>
              <w:bottom w:w="100" w:type="dxa"/>
              <w:end w:w="120" w:type="dxa"/>
            </w:tcMar>
            <w:vAlign w:val="center"/>
            <w:shd w:fill="F2F6FA"/>
          </w:tcPr>
          <w:p>
            <w:pPr>
              <w:spacing w:after="0"/>
            </w:pPr>
            <w:r>
              <w:rPr>
                <w:sz w:val="16"/>
              </w:rPr>
              <w:t>No end-to-end hybrid validation</w:t>
            </w:r>
          </w:p>
        </w:tc>
      </w:tr>
    </w:tbl>
    <w:p>
      <w:pPr>
        <w:spacing w:after="20"/>
      </w:pPr>
    </w:p>
    <w:p>
      <w:pPr>
        <w:pStyle w:val="Heading2"/>
      </w:pPr>
      <w:r>
        <w:t>Wave 3 security coverage</w:t>
      </w:r>
    </w:p>
    <w:p>
      <w:pPr>
        <w:pStyle w:val="ListBullet"/>
        <w:spacing w:after="40"/>
      </w:pPr>
      <w:r>
        <w:t>HMAC signature, timestamp window, nonce, replay, key selection, and fail-closed behavior.</w:t>
      </w:r>
    </w:p>
    <w:p>
      <w:pPr>
        <w:pStyle w:val="ListBullet"/>
        <w:spacing w:after="40"/>
      </w:pPr>
      <w:r>
        <w:t>Atomic idempotency, workflow state transitions, queue failure handling, worker leases, retries, reconciliation, and manual-review outcomes.</w:t>
      </w:r>
    </w:p>
    <w:p>
      <w:pPr>
        <w:pStyle w:val="ListBullet"/>
        <w:spacing w:after="40"/>
      </w:pPr>
      <w:r>
        <w:t>Schema limits, request-size controls, WAF and method boundaries, privacy-preserving errors, and log minimization.</w:t>
      </w:r>
    </w:p>
    <w:p>
      <w:pPr>
        <w:pStyle w:val="ListBullet"/>
        <w:spacing w:after="40"/>
      </w:pPr>
      <w:r>
        <w:t>Terraform invariants for private clinical boundaries, external IAM and secret ownership, encryption, logging, alarms, and least-privilege transport policies.</w:t>
      </w:r>
    </w:p>
    <w:p>
      <w:pPr>
        <w:pStyle w:val="Heading2"/>
      </w:pPr>
      <w:r>
        <w:t>Evidence discipline</w:t>
      </w:r>
    </w:p>
    <w:p>
      <w:r>
        <w:t>The evidence distinguishes implementation from design. A successful Terraform validation proves configuration coherence, not cloud deployment. A static test proves a modeled invariant, not vendor compatibility or clinical acceptance. A read-only discovery finding proves observed state at the collection time, not durable operation. These distinctions are retained in every final status.</w:t>
      </w:r>
    </w:p>
    <w:p>
      <w:pPr>
        <w:pStyle w:val="Heading1"/>
        <w:pageBreakBefore/>
      </w:pPr>
      <w:r>
        <w:t>IAM and Secrets Governance</w:t>
      </w:r>
    </w:p>
    <w:p>
      <w:r>
        <w:t>The owner retained IAM administration and declined to delegate or bootstrap broad role-creation authority. That decision set the final Wave 3 deployment boundary and became the default ownership model for the Wave 4 and Wave 5 designs.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1728"/>
            <w:shd w:fill="1F4E78"/>
            <w:tcMar>
              <w:top w:w="100" w:type="dxa"/>
              <w:start w:w="120" w:type="dxa"/>
              <w:bottom w:w="100" w:type="dxa"/>
              <w:end w:w="120" w:type="dxa"/>
            </w:tcMar>
            <w:vAlign w:val="center"/>
          </w:tcPr>
          <w:p>
            <w:pPr>
              <w:spacing w:after="0"/>
              <w:jc w:val="center"/>
            </w:pPr>
            <w:r>
              <w:rPr>
                <w:b/>
                <w:color w:val="FFFFFF"/>
                <w:sz w:val="16"/>
              </w:rPr>
              <w:t>Control area</w:t>
            </w:r>
          </w:p>
        </w:tc>
        <w:tc>
          <w:tcPr>
            <w:tcW w:type="dxa" w:w="3024"/>
            <w:shd w:fill="1F4E78"/>
            <w:tcMar>
              <w:top w:w="100" w:type="dxa"/>
              <w:start w:w="120" w:type="dxa"/>
              <w:bottom w:w="100" w:type="dxa"/>
              <w:end w:w="120" w:type="dxa"/>
            </w:tcMar>
            <w:vAlign w:val="center"/>
          </w:tcPr>
          <w:p>
            <w:pPr>
              <w:spacing w:after="0"/>
              <w:jc w:val="center"/>
            </w:pPr>
            <w:r>
              <w:rPr>
                <w:b/>
                <w:color w:val="FFFFFF"/>
                <w:sz w:val="16"/>
              </w:rPr>
              <w:t>Decision</w:t>
            </w:r>
          </w:p>
        </w:tc>
        <w:tc>
          <w:tcPr>
            <w:tcW w:type="dxa" w:w="4752"/>
            <w:shd w:fill="1F4E78"/>
            <w:tcMar>
              <w:top w:w="100" w:type="dxa"/>
              <w:start w:w="120" w:type="dxa"/>
              <w:bottom w:w="100" w:type="dxa"/>
              <w:end w:w="120" w:type="dxa"/>
            </w:tcMar>
            <w:vAlign w:val="center"/>
          </w:tcPr>
          <w:p>
            <w:pPr>
              <w:spacing w:after="0"/>
              <w:jc w:val="center"/>
            </w:pPr>
            <w:r>
              <w:rPr>
                <w:b/>
                <w:color w:val="FFFFFF"/>
                <w:sz w:val="16"/>
              </w:rPr>
              <w:t>Effect</w:t>
            </w:r>
          </w:p>
        </w:tc>
      </w:tr>
      <w:tr>
        <w:tc>
          <w:tcPr>
            <w:tcW w:type="dxa" w:w="1728"/>
            <w:tcMar>
              <w:top w:w="100" w:type="dxa"/>
              <w:start w:w="120" w:type="dxa"/>
              <w:bottom w:w="100" w:type="dxa"/>
              <w:end w:w="120" w:type="dxa"/>
            </w:tcMar>
            <w:vAlign w:val="center"/>
          </w:tcPr>
          <w:p>
            <w:pPr>
              <w:spacing w:after="0"/>
              <w:jc w:val="center"/>
            </w:pPr>
            <w:r>
              <w:rPr>
                <w:sz w:val="16"/>
              </w:rPr>
              <w:t>Human access</w:t>
            </w:r>
          </w:p>
        </w:tc>
        <w:tc>
          <w:tcPr>
            <w:tcW w:type="dxa" w:w="3024"/>
            <w:tcMar>
              <w:top w:w="100" w:type="dxa"/>
              <w:start w:w="120" w:type="dxa"/>
              <w:bottom w:w="100" w:type="dxa"/>
              <w:end w:w="120" w:type="dxa"/>
            </w:tcMar>
            <w:vAlign w:val="center"/>
          </w:tcPr>
          <w:p>
            <w:pPr>
              <w:spacing w:after="0"/>
            </w:pPr>
            <w:r>
              <w:rPr>
                <w:sz w:val="16"/>
              </w:rPr>
              <w:t>Temporary SSO credentials and account identity checks</w:t>
            </w:r>
          </w:p>
        </w:tc>
        <w:tc>
          <w:tcPr>
            <w:tcW w:type="dxa" w:w="4752"/>
            <w:tcMar>
              <w:top w:w="100" w:type="dxa"/>
              <w:start w:w="120" w:type="dxa"/>
              <w:bottom w:w="100" w:type="dxa"/>
              <w:end w:w="120" w:type="dxa"/>
            </w:tcMar>
            <w:vAlign w:val="center"/>
          </w:tcPr>
          <w:p>
            <w:pPr>
              <w:spacing w:after="0"/>
            </w:pPr>
            <w:r>
              <w:rPr>
                <w:sz w:val="16"/>
              </w:rPr>
              <w:t>Avoid long-lived credentials in Terraform and project files</w:t>
            </w:r>
          </w:p>
        </w:tc>
      </w:tr>
      <w:tr>
        <w:tc>
          <w:tcPr>
            <w:tcW w:type="dxa" w:w="1728"/>
            <w:tcMar>
              <w:top w:w="100" w:type="dxa"/>
              <w:start w:w="120" w:type="dxa"/>
              <w:bottom w:w="100" w:type="dxa"/>
              <w:end w:w="120" w:type="dxa"/>
            </w:tcMar>
            <w:vAlign w:val="center"/>
            <w:shd w:fill="F2F6FA"/>
          </w:tcPr>
          <w:p>
            <w:pPr>
              <w:spacing w:after="0"/>
              <w:jc w:val="center"/>
            </w:pPr>
            <w:r>
              <w:rPr>
                <w:sz w:val="16"/>
              </w:rPr>
              <w:t>IAM administration</w:t>
            </w:r>
          </w:p>
        </w:tc>
        <w:tc>
          <w:tcPr>
            <w:tcW w:type="dxa" w:w="3024"/>
            <w:tcMar>
              <w:top w:w="100" w:type="dxa"/>
              <w:start w:w="120" w:type="dxa"/>
              <w:bottom w:w="100" w:type="dxa"/>
              <w:end w:w="120" w:type="dxa"/>
            </w:tcMar>
            <w:vAlign w:val="center"/>
            <w:shd w:fill="F2F6FA"/>
          </w:tcPr>
          <w:p>
            <w:pPr>
              <w:spacing w:after="0"/>
            </w:pPr>
            <w:r>
              <w:rPr>
                <w:sz w:val="16"/>
              </w:rPr>
              <w:t>Owner controlled</w:t>
            </w:r>
          </w:p>
        </w:tc>
        <w:tc>
          <w:tcPr>
            <w:tcW w:type="dxa" w:w="4752"/>
            <w:tcMar>
              <w:top w:w="100" w:type="dxa"/>
              <w:start w:w="120" w:type="dxa"/>
              <w:bottom w:w="100" w:type="dxa"/>
              <w:end w:w="120" w:type="dxa"/>
            </w:tcMar>
            <w:vAlign w:val="center"/>
            <w:shd w:fill="F2F6FA"/>
          </w:tcPr>
          <w:p>
            <w:pPr>
              <w:spacing w:after="0"/>
            </w:pPr>
            <w:r>
              <w:rPr>
                <w:sz w:val="16"/>
              </w:rPr>
              <w:t>No AdministratorAccess workaround and no automatic role creation</w:t>
            </w:r>
          </w:p>
        </w:tc>
      </w:tr>
      <w:tr>
        <w:tc>
          <w:tcPr>
            <w:tcW w:type="dxa" w:w="1728"/>
            <w:tcMar>
              <w:top w:w="100" w:type="dxa"/>
              <w:start w:w="120" w:type="dxa"/>
              <w:bottom w:w="100" w:type="dxa"/>
              <w:end w:w="120" w:type="dxa"/>
            </w:tcMar>
            <w:vAlign w:val="center"/>
          </w:tcPr>
          <w:p>
            <w:pPr>
              <w:spacing w:after="0"/>
              <w:jc w:val="center"/>
            </w:pPr>
            <w:r>
              <w:rPr>
                <w:sz w:val="16"/>
              </w:rPr>
              <w:t>PassRole</w:t>
            </w:r>
          </w:p>
        </w:tc>
        <w:tc>
          <w:tcPr>
            <w:tcW w:type="dxa" w:w="3024"/>
            <w:tcMar>
              <w:top w:w="100" w:type="dxa"/>
              <w:start w:w="120" w:type="dxa"/>
              <w:bottom w:w="100" w:type="dxa"/>
              <w:end w:w="120" w:type="dxa"/>
            </w:tcMar>
            <w:vAlign w:val="center"/>
          </w:tcPr>
          <w:p>
            <w:pPr>
              <w:spacing w:after="0"/>
            </w:pPr>
            <w:r>
              <w:rPr>
                <w:sz w:val="16"/>
              </w:rPr>
              <w:t>Exact role and service restriction required</w:t>
            </w:r>
          </w:p>
        </w:tc>
        <w:tc>
          <w:tcPr>
            <w:tcW w:type="dxa" w:w="4752"/>
            <w:tcMar>
              <w:top w:w="100" w:type="dxa"/>
              <w:start w:w="120" w:type="dxa"/>
              <w:bottom w:w="100" w:type="dxa"/>
              <w:end w:w="120" w:type="dxa"/>
            </w:tcMar>
            <w:vAlign w:val="center"/>
          </w:tcPr>
          <w:p>
            <w:pPr>
              <w:spacing w:after="0"/>
            </w:pPr>
            <w:r>
              <w:rPr>
                <w:sz w:val="16"/>
              </w:rPr>
              <w:t>Future deployment must authorize only reviewed roles and target services</w:t>
            </w:r>
          </w:p>
        </w:tc>
      </w:tr>
      <w:tr>
        <w:tc>
          <w:tcPr>
            <w:tcW w:type="dxa" w:w="1728"/>
            <w:tcMar>
              <w:top w:w="100" w:type="dxa"/>
              <w:start w:w="120" w:type="dxa"/>
              <w:bottom w:w="100" w:type="dxa"/>
              <w:end w:w="120" w:type="dxa"/>
            </w:tcMar>
            <w:vAlign w:val="center"/>
            <w:shd w:fill="F2F6FA"/>
          </w:tcPr>
          <w:p>
            <w:pPr>
              <w:spacing w:after="0"/>
              <w:jc w:val="center"/>
            </w:pPr>
            <w:r>
              <w:rPr>
                <w:sz w:val="16"/>
              </w:rPr>
              <w:t>HMAC secret</w:t>
            </w:r>
          </w:p>
        </w:tc>
        <w:tc>
          <w:tcPr>
            <w:tcW w:type="dxa" w:w="3024"/>
            <w:tcMar>
              <w:top w:w="100" w:type="dxa"/>
              <w:start w:w="120" w:type="dxa"/>
              <w:bottom w:w="100" w:type="dxa"/>
              <w:end w:w="120" w:type="dxa"/>
            </w:tcMar>
            <w:vAlign w:val="center"/>
            <w:shd w:fill="F2F6FA"/>
          </w:tcPr>
          <w:p>
            <w:pPr>
              <w:spacing w:after="0"/>
            </w:pPr>
            <w:r>
              <w:rPr>
                <w:sz w:val="16"/>
              </w:rPr>
              <w:t>External container and value lifecycle</w:t>
            </w:r>
          </w:p>
        </w:tc>
        <w:tc>
          <w:tcPr>
            <w:tcW w:type="dxa" w:w="4752"/>
            <w:tcMar>
              <w:top w:w="100" w:type="dxa"/>
              <w:start w:w="120" w:type="dxa"/>
              <w:bottom w:w="100" w:type="dxa"/>
              <w:end w:w="120" w:type="dxa"/>
            </w:tcMar>
            <w:vAlign w:val="center"/>
            <w:shd w:fill="F2F6FA"/>
          </w:tcPr>
          <w:p>
            <w:pPr>
              <w:spacing w:after="0"/>
            </w:pPr>
            <w:r>
              <w:rPr>
                <w:sz w:val="16"/>
              </w:rPr>
              <w:t>Terraform consumes only an ARN; no secret value enters code, state, plan, logs, or evidence</w:t>
            </w:r>
          </w:p>
        </w:tc>
      </w:tr>
      <w:tr>
        <w:tc>
          <w:tcPr>
            <w:tcW w:type="dxa" w:w="1728"/>
            <w:tcMar>
              <w:top w:w="100" w:type="dxa"/>
              <w:start w:w="120" w:type="dxa"/>
              <w:bottom w:w="100" w:type="dxa"/>
              <w:end w:w="120" w:type="dxa"/>
            </w:tcMar>
            <w:vAlign w:val="center"/>
          </w:tcPr>
          <w:p>
            <w:pPr>
              <w:spacing w:after="0"/>
              <w:jc w:val="center"/>
            </w:pPr>
            <w:r>
              <w:rPr>
                <w:sz w:val="16"/>
              </w:rPr>
              <w:t>KMS and backup roles</w:t>
            </w:r>
          </w:p>
        </w:tc>
        <w:tc>
          <w:tcPr>
            <w:tcW w:type="dxa" w:w="3024"/>
            <w:tcMar>
              <w:top w:w="100" w:type="dxa"/>
              <w:start w:w="120" w:type="dxa"/>
              <w:bottom w:w="100" w:type="dxa"/>
              <w:end w:w="120" w:type="dxa"/>
            </w:tcMar>
            <w:vAlign w:val="center"/>
          </w:tcPr>
          <w:p>
            <w:pPr>
              <w:spacing w:after="0"/>
            </w:pPr>
            <w:r>
              <w:rPr>
                <w:sz w:val="16"/>
              </w:rPr>
              <w:t>External governance in later designs</w:t>
            </w:r>
          </w:p>
        </w:tc>
        <w:tc>
          <w:tcPr>
            <w:tcW w:type="dxa" w:w="4752"/>
            <w:tcMar>
              <w:top w:w="100" w:type="dxa"/>
              <w:start w:w="120" w:type="dxa"/>
              <w:bottom w:w="100" w:type="dxa"/>
              <w:end w:w="120" w:type="dxa"/>
            </w:tcMar>
            <w:vAlign w:val="center"/>
          </w:tcPr>
          <w:p>
            <w:pPr>
              <w:spacing w:after="0"/>
            </w:pPr>
            <w:r>
              <w:rPr>
                <w:sz w:val="16"/>
              </w:rPr>
              <w:t>Key administration and backup deletion remain separated from workload deployment</w:t>
            </w:r>
          </w:p>
        </w:tc>
      </w:tr>
      <w:tr>
        <w:tc>
          <w:tcPr>
            <w:tcW w:type="dxa" w:w="1728"/>
            <w:tcMar>
              <w:top w:w="100" w:type="dxa"/>
              <w:start w:w="120" w:type="dxa"/>
              <w:bottom w:w="100" w:type="dxa"/>
              <w:end w:w="120" w:type="dxa"/>
            </w:tcMar>
            <w:vAlign w:val="center"/>
            <w:shd w:fill="F2F6FA"/>
          </w:tcPr>
          <w:p>
            <w:pPr>
              <w:spacing w:after="0"/>
              <w:jc w:val="center"/>
            </w:pPr>
            <w:r>
              <w:rPr>
                <w:sz w:val="16"/>
              </w:rPr>
              <w:t>Break glass</w:t>
            </w:r>
          </w:p>
        </w:tc>
        <w:tc>
          <w:tcPr>
            <w:tcW w:type="dxa" w:w="3024"/>
            <w:tcMar>
              <w:top w:w="100" w:type="dxa"/>
              <w:start w:w="120" w:type="dxa"/>
              <w:bottom w:w="100" w:type="dxa"/>
              <w:end w:w="120" w:type="dxa"/>
            </w:tcMar>
            <w:vAlign w:val="center"/>
            <w:shd w:fill="F2F6FA"/>
          </w:tcPr>
          <w:p>
            <w:pPr>
              <w:spacing w:after="0"/>
            </w:pPr>
            <w:r>
              <w:rPr>
                <w:sz w:val="16"/>
              </w:rPr>
              <w:t>Named, time-limited, alerted, reasoned, reviewed</w:t>
            </w:r>
          </w:p>
        </w:tc>
        <w:tc>
          <w:tcPr>
            <w:tcW w:type="dxa" w:w="4752"/>
            <w:tcMar>
              <w:top w:w="100" w:type="dxa"/>
              <w:start w:w="120" w:type="dxa"/>
              <w:bottom w:w="100" w:type="dxa"/>
              <w:end w:w="120" w:type="dxa"/>
            </w:tcMar>
            <w:vAlign w:val="center"/>
            <w:shd w:fill="F2F6FA"/>
          </w:tcPr>
          <w:p>
            <w:pPr>
              <w:spacing w:after="0"/>
            </w:pPr>
            <w:r>
              <w:rPr>
                <w:sz w:val="16"/>
              </w:rPr>
              <w:t>No standing or shared emergency database account</w:t>
            </w:r>
          </w:p>
        </w:tc>
      </w:tr>
    </w:tbl>
    <w:p>
      <w:pPr>
        <w:spacing w:after="20"/>
      </w:pPr>
    </w:p>
    <w:p>
      <w:pPr>
        <w:pStyle w:val="Heading2"/>
      </w:pPr>
      <w:r>
        <w:t>Wave 3 remaining gates</w:t>
      </w:r>
    </w:p>
    <w:p>
      <w:pPr>
        <w:pStyle w:val="ListBullet"/>
        <w:spacing w:after="40"/>
      </w:pPr>
      <w:r>
        <w:t>Four external IAM roles would need to exist before deployment resumes.</w:t>
      </w:r>
    </w:p>
    <w:p>
      <w:pPr>
        <w:pStyle w:val="ListBullet"/>
        <w:spacing w:after="40"/>
      </w:pPr>
      <w:r>
        <w:t>A deployment identity would need exact, service-restricted iam:PassRole.</w:t>
      </w:r>
    </w:p>
    <w:p>
      <w:pPr>
        <w:pStyle w:val="ListBullet"/>
        <w:spacing w:after="40"/>
      </w:pPr>
      <w:r>
        <w:t>Synthetic HMAC material remains unprovisioned.</w:t>
      </w:r>
    </w:p>
    <w:p>
      <w:pPr>
        <w:pStyle w:val="ListBullet"/>
        <w:spacing w:after="40"/>
      </w:pPr>
      <w:r>
        <w:t>A human alert destination remains unconfigured.</w:t>
      </w:r>
    </w:p>
    <w:p>
      <w:pPr>
        <w:pStyle w:val="ListBullet"/>
        <w:spacing w:after="40"/>
      </w:pPr>
      <w:r>
        <w:t>Live API, queue, monitoring, privacy, and recovery controls remain unvalidated.</w:t>
      </w:r>
    </w:p>
    <w:p>
      <w:pPr>
        <w:pStyle w:val="Heading1"/>
        <w:pageBreakBefore/>
      </w:pPr>
      <w:r>
        <w:t>Cost Control Decisions</w:t>
      </w:r>
    </w:p>
    <w:p>
      <w:r>
        <w:t>Cost gates influenced technical scope. The portfolio favored the smallest design that could demonstrate the intended control and avoided creating resources whose requirements were unproven.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304"/>
            <w:shd w:fill="1F4E78"/>
            <w:tcMar>
              <w:top w:w="100" w:type="dxa"/>
              <w:start w:w="120" w:type="dxa"/>
              <w:bottom w:w="100" w:type="dxa"/>
              <w:end w:w="120" w:type="dxa"/>
            </w:tcMar>
            <w:vAlign w:val="center"/>
          </w:tcPr>
          <w:p>
            <w:pPr>
              <w:spacing w:after="0"/>
              <w:jc w:val="center"/>
            </w:pPr>
            <w:r>
              <w:rPr>
                <w:b/>
                <w:color w:val="FFFFFF"/>
                <w:sz w:val="16"/>
              </w:rPr>
              <w:t>Decision</w:t>
            </w:r>
          </w:p>
        </w:tc>
        <w:tc>
          <w:tcPr>
            <w:tcW w:type="dxa" w:w="2736"/>
            <w:shd w:fill="1F4E78"/>
            <w:tcMar>
              <w:top w:w="100" w:type="dxa"/>
              <w:start w:w="120" w:type="dxa"/>
              <w:bottom w:w="100" w:type="dxa"/>
              <w:end w:w="120" w:type="dxa"/>
            </w:tcMar>
            <w:vAlign w:val="center"/>
          </w:tcPr>
          <w:p>
            <w:pPr>
              <w:spacing w:after="0"/>
              <w:jc w:val="center"/>
            </w:pPr>
            <w:r>
              <w:rPr>
                <w:b/>
                <w:color w:val="FFFFFF"/>
                <w:sz w:val="16"/>
              </w:rPr>
              <w:t>Cost effect</w:t>
            </w:r>
          </w:p>
        </w:tc>
        <w:tc>
          <w:tcPr>
            <w:tcW w:type="dxa" w:w="4464"/>
            <w:shd w:fill="1F4E78"/>
            <w:tcMar>
              <w:top w:w="100" w:type="dxa"/>
              <w:start w:w="120" w:type="dxa"/>
              <w:bottom w:w="100" w:type="dxa"/>
              <w:end w:w="120" w:type="dxa"/>
            </w:tcMar>
            <w:vAlign w:val="center"/>
          </w:tcPr>
          <w:p>
            <w:pPr>
              <w:spacing w:after="0"/>
              <w:jc w:val="center"/>
            </w:pPr>
            <w:r>
              <w:rPr>
                <w:b/>
                <w:color w:val="FFFFFF"/>
                <w:sz w:val="16"/>
              </w:rPr>
              <w:t>Engineering rationale</w:t>
            </w:r>
          </w:p>
        </w:tc>
      </w:tr>
      <w:tr>
        <w:tc>
          <w:tcPr>
            <w:tcW w:type="dxa" w:w="2304"/>
            <w:tcMar>
              <w:top w:w="100" w:type="dxa"/>
              <w:start w:w="120" w:type="dxa"/>
              <w:bottom w:w="100" w:type="dxa"/>
              <w:end w:w="120" w:type="dxa"/>
            </w:tcMar>
            <w:vAlign w:val="center"/>
          </w:tcPr>
          <w:p>
            <w:pPr>
              <w:spacing w:after="0"/>
              <w:jc w:val="center"/>
            </w:pPr>
            <w:r>
              <w:rPr>
                <w:sz w:val="16"/>
              </w:rPr>
              <w:t>S3 gateway endpoint instead of broad endpoint catalogue</w:t>
            </w:r>
          </w:p>
        </w:tc>
        <w:tc>
          <w:tcPr>
            <w:tcW w:type="dxa" w:w="2736"/>
            <w:tcMar>
              <w:top w:w="100" w:type="dxa"/>
              <w:start w:w="120" w:type="dxa"/>
              <w:bottom w:w="100" w:type="dxa"/>
              <w:end w:w="120" w:type="dxa"/>
            </w:tcMar>
            <w:vAlign w:val="center"/>
          </w:tcPr>
          <w:p>
            <w:pPr>
              <w:spacing w:after="0"/>
            </w:pPr>
            <w:r>
              <w:rPr>
                <w:sz w:val="16"/>
              </w:rPr>
              <w:t>No interface-endpoint hourly charges</w:t>
            </w:r>
          </w:p>
        </w:tc>
        <w:tc>
          <w:tcPr>
            <w:tcW w:type="dxa" w:w="4464"/>
            <w:tcMar>
              <w:top w:w="100" w:type="dxa"/>
              <w:start w:w="120" w:type="dxa"/>
              <w:bottom w:w="100" w:type="dxa"/>
              <w:end w:w="120" w:type="dxa"/>
            </w:tcMar>
            <w:vAlign w:val="center"/>
          </w:tcPr>
          <w:p>
            <w:pPr>
              <w:spacing w:after="0"/>
            </w:pPr>
            <w:r>
              <w:rPr>
                <w:sz w:val="16"/>
              </w:rPr>
              <w:t>Created only the justified private S3 path</w:t>
            </w:r>
          </w:p>
        </w:tc>
      </w:tr>
      <w:tr>
        <w:tc>
          <w:tcPr>
            <w:tcW w:type="dxa" w:w="2304"/>
            <w:tcMar>
              <w:top w:w="100" w:type="dxa"/>
              <w:start w:w="120" w:type="dxa"/>
              <w:bottom w:w="100" w:type="dxa"/>
              <w:end w:w="120" w:type="dxa"/>
            </w:tcMar>
            <w:vAlign w:val="center"/>
            <w:shd w:fill="F2F6FA"/>
          </w:tcPr>
          <w:p>
            <w:pPr>
              <w:spacing w:after="0"/>
              <w:jc w:val="center"/>
            </w:pPr>
            <w:r>
              <w:rPr>
                <w:sz w:val="16"/>
              </w:rPr>
              <w:t>No speculative NAT Gateway</w:t>
            </w:r>
          </w:p>
        </w:tc>
        <w:tc>
          <w:tcPr>
            <w:tcW w:type="dxa" w:w="2736"/>
            <w:tcMar>
              <w:top w:w="100" w:type="dxa"/>
              <w:start w:w="120" w:type="dxa"/>
              <w:bottom w:w="100" w:type="dxa"/>
              <w:end w:w="120" w:type="dxa"/>
            </w:tcMar>
            <w:vAlign w:val="center"/>
            <w:shd w:fill="F2F6FA"/>
          </w:tcPr>
          <w:p>
            <w:pPr>
              <w:spacing w:after="0"/>
            </w:pPr>
            <w:r>
              <w:rPr>
                <w:sz w:val="16"/>
              </w:rPr>
              <w:t>Avoided fixed hourly and data-processing cost</w:t>
            </w:r>
          </w:p>
        </w:tc>
        <w:tc>
          <w:tcPr>
            <w:tcW w:type="dxa" w:w="4464"/>
            <w:tcMar>
              <w:top w:w="100" w:type="dxa"/>
              <w:start w:w="120" w:type="dxa"/>
              <w:bottom w:w="100" w:type="dxa"/>
              <w:end w:w="120" w:type="dxa"/>
            </w:tcMar>
            <w:vAlign w:val="center"/>
            <w:shd w:fill="F2F6FA"/>
          </w:tcPr>
          <w:p>
            <w:pPr>
              <w:spacing w:after="0"/>
            </w:pPr>
            <w:r>
              <w:rPr>
                <w:sz w:val="16"/>
              </w:rPr>
              <w:t>Private workloads and provider paths were not yet evidenced</w:t>
            </w:r>
          </w:p>
        </w:tc>
      </w:tr>
      <w:tr>
        <w:tc>
          <w:tcPr>
            <w:tcW w:type="dxa" w:w="2304"/>
            <w:tcMar>
              <w:top w:w="100" w:type="dxa"/>
              <w:start w:w="120" w:type="dxa"/>
              <w:bottom w:w="100" w:type="dxa"/>
              <w:end w:w="120" w:type="dxa"/>
            </w:tcMar>
            <w:vAlign w:val="center"/>
          </w:tcPr>
          <w:p>
            <w:pPr>
              <w:spacing w:after="0"/>
              <w:jc w:val="center"/>
            </w:pPr>
            <w:r>
              <w:rPr>
                <w:sz w:val="16"/>
              </w:rPr>
              <w:t>Wave 4 Single-AZ conceptual baseline</w:t>
            </w:r>
          </w:p>
        </w:tc>
        <w:tc>
          <w:tcPr>
            <w:tcW w:type="dxa" w:w="2736"/>
            <w:tcMar>
              <w:top w:w="100" w:type="dxa"/>
              <w:start w:w="120" w:type="dxa"/>
              <w:bottom w:w="100" w:type="dxa"/>
              <w:end w:w="120" w:type="dxa"/>
            </w:tcMar>
            <w:vAlign w:val="center"/>
          </w:tcPr>
          <w:p>
            <w:pPr>
              <w:spacing w:after="0"/>
            </w:pPr>
            <w:r>
              <w:rPr>
                <w:sz w:val="16"/>
              </w:rPr>
              <w:t>Reduced Windows and SQL Server pilot cost</w:t>
            </w:r>
          </w:p>
        </w:tc>
        <w:tc>
          <w:tcPr>
            <w:tcW w:type="dxa" w:w="4464"/>
            <w:tcMar>
              <w:top w:w="100" w:type="dxa"/>
              <w:start w:w="120" w:type="dxa"/>
              <w:bottom w:w="100" w:type="dxa"/>
              <w:end w:w="120" w:type="dxa"/>
            </w:tcMar>
            <w:vAlign w:val="center"/>
          </w:tcPr>
          <w:p>
            <w:pPr>
              <w:spacing w:after="0"/>
            </w:pPr>
            <w:r>
              <w:rPr>
                <w:sz w:val="16"/>
              </w:rPr>
              <w:t>Design validation only; not a production availability recommendation</w:t>
            </w:r>
          </w:p>
        </w:tc>
      </w:tr>
      <w:tr>
        <w:tc>
          <w:tcPr>
            <w:tcW w:type="dxa" w:w="2304"/>
            <w:tcMar>
              <w:top w:w="100" w:type="dxa"/>
              <w:start w:w="120" w:type="dxa"/>
              <w:bottom w:w="100" w:type="dxa"/>
              <w:end w:w="120" w:type="dxa"/>
            </w:tcMar>
            <w:vAlign w:val="center"/>
            <w:shd w:fill="F2F6FA"/>
          </w:tcPr>
          <w:p>
            <w:pPr>
              <w:spacing w:after="0"/>
              <w:jc w:val="center"/>
            </w:pPr>
            <w:r>
              <w:rPr>
                <w:sz w:val="16"/>
              </w:rPr>
              <w:t>Wave 5 temporary DMS design</w:t>
            </w:r>
          </w:p>
        </w:tc>
        <w:tc>
          <w:tcPr>
            <w:tcW w:type="dxa" w:w="2736"/>
            <w:tcMar>
              <w:top w:w="100" w:type="dxa"/>
              <w:start w:w="120" w:type="dxa"/>
              <w:bottom w:w="100" w:type="dxa"/>
              <w:end w:w="120" w:type="dxa"/>
            </w:tcMar>
            <w:vAlign w:val="center"/>
            <w:shd w:fill="F2F6FA"/>
          </w:tcPr>
          <w:p>
            <w:pPr>
              <w:spacing w:after="0"/>
            </w:pPr>
            <w:r>
              <w:rPr>
                <w:sz w:val="16"/>
              </w:rPr>
              <w:t>Migration runtime would exist only during a governed migration</w:t>
            </w:r>
          </w:p>
        </w:tc>
        <w:tc>
          <w:tcPr>
            <w:tcW w:type="dxa" w:w="4464"/>
            <w:tcMar>
              <w:top w:w="100" w:type="dxa"/>
              <w:start w:w="120" w:type="dxa"/>
              <w:bottom w:w="100" w:type="dxa"/>
              <w:end w:w="120" w:type="dxa"/>
            </w:tcMar>
            <w:vAlign w:val="center"/>
            <w:shd w:fill="F2F6FA"/>
          </w:tcPr>
          <w:p>
            <w:pPr>
              <w:spacing w:after="0"/>
            </w:pPr>
            <w:r>
              <w:rPr>
                <w:sz w:val="16"/>
              </w:rPr>
              <w:t>No DMS resource was created</w:t>
            </w:r>
          </w:p>
        </w:tc>
      </w:tr>
      <w:tr>
        <w:tc>
          <w:tcPr>
            <w:tcW w:type="dxa" w:w="2304"/>
            <w:tcMar>
              <w:top w:w="100" w:type="dxa"/>
              <w:start w:w="120" w:type="dxa"/>
              <w:bottom w:w="100" w:type="dxa"/>
              <w:end w:w="120" w:type="dxa"/>
            </w:tcMar>
            <w:vAlign w:val="center"/>
          </w:tcPr>
          <w:p>
            <w:pPr>
              <w:spacing w:after="0"/>
              <w:jc w:val="center"/>
            </w:pPr>
            <w:r>
              <w:rPr>
                <w:sz w:val="16"/>
              </w:rPr>
              <w:t>External secrets and IAM</w:t>
            </w:r>
          </w:p>
        </w:tc>
        <w:tc>
          <w:tcPr>
            <w:tcW w:type="dxa" w:w="2736"/>
            <w:tcMar>
              <w:top w:w="100" w:type="dxa"/>
              <w:start w:w="120" w:type="dxa"/>
              <w:bottom w:w="100" w:type="dxa"/>
              <w:end w:w="120" w:type="dxa"/>
            </w:tcMar>
            <w:vAlign w:val="center"/>
          </w:tcPr>
          <w:p>
            <w:pPr>
              <w:spacing w:after="0"/>
            </w:pPr>
            <w:r>
              <w:rPr>
                <w:sz w:val="16"/>
              </w:rPr>
              <w:t>Avoided unsafe workarounds; not primarily a cost decision</w:t>
            </w:r>
          </w:p>
        </w:tc>
        <w:tc>
          <w:tcPr>
            <w:tcW w:type="dxa" w:w="4464"/>
            <w:tcMar>
              <w:top w:w="100" w:type="dxa"/>
              <w:start w:w="120" w:type="dxa"/>
              <w:bottom w:w="100" w:type="dxa"/>
              <w:end w:w="120" w:type="dxa"/>
            </w:tcMar>
            <w:vAlign w:val="center"/>
          </w:tcPr>
          <w:p>
            <w:pPr>
              <w:spacing w:after="0"/>
            </w:pPr>
            <w:r>
              <w:rPr>
                <w:sz w:val="16"/>
              </w:rPr>
              <w:t>Preserved owner governance and limited deployment scope</w:t>
            </w:r>
          </w:p>
        </w:tc>
      </w:tr>
      <w:tr>
        <w:tc>
          <w:tcPr>
            <w:tcW w:type="dxa" w:w="2304"/>
            <w:tcMar>
              <w:top w:w="100" w:type="dxa"/>
              <w:start w:w="120" w:type="dxa"/>
              <w:bottom w:w="100" w:type="dxa"/>
              <w:end w:w="120" w:type="dxa"/>
            </w:tcMar>
            <w:vAlign w:val="center"/>
            <w:shd w:fill="F2F6FA"/>
          </w:tcPr>
          <w:p>
            <w:pPr>
              <w:spacing w:after="0"/>
              <w:jc w:val="center"/>
            </w:pPr>
            <w:r>
              <w:rPr>
                <w:sz w:val="16"/>
              </w:rPr>
              <w:t>Existing VPN reuse considered</w:t>
            </w:r>
          </w:p>
        </w:tc>
        <w:tc>
          <w:tcPr>
            <w:tcW w:type="dxa" w:w="2736"/>
            <w:tcMar>
              <w:top w:w="100" w:type="dxa"/>
              <w:start w:w="120" w:type="dxa"/>
              <w:bottom w:w="100" w:type="dxa"/>
              <w:end w:w="120" w:type="dxa"/>
            </w:tcMar>
            <w:vAlign w:val="center"/>
            <w:shd w:fill="F2F6FA"/>
          </w:tcPr>
          <w:p>
            <w:pPr>
              <w:spacing w:after="0"/>
            </w:pPr>
            <w:r>
              <w:rPr>
                <w:sz w:val="16"/>
              </w:rPr>
              <w:t>Avoided a second VPN, but existing connection charges may continue</w:t>
            </w:r>
          </w:p>
        </w:tc>
        <w:tc>
          <w:tcPr>
            <w:tcW w:type="dxa" w:w="4464"/>
            <w:tcMar>
              <w:top w:w="100" w:type="dxa"/>
              <w:start w:w="120" w:type="dxa"/>
              <w:bottom w:w="100" w:type="dxa"/>
              <w:end w:w="120" w:type="dxa"/>
            </w:tcMar>
            <w:vAlign w:val="center"/>
            <w:shd w:fill="F2F6FA"/>
          </w:tcPr>
          <w:p>
            <w:pPr>
              <w:spacing w:after="0"/>
            </w:pPr>
            <w:r>
              <w:rPr>
                <w:sz w:val="16"/>
              </w:rPr>
              <w:t>A separate decommission decision is required if the VPN has no future purpose</w:t>
            </w:r>
          </w:p>
        </w:tc>
      </w:tr>
    </w:tbl>
    <w:p>
      <w:pPr>
        <w:spacing w:after="20"/>
      </w:pPr>
    </w:p>
    <w:p>
      <w:pPr>
        <w:pStyle w:val="Heading2"/>
      </w:pPr>
      <w:r>
        <w:t>Deferred cost decisions</w:t>
      </w:r>
    </w:p>
    <w:p>
      <w:pPr>
        <w:pStyle w:val="ListBullet"/>
        <w:spacing w:after="40"/>
      </w:pPr>
      <w:r>
        <w:t>SQL Server edition, Windows sizing, licensing, storage, and Multi-AZ requirements need vendor and workload evidence.</w:t>
      </w:r>
    </w:p>
    <w:p>
      <w:pPr>
        <w:pStyle w:val="ListBullet"/>
        <w:spacing w:after="40"/>
      </w:pPr>
      <w:r>
        <w:t>RDS MySQL, EC2, temporary DMS, endpoints, hybrid transfer, and optional FSx usage need measured sizing.</w:t>
      </w:r>
    </w:p>
    <w:p>
      <w:pPr>
        <w:pStyle w:val="ListBullet"/>
        <w:spacing w:after="40"/>
      </w:pPr>
      <w:r>
        <w:t>The 30 deployed Wave 3 resources should be retained or decommissioned only after a separate inventory, cost, evidence-retention, and approval decision.</w:t>
      </w:r>
    </w:p>
    <w:p>
      <w:pPr>
        <w:pStyle w:val="ListBullet"/>
        <w:spacing w:after="40"/>
      </w:pPr>
      <w:r>
        <w:t>The unusable VPN may continue to incur connection and public IPv4-related charges; deletion was not authorized by this closeout.</w:t>
      </w:r>
    </w:p>
    <w:p>
      <w:pPr>
        <w:pStyle w:val="Heading1"/>
        <w:pageBreakBefore/>
      </w:pPr>
      <w:r>
        <w:t>Portfolio and Resume Framing</w:t>
      </w:r>
    </w:p>
    <w:p>
      <w:pPr>
        <w:pStyle w:val="Heading2"/>
      </w:pPr>
      <w:r>
        <w:t>Accurate portfolio description</w:t>
      </w:r>
    </w:p>
    <w:p>
      <w:r>
        <w:t>Healthcare cloud security engineering migration portfolio completed through Wave 6 across implemented, deployment-deferred, design-validated, and externally terminated workstreams.</w:t>
      </w:r>
    </w:p>
    <w:p>
      <w:pPr>
        <w:pStyle w:val="Heading2"/>
      </w:pPr>
      <w:r>
        <w:t>Resume bullet options</w:t>
      </w:r>
    </w:p>
    <w:p>
      <w:pPr>
        <w:pStyle w:val="ListBullet"/>
        <w:spacing w:after="40"/>
      </w:pPr>
      <w:r>
        <w:t>Engineered and documented a synthetic clinic AWS migration portfolio spanning account governance, Terraform state, existing-network adoption, secure serverless workflows, workload migration design, and hybrid-connectivity discovery.</w:t>
      </w:r>
    </w:p>
    <w:p>
      <w:pPr>
        <w:pStyle w:val="ListBullet"/>
        <w:spacing w:after="40"/>
      </w:pPr>
      <w:r>
        <w:t>Built a security-focused Appointment API design with WAF, API Gateway, Lambda, DynamoDB, SQS, HMAC authentication, replay protection, atomic idempotency, reconciliation, privacy controls, and 205 passing tests; closed deployment as deferred at an owner-controlled IAM boundary.</w:t>
      </w:r>
    </w:p>
    <w:p>
      <w:pPr>
        <w:pStyle w:val="ListBullet"/>
        <w:spacing w:after="40"/>
      </w:pPr>
      <w:r>
        <w:t>Reconciled an existing AWS network into an 18-resource Terraform module, verified zero drift, and deployed a private-route-table S3 gateway endpoint without expanding public routing.</w:t>
      </w:r>
    </w:p>
    <w:p>
      <w:pPr>
        <w:pStyle w:val="ListBullet"/>
        <w:spacing w:after="40"/>
      </w:pPr>
      <w:r>
        <w:t>Designed nondeployed Pharmacy and Clinic or EMR migration patterns using private EC2 and RDS, DMS full load plus CDC, TLS, least-privilege security groups, externally governed secrets and keys, backup and restore validation, cutover, rollback, and integrity controls.</w:t>
      </w:r>
    </w:p>
    <w:p>
      <w:pPr>
        <w:pStyle w:val="ListBullet"/>
        <w:spacing w:after="40"/>
      </w:pPr>
      <w:r>
        <w:t>Assessed Site-to-Site VPN and BGP readiness for Lab and Radiology integration; terminated implementation after read-only discovery found both tunnels down, zero accepted routes, and an unavailable ISP-side public connectivity prerequisite.</w:t>
      </w:r>
    </w:p>
    <w:p>
      <w:pPr>
        <w:pStyle w:val="ListBullet"/>
        <w:spacing w:after="40"/>
      </w:pPr>
      <w:r>
        <w:t>Converted an accidental empty FSx deletion and Wave 3 partial-apply failures into documented recovery, ownership, plan-integrity, and change-control lessons without overstating production recovery or deployment completion.</w:t>
      </w:r>
    </w:p>
    <w:p>
      <w:pPr>
        <w:pStyle w:val="Heading2"/>
      </w:pPr>
      <w:r>
        <w:t>Interview framing</w:t>
      </w:r>
    </w:p>
    <w:p>
      <w:r>
        <w:t>The strongest narrative is not that every proposed workload was deployed. It is that the project used evidence and governance to decide when to implement, when to stop, when to redesign ownership, and when to terminate a workstream. The candidate should be able to explain the difference between Terraform validation, design validation, partial deployment, live operational acceptance, and production readiness.</w:t>
      </w:r>
    </w:p>
    <w:p>
      <w:pPr>
        <w:pStyle w:val="Heading2"/>
      </w:pPr>
      <w:r>
        <w:t>Claims to avoid</w:t>
      </w:r>
    </w:p>
    <w:p>
      <w:pPr>
        <w:pStyle w:val="ListBullet"/>
        <w:spacing w:after="40"/>
      </w:pPr>
      <w:r>
        <w:t>Completed a full clinic or hospital migration to AWS.</w:t>
      </w:r>
    </w:p>
    <w:p>
      <w:pPr>
        <w:pStyle w:val="ListBullet"/>
        <w:spacing w:after="40"/>
      </w:pPr>
      <w:r>
        <w:t>Deployed a production Appointment API.</w:t>
      </w:r>
    </w:p>
    <w:p>
      <w:pPr>
        <w:pStyle w:val="ListBullet"/>
        <w:spacing w:after="40"/>
      </w:pPr>
      <w:r>
        <w:t>Migrated Pharmacy or Clinic and EMR databases.</w:t>
      </w:r>
    </w:p>
    <w:p>
      <w:pPr>
        <w:pStyle w:val="ListBullet"/>
        <w:spacing w:after="40"/>
      </w:pPr>
      <w:r>
        <w:t>Completed a live DMS cutover or clinical UAT.</w:t>
      </w:r>
    </w:p>
    <w:p>
      <w:pPr>
        <w:pStyle w:val="ListBullet"/>
        <w:spacing w:after="40"/>
      </w:pPr>
      <w:r>
        <w:t>Established a functioning Lab and Radiology VPN.</w:t>
      </w:r>
    </w:p>
    <w:p>
      <w:pPr>
        <w:pStyle w:val="ListBullet"/>
        <w:spacing w:after="40"/>
      </w:pPr>
      <w:r>
        <w:t>Achieved healthcare compliance certification or production go-live approval.</w:t>
      </w:r>
    </w:p>
    <w:p>
      <w:pPr>
        <w:pStyle w:val="Heading1"/>
        <w:pageBreakBefore/>
      </w:pPr>
      <w:r>
        <w:t>Limitations and Residual Risks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1440"/>
            <w:shd w:fill="1F4E78"/>
            <w:tcMar>
              <w:top w:w="100" w:type="dxa"/>
              <w:start w:w="120" w:type="dxa"/>
              <w:bottom w:w="100" w:type="dxa"/>
              <w:end w:w="120" w:type="dxa"/>
            </w:tcMar>
            <w:vAlign w:val="center"/>
          </w:tcPr>
          <w:p>
            <w:pPr>
              <w:spacing w:after="0"/>
              <w:jc w:val="center"/>
            </w:pPr>
            <w:r>
              <w:rPr>
                <w:b/>
                <w:color w:val="FFFFFF"/>
                <w:sz w:val="15"/>
              </w:rPr>
              <w:t>Area</w:t>
            </w:r>
          </w:p>
        </w:tc>
        <w:tc>
          <w:tcPr>
            <w:tcW w:type="dxa" w:w="4608"/>
            <w:shd w:fill="1F4E78"/>
            <w:tcMar>
              <w:top w:w="100" w:type="dxa"/>
              <w:start w:w="120" w:type="dxa"/>
              <w:bottom w:w="100" w:type="dxa"/>
              <w:end w:w="120" w:type="dxa"/>
            </w:tcMar>
            <w:vAlign w:val="center"/>
          </w:tcPr>
          <w:p>
            <w:pPr>
              <w:spacing w:after="0"/>
              <w:jc w:val="center"/>
            </w:pPr>
            <w:r>
              <w:rPr>
                <w:b/>
                <w:color w:val="FFFFFF"/>
                <w:sz w:val="15"/>
              </w:rPr>
              <w:t>Limitation or risk</w:t>
            </w:r>
          </w:p>
        </w:tc>
        <w:tc>
          <w:tcPr>
            <w:tcW w:type="dxa" w:w="3456"/>
            <w:shd w:fill="1F4E78"/>
            <w:tcMar>
              <w:top w:w="100" w:type="dxa"/>
              <w:start w:w="120" w:type="dxa"/>
              <w:bottom w:w="100" w:type="dxa"/>
              <w:end w:w="120" w:type="dxa"/>
            </w:tcMar>
            <w:vAlign w:val="center"/>
          </w:tcPr>
          <w:p>
            <w:pPr>
              <w:spacing w:after="0"/>
              <w:jc w:val="center"/>
            </w:pPr>
            <w:r>
              <w:rPr>
                <w:b/>
                <w:color w:val="FFFFFF"/>
                <w:sz w:val="15"/>
              </w:rPr>
              <w:t>Closure treatment</w:t>
            </w:r>
          </w:p>
        </w:tc>
      </w:tr>
      <w:tr>
        <w:tc>
          <w:tcPr>
            <w:tcW w:type="dxa" w:w="1440"/>
            <w:tcMar>
              <w:top w:w="100" w:type="dxa"/>
              <w:start w:w="120" w:type="dxa"/>
              <w:bottom w:w="100" w:type="dxa"/>
              <w:end w:w="120" w:type="dxa"/>
            </w:tcMar>
            <w:vAlign w:val="center"/>
          </w:tcPr>
          <w:p>
            <w:pPr>
              <w:spacing w:after="0"/>
              <w:jc w:val="center"/>
            </w:pPr>
            <w:r>
              <w:rPr>
                <w:sz w:val="15"/>
              </w:rPr>
              <w:t>Production use</w:t>
            </w:r>
          </w:p>
        </w:tc>
        <w:tc>
          <w:tcPr>
            <w:tcW w:type="dxa" w:w="4608"/>
            <w:tcMar>
              <w:top w:w="100" w:type="dxa"/>
              <w:start w:w="120" w:type="dxa"/>
              <w:bottom w:w="100" w:type="dxa"/>
              <w:end w:w="120" w:type="dxa"/>
            </w:tcMar>
            <w:vAlign w:val="center"/>
          </w:tcPr>
          <w:p>
            <w:pPr>
              <w:spacing w:after="0"/>
            </w:pPr>
            <w:r>
              <w:rPr>
                <w:sz w:val="15"/>
              </w:rPr>
              <w:t>No production workload, production data, or clinical authorization</w:t>
            </w:r>
          </w:p>
        </w:tc>
        <w:tc>
          <w:tcPr>
            <w:tcW w:type="dxa" w:w="3456"/>
            <w:tcMar>
              <w:top w:w="100" w:type="dxa"/>
              <w:start w:w="120" w:type="dxa"/>
              <w:bottom w:w="100" w:type="dxa"/>
              <w:end w:w="120" w:type="dxa"/>
            </w:tcMar>
            <w:vAlign w:val="center"/>
          </w:tcPr>
          <w:p>
            <w:pPr>
              <w:spacing w:after="0"/>
            </w:pPr>
            <w:r>
              <w:rPr>
                <w:sz w:val="15"/>
              </w:rPr>
              <w:t>Portfolio only</w:t>
            </w:r>
          </w:p>
        </w:tc>
      </w:tr>
      <w:tr>
        <w:tc>
          <w:tcPr>
            <w:tcW w:type="dxa" w:w="1440"/>
            <w:tcMar>
              <w:top w:w="100" w:type="dxa"/>
              <w:start w:w="120" w:type="dxa"/>
              <w:bottom w:w="100" w:type="dxa"/>
              <w:end w:w="120" w:type="dxa"/>
            </w:tcMar>
            <w:vAlign w:val="center"/>
            <w:shd w:fill="F2F6FA"/>
          </w:tcPr>
          <w:p>
            <w:pPr>
              <w:spacing w:after="0"/>
              <w:jc w:val="center"/>
            </w:pPr>
            <w:r>
              <w:rPr>
                <w:sz w:val="15"/>
              </w:rPr>
              <w:t>Wave 0 evidence</w:t>
            </w:r>
          </w:p>
        </w:tc>
        <w:tc>
          <w:tcPr>
            <w:tcW w:type="dxa" w:w="4608"/>
            <w:tcMar>
              <w:top w:w="100" w:type="dxa"/>
              <w:start w:w="120" w:type="dxa"/>
              <w:bottom w:w="100" w:type="dxa"/>
              <w:end w:w="120" w:type="dxa"/>
            </w:tcMar>
            <w:vAlign w:val="center"/>
            <w:shd w:fill="F2F6FA"/>
          </w:tcPr>
          <w:p>
            <w:pPr>
              <w:spacing w:after="0"/>
            </w:pPr>
            <w:r>
              <w:rPr>
                <w:sz w:val="15"/>
              </w:rPr>
              <w:t>No dedicated Wave 0 artifact in the current Git branch</w:t>
            </w:r>
          </w:p>
        </w:tc>
        <w:tc>
          <w:tcPr>
            <w:tcW w:type="dxa" w:w="3456"/>
            <w:tcMar>
              <w:top w:w="100" w:type="dxa"/>
              <w:start w:w="120" w:type="dxa"/>
              <w:bottom w:w="100" w:type="dxa"/>
              <w:end w:w="120" w:type="dxa"/>
            </w:tcMar>
            <w:vAlign w:val="center"/>
            <w:shd w:fill="F2F6FA"/>
          </w:tcPr>
          <w:p>
            <w:pPr>
              <w:spacing w:after="0"/>
            </w:pPr>
            <w:r>
              <w:rPr>
                <w:sz w:val="15"/>
              </w:rPr>
              <w:t>Use project records and later discovery; retain as a documentation limitation</w:t>
            </w:r>
          </w:p>
        </w:tc>
      </w:tr>
      <w:tr>
        <w:tc>
          <w:tcPr>
            <w:tcW w:type="dxa" w:w="1440"/>
            <w:tcMar>
              <w:top w:w="100" w:type="dxa"/>
              <w:start w:w="120" w:type="dxa"/>
              <w:bottom w:w="100" w:type="dxa"/>
              <w:end w:w="120" w:type="dxa"/>
            </w:tcMar>
            <w:vAlign w:val="center"/>
          </w:tcPr>
          <w:p>
            <w:pPr>
              <w:spacing w:after="0"/>
              <w:jc w:val="center"/>
            </w:pPr>
            <w:r>
              <w:rPr>
                <w:sz w:val="15"/>
              </w:rPr>
              <w:t>Wave 3</w:t>
            </w:r>
          </w:p>
        </w:tc>
        <w:tc>
          <w:tcPr>
            <w:tcW w:type="dxa" w:w="4608"/>
            <w:tcMar>
              <w:top w:w="100" w:type="dxa"/>
              <w:start w:w="120" w:type="dxa"/>
              <w:bottom w:w="100" w:type="dxa"/>
              <w:end w:w="120" w:type="dxa"/>
            </w:tcMar>
            <w:vAlign w:val="center"/>
          </w:tcPr>
          <w:p>
            <w:pPr>
              <w:spacing w:after="0"/>
            </w:pPr>
            <w:r>
              <w:rPr>
                <w:sz w:val="15"/>
              </w:rPr>
              <w:t>Final 21 resources, IAM roles, HMAC value, alert destination, and live controls incomplete</w:t>
            </w:r>
          </w:p>
        </w:tc>
        <w:tc>
          <w:tcPr>
            <w:tcW w:type="dxa" w:w="3456"/>
            <w:tcMar>
              <w:top w:w="100" w:type="dxa"/>
              <w:start w:w="120" w:type="dxa"/>
              <w:bottom w:w="100" w:type="dxa"/>
              <w:end w:w="120" w:type="dxa"/>
            </w:tcMar>
            <w:vAlign w:val="center"/>
          </w:tcPr>
          <w:p>
            <w:pPr>
              <w:spacing w:after="0"/>
            </w:pPr>
            <w:r>
              <w:rPr>
                <w:sz w:val="15"/>
              </w:rPr>
              <w:t>Deployment deferred</w:t>
            </w:r>
          </w:p>
        </w:tc>
      </w:tr>
      <w:tr>
        <w:tc>
          <w:tcPr>
            <w:tcW w:type="dxa" w:w="1440"/>
            <w:tcMar>
              <w:top w:w="100" w:type="dxa"/>
              <w:start w:w="120" w:type="dxa"/>
              <w:bottom w:w="100" w:type="dxa"/>
              <w:end w:w="120" w:type="dxa"/>
            </w:tcMar>
            <w:vAlign w:val="center"/>
            <w:shd w:fill="F2F6FA"/>
          </w:tcPr>
          <w:p>
            <w:pPr>
              <w:spacing w:after="0"/>
              <w:jc w:val="center"/>
            </w:pPr>
            <w:r>
              <w:rPr>
                <w:sz w:val="15"/>
              </w:rPr>
              <w:t>Wave 4</w:t>
            </w:r>
          </w:p>
        </w:tc>
        <w:tc>
          <w:tcPr>
            <w:tcW w:type="dxa" w:w="4608"/>
            <w:tcMar>
              <w:top w:w="100" w:type="dxa"/>
              <w:start w:w="120" w:type="dxa"/>
              <w:bottom w:w="100" w:type="dxa"/>
              <w:end w:w="120" w:type="dxa"/>
            </w:tcMar>
            <w:vAlign w:val="center"/>
            <w:shd w:fill="F2F6FA"/>
          </w:tcPr>
          <w:p>
            <w:pPr>
              <w:spacing w:after="0"/>
            </w:pPr>
            <w:r>
              <w:rPr>
                <w:sz w:val="15"/>
              </w:rPr>
              <w:t>Vendor, schema, provider contract, connectivity, and clinical requirements absent</w:t>
            </w:r>
          </w:p>
        </w:tc>
        <w:tc>
          <w:tcPr>
            <w:tcW w:type="dxa" w:w="3456"/>
            <w:tcMar>
              <w:top w:w="100" w:type="dxa"/>
              <w:start w:w="120" w:type="dxa"/>
              <w:bottom w:w="100" w:type="dxa"/>
              <w:end w:w="120" w:type="dxa"/>
            </w:tcMar>
            <w:vAlign w:val="center"/>
            <w:shd w:fill="F2F6FA"/>
          </w:tcPr>
          <w:p>
            <w:pPr>
              <w:spacing w:after="0"/>
            </w:pPr>
            <w:r>
              <w:rPr>
                <w:sz w:val="15"/>
              </w:rPr>
              <w:t>Design validated only</w:t>
            </w:r>
          </w:p>
        </w:tc>
      </w:tr>
      <w:tr>
        <w:tc>
          <w:tcPr>
            <w:tcW w:type="dxa" w:w="1440"/>
            <w:tcMar>
              <w:top w:w="100" w:type="dxa"/>
              <w:start w:w="120" w:type="dxa"/>
              <w:bottom w:w="100" w:type="dxa"/>
              <w:end w:w="120" w:type="dxa"/>
            </w:tcMar>
            <w:vAlign w:val="center"/>
          </w:tcPr>
          <w:p>
            <w:pPr>
              <w:spacing w:after="0"/>
              <w:jc w:val="center"/>
            </w:pPr>
            <w:r>
              <w:rPr>
                <w:sz w:val="15"/>
              </w:rPr>
              <w:t>Wave 5</w:t>
            </w:r>
          </w:p>
        </w:tc>
        <w:tc>
          <w:tcPr>
            <w:tcW w:type="dxa" w:w="4608"/>
            <w:tcMar>
              <w:top w:w="100" w:type="dxa"/>
              <w:start w:w="120" w:type="dxa"/>
              <w:bottom w:w="100" w:type="dxa"/>
              <w:end w:w="120" w:type="dxa"/>
            </w:tcMar>
            <w:vAlign w:val="center"/>
          </w:tcPr>
          <w:p>
            <w:pPr>
              <w:spacing w:after="0"/>
            </w:pPr>
            <w:r>
              <w:rPr>
                <w:sz w:val="15"/>
              </w:rPr>
              <w:t>Source inventory, route, RPO/RTO, CDC threshold, compatibility, and clinical UAT absent</w:t>
            </w:r>
          </w:p>
        </w:tc>
        <w:tc>
          <w:tcPr>
            <w:tcW w:type="dxa" w:w="3456"/>
            <w:tcMar>
              <w:top w:w="100" w:type="dxa"/>
              <w:start w:w="120" w:type="dxa"/>
              <w:bottom w:w="100" w:type="dxa"/>
              <w:end w:w="120" w:type="dxa"/>
            </w:tcMar>
            <w:vAlign w:val="center"/>
          </w:tcPr>
          <w:p>
            <w:pPr>
              <w:spacing w:after="0"/>
            </w:pPr>
            <w:r>
              <w:rPr>
                <w:sz w:val="15"/>
              </w:rPr>
              <w:t>Design validated only</w:t>
            </w:r>
          </w:p>
        </w:tc>
      </w:tr>
      <w:tr>
        <w:tc>
          <w:tcPr>
            <w:tcW w:type="dxa" w:w="1440"/>
            <w:tcMar>
              <w:top w:w="100" w:type="dxa"/>
              <w:start w:w="120" w:type="dxa"/>
              <w:bottom w:w="100" w:type="dxa"/>
              <w:end w:w="120" w:type="dxa"/>
            </w:tcMar>
            <w:vAlign w:val="center"/>
            <w:shd w:fill="F2F6FA"/>
          </w:tcPr>
          <w:p>
            <w:pPr>
              <w:spacing w:after="0"/>
              <w:jc w:val="center"/>
            </w:pPr>
            <w:r>
              <w:rPr>
                <w:sz w:val="15"/>
              </w:rPr>
              <w:t>Wave 6</w:t>
            </w:r>
          </w:p>
        </w:tc>
        <w:tc>
          <w:tcPr>
            <w:tcW w:type="dxa" w:w="4608"/>
            <w:tcMar>
              <w:top w:w="100" w:type="dxa"/>
              <w:start w:w="120" w:type="dxa"/>
              <w:bottom w:w="100" w:type="dxa"/>
              <w:end w:w="120" w:type="dxa"/>
            </w:tcMar>
            <w:vAlign w:val="center"/>
            <w:shd w:fill="F2F6FA"/>
          </w:tcPr>
          <w:p>
            <w:pPr>
              <w:spacing w:after="0"/>
            </w:pPr>
            <w:r>
              <w:rPr>
                <w:sz w:val="15"/>
              </w:rPr>
              <w:t>ISP public connectivity unavailable; tunnels down; no accepted prefixes or private routes</w:t>
            </w:r>
          </w:p>
        </w:tc>
        <w:tc>
          <w:tcPr>
            <w:tcW w:type="dxa" w:w="3456"/>
            <w:tcMar>
              <w:top w:w="100" w:type="dxa"/>
              <w:start w:w="120" w:type="dxa"/>
              <w:bottom w:w="100" w:type="dxa"/>
              <w:end w:w="120" w:type="dxa"/>
            </w:tcMar>
            <w:vAlign w:val="center"/>
            <w:shd w:fill="F2F6FA"/>
          </w:tcPr>
          <w:p>
            <w:pPr>
              <w:spacing w:after="0"/>
            </w:pPr>
            <w:r>
              <w:rPr>
                <w:sz w:val="15"/>
              </w:rPr>
              <w:t>Workstream terminated</w:t>
            </w:r>
          </w:p>
        </w:tc>
      </w:tr>
      <w:tr>
        <w:tc>
          <w:tcPr>
            <w:tcW w:type="dxa" w:w="1440"/>
            <w:tcMar>
              <w:top w:w="100" w:type="dxa"/>
              <w:start w:w="120" w:type="dxa"/>
              <w:bottom w:w="100" w:type="dxa"/>
              <w:end w:w="120" w:type="dxa"/>
            </w:tcMar>
            <w:vAlign w:val="center"/>
          </w:tcPr>
          <w:p>
            <w:pPr>
              <w:spacing w:after="0"/>
              <w:jc w:val="center"/>
            </w:pPr>
            <w:r>
              <w:rPr>
                <w:sz w:val="15"/>
              </w:rPr>
              <w:t>Backups</w:t>
            </w:r>
          </w:p>
        </w:tc>
        <w:tc>
          <w:tcPr>
            <w:tcW w:type="dxa" w:w="4608"/>
            <w:tcMar>
              <w:top w:w="100" w:type="dxa"/>
              <w:start w:w="120" w:type="dxa"/>
              <w:bottom w:w="100" w:type="dxa"/>
              <w:end w:w="120" w:type="dxa"/>
            </w:tcMar>
            <w:vAlign w:val="center"/>
          </w:tcPr>
          <w:p>
            <w:pPr>
              <w:spacing w:after="0"/>
            </w:pPr>
            <w:r>
              <w:rPr>
                <w:sz w:val="15"/>
              </w:rPr>
              <w:t>FSx retention was observed as zero days during Wave 6 discovery</w:t>
            </w:r>
          </w:p>
        </w:tc>
        <w:tc>
          <w:tcPr>
            <w:tcW w:type="dxa" w:w="3456"/>
            <w:tcMar>
              <w:top w:w="100" w:type="dxa"/>
              <w:start w:w="120" w:type="dxa"/>
              <w:bottom w:w="100" w:type="dxa"/>
              <w:end w:w="120" w:type="dxa"/>
            </w:tcMar>
            <w:vAlign w:val="center"/>
          </w:tcPr>
          <w:p>
            <w:pPr>
              <w:spacing w:after="0"/>
            </w:pPr>
            <w:r>
              <w:rPr>
                <w:sz w:val="15"/>
              </w:rPr>
              <w:t>Open resilience concern; no mutation in closeout</w:t>
            </w:r>
          </w:p>
        </w:tc>
      </w:tr>
      <w:tr>
        <w:tc>
          <w:tcPr>
            <w:tcW w:type="dxa" w:w="1440"/>
            <w:tcMar>
              <w:top w:w="100" w:type="dxa"/>
              <w:start w:w="120" w:type="dxa"/>
              <w:bottom w:w="100" w:type="dxa"/>
              <w:end w:w="120" w:type="dxa"/>
            </w:tcMar>
            <w:vAlign w:val="center"/>
            <w:shd w:fill="F2F6FA"/>
          </w:tcPr>
          <w:p>
            <w:pPr>
              <w:spacing w:after="0"/>
              <w:jc w:val="center"/>
            </w:pPr>
            <w:r>
              <w:rPr>
                <w:sz w:val="15"/>
              </w:rPr>
              <w:t>Logging</w:t>
            </w:r>
          </w:p>
        </w:tc>
        <w:tc>
          <w:tcPr>
            <w:tcW w:type="dxa" w:w="4608"/>
            <w:tcMar>
              <w:top w:w="100" w:type="dxa"/>
              <w:start w:w="120" w:type="dxa"/>
              <w:bottom w:w="100" w:type="dxa"/>
              <w:end w:w="120" w:type="dxa"/>
            </w:tcMar>
            <w:vAlign w:val="center"/>
            <w:shd w:fill="F2F6FA"/>
          </w:tcPr>
          <w:p>
            <w:pPr>
              <w:spacing w:after="0"/>
            </w:pPr>
            <w:r>
              <w:rPr>
                <w:sz w:val="15"/>
              </w:rPr>
              <w:t>One VPN tunnel lacked logging; retention, KMS, metric filters, and alarms were incomplete</w:t>
            </w:r>
          </w:p>
        </w:tc>
        <w:tc>
          <w:tcPr>
            <w:tcW w:type="dxa" w:w="3456"/>
            <w:tcMar>
              <w:top w:w="100" w:type="dxa"/>
              <w:start w:w="120" w:type="dxa"/>
              <w:bottom w:w="100" w:type="dxa"/>
              <w:end w:w="120" w:type="dxa"/>
            </w:tcMar>
            <w:vAlign w:val="center"/>
            <w:shd w:fill="F2F6FA"/>
          </w:tcPr>
          <w:p>
            <w:pPr>
              <w:spacing w:after="0"/>
            </w:pPr>
            <w:r>
              <w:rPr>
                <w:sz w:val="15"/>
              </w:rPr>
              <w:t>Recorded as discovery finding</w:t>
            </w:r>
          </w:p>
        </w:tc>
      </w:tr>
      <w:tr>
        <w:tc>
          <w:tcPr>
            <w:tcW w:type="dxa" w:w="1440"/>
            <w:tcMar>
              <w:top w:w="100" w:type="dxa"/>
              <w:start w:w="120" w:type="dxa"/>
              <w:bottom w:w="100" w:type="dxa"/>
              <w:end w:w="120" w:type="dxa"/>
            </w:tcMar>
            <w:vAlign w:val="center"/>
          </w:tcPr>
          <w:p>
            <w:pPr>
              <w:spacing w:after="0"/>
              <w:jc w:val="center"/>
            </w:pPr>
            <w:r>
              <w:rPr>
                <w:sz w:val="15"/>
              </w:rPr>
              <w:t>Cost</w:t>
            </w:r>
          </w:p>
        </w:tc>
        <w:tc>
          <w:tcPr>
            <w:tcW w:type="dxa" w:w="4608"/>
            <w:tcMar>
              <w:top w:w="100" w:type="dxa"/>
              <w:start w:w="120" w:type="dxa"/>
              <w:bottom w:w="100" w:type="dxa"/>
              <w:end w:w="120" w:type="dxa"/>
            </w:tcMar>
            <w:vAlign w:val="center"/>
          </w:tcPr>
          <w:p>
            <w:pPr>
              <w:spacing w:after="0"/>
            </w:pPr>
            <w:r>
              <w:rPr>
                <w:sz w:val="15"/>
              </w:rPr>
              <w:t>Deployed Wave 3 and existing VPN resources may continue to incur charges</w:t>
            </w:r>
          </w:p>
        </w:tc>
        <w:tc>
          <w:tcPr>
            <w:tcW w:type="dxa" w:w="3456"/>
            <w:tcMar>
              <w:top w:w="100" w:type="dxa"/>
              <w:start w:w="120" w:type="dxa"/>
              <w:bottom w:w="100" w:type="dxa"/>
              <w:end w:w="120" w:type="dxa"/>
            </w:tcMar>
            <w:vAlign w:val="center"/>
          </w:tcPr>
          <w:p>
            <w:pPr>
              <w:spacing w:after="0"/>
            </w:pPr>
            <w:r>
              <w:rPr>
                <w:sz w:val="15"/>
              </w:rPr>
              <w:t>Separate inventory and decommission approval required</w:t>
            </w:r>
          </w:p>
        </w:tc>
      </w:tr>
    </w:tbl>
    <w:p>
      <w:pPr>
        <w:spacing w:after="20"/>
      </w:pPr>
    </w:p>
    <w:p>
      <w:pPr>
        <w:pStyle w:val="Heading1"/>
        <w:pageBreakBefore/>
      </w:pPr>
      <w:r>
        <w:t>Final Closure Statement</w:t>
      </w:r>
    </w:p>
    <w:p>
      <w:r>
        <w:t>The clinic-cloud-iac portfolio is formally closed through Wave 6 as of 28 September 2026. W0, W1, and W2 are CLOSED - PASS. W3 is ENGINEERING CLOSED - DEPLOYMENT DEFERRED. W4 and W5 are DESIGN VALIDATED - NOT DEPLOYED. W6 is TERMINATED - EXTERNAL CONNECTIVITY PREREQUISITE UNAVAILABLE.</w:t>
      </w:r>
    </w:p>
    <w:p>
      <w:r>
        <w:t>This closure preserves the implemented infrastructure and code history, the validated designs, the incident and recovery lessons, the owner-controlled IAM and secrets boundary, the cost decisions, and the evidence limitations. It authorizes no Terraform apply, AWS mutation, IAM change, secret provisioning, VPN change, migration, cutover, decommissioning, Git push, or production claim.</w:t>
      </w:r>
    </w:p>
    <w:p>
      <w:r>
        <w:t>Any future resumption must begin as a new governed phase with current identity verification, refreshed discovery, new requirements, a new Terraform plan where applicable, security and cost review, explicit owner approval, and new evidence. No saved plan referenced by this closeout is authorized for reuse.</w:t>
      </w:r>
    </w:p>
    <w:p>
      <w:pPr>
        <w:pStyle w:val="Heading1"/>
        <w:pageBreakBefore/>
      </w:pPr>
      <w:r>
        <w:t>Appendices</w:t>
      </w:r>
    </w:p>
    <w:p>
      <w:pPr>
        <w:pStyle w:val="Heading2"/>
      </w:pPr>
      <w:r>
        <w:t>Appendix A Final Status Register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76"/>
        <w:gridCol w:w="1976"/>
        <w:gridCol w:w="1976"/>
        <w:gridCol w:w="1976"/>
        <w:gridCol w:w="1976"/>
      </w:tblGrid>
      <w:tr>
        <w:trPr>
          <w:tblHeader w:val="true"/>
        </w:trPr>
        <w:tc>
          <w:tcPr>
            <w:tcW w:type="dxa" w:w="720"/>
            <w:shd w:fill="1F4E78"/>
            <w:tcMar>
              <w:top w:w="100" w:type="dxa"/>
              <w:start w:w="120" w:type="dxa"/>
              <w:bottom w:w="100" w:type="dxa"/>
              <w:end w:w="120" w:type="dxa"/>
            </w:tcMar>
            <w:vAlign w:val="center"/>
          </w:tcPr>
          <w:p>
            <w:pPr>
              <w:spacing w:after="0"/>
              <w:jc w:val="center"/>
            </w:pPr>
            <w:r>
              <w:rPr>
                <w:b/>
                <w:color w:val="FFFFFF"/>
                <w:sz w:val="14"/>
              </w:rPr>
              <w:t>Wave</w:t>
            </w:r>
          </w:p>
        </w:tc>
        <w:tc>
          <w:tcPr>
            <w:tcW w:type="dxa" w:w="1728"/>
            <w:shd w:fill="1F4E78"/>
            <w:tcMar>
              <w:top w:w="100" w:type="dxa"/>
              <w:start w:w="120" w:type="dxa"/>
              <w:bottom w:w="100" w:type="dxa"/>
              <w:end w:w="120" w:type="dxa"/>
            </w:tcMar>
            <w:vAlign w:val="center"/>
          </w:tcPr>
          <w:p>
            <w:pPr>
              <w:spacing w:after="0"/>
              <w:jc w:val="center"/>
            </w:pPr>
            <w:r>
              <w:rPr>
                <w:b/>
                <w:color w:val="FFFFFF"/>
                <w:sz w:val="14"/>
              </w:rPr>
              <w:t>Topic</w:t>
            </w:r>
          </w:p>
        </w:tc>
        <w:tc>
          <w:tcPr>
            <w:tcW w:type="dxa" w:w="2448"/>
            <w:shd w:fill="1F4E78"/>
            <w:tcMar>
              <w:top w:w="100" w:type="dxa"/>
              <w:start w:w="120" w:type="dxa"/>
              <w:bottom w:w="100" w:type="dxa"/>
              <w:end w:w="120" w:type="dxa"/>
            </w:tcMar>
            <w:vAlign w:val="center"/>
          </w:tcPr>
          <w:p>
            <w:pPr>
              <w:spacing w:after="0"/>
              <w:jc w:val="center"/>
            </w:pPr>
            <w:r>
              <w:rPr>
                <w:b/>
                <w:color w:val="FFFFFF"/>
                <w:sz w:val="14"/>
              </w:rPr>
              <w:t>Final Status</w:t>
            </w:r>
          </w:p>
        </w:tc>
        <w:tc>
          <w:tcPr>
            <w:tcW w:type="dxa" w:w="1800"/>
            <w:shd w:fill="1F4E78"/>
            <w:tcMar>
              <w:top w:w="100" w:type="dxa"/>
              <w:start w:w="120" w:type="dxa"/>
              <w:bottom w:w="100" w:type="dxa"/>
              <w:end w:w="120" w:type="dxa"/>
            </w:tcMar>
            <w:vAlign w:val="center"/>
          </w:tcPr>
          <w:p>
            <w:pPr>
              <w:spacing w:after="0"/>
              <w:jc w:val="center"/>
            </w:pPr>
            <w:r>
              <w:rPr>
                <w:b/>
                <w:color w:val="FFFFFF"/>
                <w:sz w:val="14"/>
              </w:rPr>
              <w:t>Delivery Class</w:t>
            </w:r>
          </w:p>
        </w:tc>
        <w:tc>
          <w:tcPr>
            <w:tcW w:type="dxa" w:w="2880"/>
            <w:shd w:fill="1F4E78"/>
            <w:tcMar>
              <w:top w:w="100" w:type="dxa"/>
              <w:start w:w="120" w:type="dxa"/>
              <w:bottom w:w="100" w:type="dxa"/>
              <w:end w:w="120" w:type="dxa"/>
            </w:tcMar>
            <w:vAlign w:val="center"/>
          </w:tcPr>
          <w:p>
            <w:pPr>
              <w:spacing w:after="0"/>
              <w:jc w:val="center"/>
            </w:pPr>
            <w:r>
              <w:rPr>
                <w:b/>
                <w:color w:val="FFFFFF"/>
                <w:sz w:val="14"/>
              </w:rPr>
              <w:t>Closeout Basis</w:t>
            </w:r>
          </w:p>
        </w:tc>
      </w:tr>
      <w:tr>
        <w:tc>
          <w:tcPr>
            <w:tcW w:type="dxa" w:w="720"/>
            <w:tcMar>
              <w:top w:w="100" w:type="dxa"/>
              <w:start w:w="120" w:type="dxa"/>
              <w:bottom w:w="100" w:type="dxa"/>
              <w:end w:w="120" w:type="dxa"/>
            </w:tcMar>
            <w:vAlign w:val="center"/>
          </w:tcPr>
          <w:p>
            <w:pPr>
              <w:spacing w:after="0"/>
              <w:jc w:val="center"/>
            </w:pPr>
            <w:r>
              <w:rPr>
                <w:sz w:val="14"/>
              </w:rPr>
              <w:t>W0</w:t>
            </w:r>
          </w:p>
        </w:tc>
        <w:tc>
          <w:tcPr>
            <w:tcW w:type="dxa" w:w="1728"/>
            <w:tcMar>
              <w:top w:w="100" w:type="dxa"/>
              <w:start w:w="120" w:type="dxa"/>
              <w:bottom w:w="100" w:type="dxa"/>
              <w:end w:w="120" w:type="dxa"/>
            </w:tcMar>
            <w:vAlign w:val="center"/>
          </w:tcPr>
          <w:p>
            <w:pPr>
              <w:spacing w:after="0"/>
            </w:pPr>
            <w:r>
              <w:rPr>
                <w:sz w:val="14"/>
              </w:rPr>
              <w:t>Project and account foundation</w:t>
            </w:r>
          </w:p>
        </w:tc>
        <w:tc>
          <w:tcPr>
            <w:tcW w:type="dxa" w:w="2448"/>
            <w:tcMar>
              <w:top w:w="100" w:type="dxa"/>
              <w:start w:w="120" w:type="dxa"/>
              <w:bottom w:w="100" w:type="dxa"/>
              <w:end w:w="120" w:type="dxa"/>
            </w:tcMar>
            <w:vAlign w:val="center"/>
          </w:tcPr>
          <w:p>
            <w:pPr>
              <w:spacing w:after="0"/>
            </w:pPr>
            <w:r>
              <w:rPr>
                <w:sz w:val="14"/>
              </w:rPr>
              <w:t>CLOSED - PASS</w:t>
            </w:r>
          </w:p>
        </w:tc>
        <w:tc>
          <w:tcPr>
            <w:tcW w:type="dxa" w:w="1800"/>
            <w:tcMar>
              <w:top w:w="100" w:type="dxa"/>
              <w:start w:w="120" w:type="dxa"/>
              <w:bottom w:w="100" w:type="dxa"/>
              <w:end w:w="120" w:type="dxa"/>
            </w:tcMar>
            <w:vAlign w:val="center"/>
          </w:tcPr>
          <w:p>
            <w:pPr>
              <w:spacing w:after="0"/>
            </w:pPr>
            <w:r>
              <w:rPr>
                <w:sz w:val="14"/>
              </w:rPr>
              <w:t>Implemented foundation</w:t>
            </w:r>
          </w:p>
        </w:tc>
        <w:tc>
          <w:tcPr>
            <w:tcW w:type="dxa" w:w="2880"/>
            <w:tcMar>
              <w:top w:w="100" w:type="dxa"/>
              <w:start w:w="120" w:type="dxa"/>
              <w:bottom w:w="100" w:type="dxa"/>
              <w:end w:w="120" w:type="dxa"/>
            </w:tcMar>
            <w:vAlign w:val="center"/>
          </w:tcPr>
          <w:p>
            <w:pPr>
              <w:spacing w:after="0"/>
            </w:pPr>
            <w:r>
              <w:rPr>
                <w:sz w:val="14"/>
              </w:rPr>
              <w:t>Landing-zone direction, nonproduction account, identity access, regional/service discovery, private platform baseline, and recovery groundwork.</w:t>
            </w:r>
          </w:p>
        </w:tc>
      </w:tr>
      <w:tr>
        <w:tc>
          <w:tcPr>
            <w:tcW w:type="dxa" w:w="720"/>
            <w:tcMar>
              <w:top w:w="100" w:type="dxa"/>
              <w:start w:w="120" w:type="dxa"/>
              <w:bottom w:w="100" w:type="dxa"/>
              <w:end w:w="120" w:type="dxa"/>
            </w:tcMar>
            <w:vAlign w:val="center"/>
            <w:shd w:fill="F2F6FA"/>
          </w:tcPr>
          <w:p>
            <w:pPr>
              <w:spacing w:after="0"/>
              <w:jc w:val="center"/>
            </w:pPr>
            <w:r>
              <w:rPr>
                <w:sz w:val="14"/>
              </w:rPr>
              <w:t>W1</w:t>
            </w:r>
          </w:p>
        </w:tc>
        <w:tc>
          <w:tcPr>
            <w:tcW w:type="dxa" w:w="1728"/>
            <w:tcMar>
              <w:top w:w="100" w:type="dxa"/>
              <w:start w:w="120" w:type="dxa"/>
              <w:bottom w:w="100" w:type="dxa"/>
              <w:end w:w="120" w:type="dxa"/>
            </w:tcMar>
            <w:vAlign w:val="center"/>
            <w:shd w:fill="F2F6FA"/>
          </w:tcPr>
          <w:p>
            <w:pPr>
              <w:spacing w:after="0"/>
            </w:pPr>
            <w:r>
              <w:rPr>
                <w:sz w:val="14"/>
              </w:rPr>
              <w:t>Terraform and IaC foundation</w:t>
            </w:r>
          </w:p>
        </w:tc>
        <w:tc>
          <w:tcPr>
            <w:tcW w:type="dxa" w:w="2448"/>
            <w:tcMar>
              <w:top w:w="100" w:type="dxa"/>
              <w:start w:w="120" w:type="dxa"/>
              <w:bottom w:w="100" w:type="dxa"/>
              <w:end w:w="120" w:type="dxa"/>
            </w:tcMar>
            <w:vAlign w:val="center"/>
            <w:shd w:fill="F2F6FA"/>
          </w:tcPr>
          <w:p>
            <w:pPr>
              <w:spacing w:after="0"/>
            </w:pPr>
            <w:r>
              <w:rPr>
                <w:sz w:val="14"/>
              </w:rPr>
              <w:t>CLOSED - PASS</w:t>
            </w:r>
          </w:p>
        </w:tc>
        <w:tc>
          <w:tcPr>
            <w:tcW w:type="dxa" w:w="1800"/>
            <w:tcMar>
              <w:top w:w="100" w:type="dxa"/>
              <w:start w:w="120" w:type="dxa"/>
              <w:bottom w:w="100" w:type="dxa"/>
              <w:end w:w="120" w:type="dxa"/>
            </w:tcMar>
            <w:vAlign w:val="center"/>
            <w:shd w:fill="F2F6FA"/>
          </w:tcPr>
          <w:p>
            <w:pPr>
              <w:spacing w:after="0"/>
            </w:pPr>
            <w:r>
              <w:rPr>
                <w:sz w:val="14"/>
              </w:rPr>
              <w:t>Implemented and validated</w:t>
            </w:r>
          </w:p>
        </w:tc>
        <w:tc>
          <w:tcPr>
            <w:tcW w:type="dxa" w:w="2880"/>
            <w:tcMar>
              <w:top w:w="100" w:type="dxa"/>
              <w:start w:w="120" w:type="dxa"/>
              <w:bottom w:w="100" w:type="dxa"/>
              <w:end w:w="120" w:type="dxa"/>
            </w:tcMar>
            <w:vAlign w:val="center"/>
            <w:shd w:fill="F2F6FA"/>
          </w:tcPr>
          <w:p>
            <w:pPr>
              <w:spacing w:after="0"/>
            </w:pPr>
            <w:r>
              <w:rPr>
                <w:sz w:val="14"/>
              </w:rPr>
              <w:t>Terraform workflow, state protection, import/lifecycle, drift reconciliation, remote S3 state, locking, and repository hygiene.</w:t>
            </w:r>
          </w:p>
        </w:tc>
      </w:tr>
      <w:tr>
        <w:tc>
          <w:tcPr>
            <w:tcW w:type="dxa" w:w="720"/>
            <w:tcMar>
              <w:top w:w="100" w:type="dxa"/>
              <w:start w:w="120" w:type="dxa"/>
              <w:bottom w:w="100" w:type="dxa"/>
              <w:end w:w="120" w:type="dxa"/>
            </w:tcMar>
            <w:vAlign w:val="center"/>
          </w:tcPr>
          <w:p>
            <w:pPr>
              <w:spacing w:after="0"/>
              <w:jc w:val="center"/>
            </w:pPr>
            <w:r>
              <w:rPr>
                <w:sz w:val="14"/>
              </w:rPr>
              <w:t>W2</w:t>
            </w:r>
          </w:p>
        </w:tc>
        <w:tc>
          <w:tcPr>
            <w:tcW w:type="dxa" w:w="1728"/>
            <w:tcMar>
              <w:top w:w="100" w:type="dxa"/>
              <w:start w:w="120" w:type="dxa"/>
              <w:bottom w:w="100" w:type="dxa"/>
              <w:end w:w="120" w:type="dxa"/>
            </w:tcMar>
            <w:vAlign w:val="center"/>
          </w:tcPr>
          <w:p>
            <w:pPr>
              <w:spacing w:after="0"/>
            </w:pPr>
            <w:r>
              <w:rPr>
                <w:sz w:val="14"/>
              </w:rPr>
              <w:t>Network foundation and reconciliation</w:t>
            </w:r>
          </w:p>
        </w:tc>
        <w:tc>
          <w:tcPr>
            <w:tcW w:type="dxa" w:w="2448"/>
            <w:tcMar>
              <w:top w:w="100" w:type="dxa"/>
              <w:start w:w="120" w:type="dxa"/>
              <w:bottom w:w="100" w:type="dxa"/>
              <w:end w:w="120" w:type="dxa"/>
            </w:tcMar>
            <w:vAlign w:val="center"/>
          </w:tcPr>
          <w:p>
            <w:pPr>
              <w:spacing w:after="0"/>
            </w:pPr>
            <w:r>
              <w:rPr>
                <w:sz w:val="14"/>
              </w:rPr>
              <w:t>CLOSED - PASS</w:t>
            </w:r>
          </w:p>
        </w:tc>
        <w:tc>
          <w:tcPr>
            <w:tcW w:type="dxa" w:w="1800"/>
            <w:tcMar>
              <w:top w:w="100" w:type="dxa"/>
              <w:start w:w="120" w:type="dxa"/>
              <w:bottom w:w="100" w:type="dxa"/>
              <w:end w:w="120" w:type="dxa"/>
            </w:tcMar>
            <w:vAlign w:val="center"/>
          </w:tcPr>
          <w:p>
            <w:pPr>
              <w:spacing w:after="0"/>
            </w:pPr>
            <w:r>
              <w:rPr>
                <w:sz w:val="14"/>
              </w:rPr>
              <w:t>Implemented and validated</w:t>
            </w:r>
          </w:p>
        </w:tc>
        <w:tc>
          <w:tcPr>
            <w:tcW w:type="dxa" w:w="2880"/>
            <w:tcMar>
              <w:top w:w="100" w:type="dxa"/>
              <w:start w:w="120" w:type="dxa"/>
              <w:bottom w:w="100" w:type="dxa"/>
              <w:end w:w="120" w:type="dxa"/>
            </w:tcMar>
            <w:vAlign w:val="center"/>
          </w:tcPr>
          <w:p>
            <w:pPr>
              <w:spacing w:after="0"/>
            </w:pPr>
            <w:r>
              <w:rPr>
                <w:sz w:val="14"/>
              </w:rPr>
              <w:t>Existing network adoption, modular refactor, private routing, security-group reconciliation, and an S3 gateway endpoint scoped to private route tables.</w:t>
            </w:r>
          </w:p>
        </w:tc>
      </w:tr>
      <w:tr>
        <w:tc>
          <w:tcPr>
            <w:tcW w:type="dxa" w:w="720"/>
            <w:tcMar>
              <w:top w:w="100" w:type="dxa"/>
              <w:start w:w="120" w:type="dxa"/>
              <w:bottom w:w="100" w:type="dxa"/>
              <w:end w:w="120" w:type="dxa"/>
            </w:tcMar>
            <w:vAlign w:val="center"/>
            <w:shd w:fill="F2F6FA"/>
          </w:tcPr>
          <w:p>
            <w:pPr>
              <w:spacing w:after="0"/>
              <w:jc w:val="center"/>
            </w:pPr>
            <w:r>
              <w:rPr>
                <w:sz w:val="14"/>
              </w:rPr>
              <w:t>W3</w:t>
            </w:r>
          </w:p>
        </w:tc>
        <w:tc>
          <w:tcPr>
            <w:tcW w:type="dxa" w:w="1728"/>
            <w:tcMar>
              <w:top w:w="100" w:type="dxa"/>
              <w:start w:w="120" w:type="dxa"/>
              <w:bottom w:w="100" w:type="dxa"/>
              <w:end w:w="120" w:type="dxa"/>
            </w:tcMar>
            <w:vAlign w:val="center"/>
            <w:shd w:fill="F2F6FA"/>
          </w:tcPr>
          <w:p>
            <w:pPr>
              <w:spacing w:after="0"/>
            </w:pPr>
            <w:r>
              <w:rPr>
                <w:sz w:val="14"/>
              </w:rPr>
              <w:t>Appointment API workflow</w:t>
            </w:r>
          </w:p>
        </w:tc>
        <w:tc>
          <w:tcPr>
            <w:tcW w:type="dxa" w:w="2448"/>
            <w:tcMar>
              <w:top w:w="100" w:type="dxa"/>
              <w:start w:w="120" w:type="dxa"/>
              <w:bottom w:w="100" w:type="dxa"/>
              <w:end w:w="120" w:type="dxa"/>
            </w:tcMar>
            <w:vAlign w:val="center"/>
            <w:shd w:fill="F2F6FA"/>
          </w:tcPr>
          <w:p>
            <w:pPr>
              <w:spacing w:after="0"/>
            </w:pPr>
            <w:r>
              <w:rPr>
                <w:sz w:val="14"/>
              </w:rPr>
              <w:t>ENGINEERING CLOSED - DEPLOYMENT DEFERRED</w:t>
            </w:r>
          </w:p>
        </w:tc>
        <w:tc>
          <w:tcPr>
            <w:tcW w:type="dxa" w:w="1800"/>
            <w:tcMar>
              <w:top w:w="100" w:type="dxa"/>
              <w:start w:w="120" w:type="dxa"/>
              <w:bottom w:w="100" w:type="dxa"/>
              <w:end w:w="120" w:type="dxa"/>
            </w:tcMar>
            <w:vAlign w:val="center"/>
            <w:shd w:fill="F2F6FA"/>
          </w:tcPr>
          <w:p>
            <w:pPr>
              <w:spacing w:after="0"/>
            </w:pPr>
            <w:r>
              <w:rPr>
                <w:sz w:val="14"/>
              </w:rPr>
              <w:t>Partially deployed; engineering validated</w:t>
            </w:r>
          </w:p>
        </w:tc>
        <w:tc>
          <w:tcPr>
            <w:tcW w:type="dxa" w:w="2880"/>
            <w:tcMar>
              <w:top w:w="100" w:type="dxa"/>
              <w:start w:w="120" w:type="dxa"/>
              <w:bottom w:w="100" w:type="dxa"/>
              <w:end w:w="120" w:type="dxa"/>
            </w:tcMar>
            <w:vAlign w:val="center"/>
            <w:shd w:fill="F2F6FA"/>
          </w:tcPr>
          <w:p>
            <w:pPr>
              <w:spacing w:after="0"/>
            </w:pPr>
            <w:r>
              <w:rPr>
                <w:sz w:val="14"/>
              </w:rPr>
              <w:t>Secure serverless workflow engineered with 205 passing tests. Thirty Terraform-managed resources exist; the reviewed remaining 21 non-IAM resources were not deployed.</w:t>
            </w:r>
          </w:p>
        </w:tc>
      </w:tr>
      <w:tr>
        <w:tc>
          <w:tcPr>
            <w:tcW w:type="dxa" w:w="720"/>
            <w:tcMar>
              <w:top w:w="100" w:type="dxa"/>
              <w:start w:w="120" w:type="dxa"/>
              <w:bottom w:w="100" w:type="dxa"/>
              <w:end w:w="120" w:type="dxa"/>
            </w:tcMar>
            <w:vAlign w:val="center"/>
          </w:tcPr>
          <w:p>
            <w:pPr>
              <w:spacing w:after="0"/>
              <w:jc w:val="center"/>
            </w:pPr>
            <w:r>
              <w:rPr>
                <w:sz w:val="14"/>
              </w:rPr>
              <w:t>W4</w:t>
            </w:r>
          </w:p>
        </w:tc>
        <w:tc>
          <w:tcPr>
            <w:tcW w:type="dxa" w:w="1728"/>
            <w:tcMar>
              <w:top w:w="100" w:type="dxa"/>
              <w:start w:w="120" w:type="dxa"/>
              <w:bottom w:w="100" w:type="dxa"/>
              <w:end w:w="120" w:type="dxa"/>
            </w:tcMar>
            <w:vAlign w:val="center"/>
          </w:tcPr>
          <w:p>
            <w:pPr>
              <w:spacing w:after="0"/>
            </w:pPr>
            <w:r>
              <w:rPr>
                <w:sz w:val="14"/>
              </w:rPr>
              <w:t>Pharmacy migration</w:t>
            </w:r>
          </w:p>
        </w:tc>
        <w:tc>
          <w:tcPr>
            <w:tcW w:type="dxa" w:w="2448"/>
            <w:tcMar>
              <w:top w:w="100" w:type="dxa"/>
              <w:start w:w="120" w:type="dxa"/>
              <w:bottom w:w="100" w:type="dxa"/>
              <w:end w:w="120" w:type="dxa"/>
            </w:tcMar>
            <w:vAlign w:val="center"/>
          </w:tcPr>
          <w:p>
            <w:pPr>
              <w:spacing w:after="0"/>
            </w:pPr>
            <w:r>
              <w:rPr>
                <w:sz w:val="14"/>
              </w:rPr>
              <w:t>DESIGN VALIDATED - NOT DEPLOYED</w:t>
            </w:r>
          </w:p>
        </w:tc>
        <w:tc>
          <w:tcPr>
            <w:tcW w:type="dxa" w:w="1800"/>
            <w:tcMar>
              <w:top w:w="100" w:type="dxa"/>
              <w:start w:w="120" w:type="dxa"/>
              <w:bottom w:w="100" w:type="dxa"/>
              <w:end w:w="120" w:type="dxa"/>
            </w:tcMar>
            <w:vAlign w:val="center"/>
          </w:tcPr>
          <w:p>
            <w:pPr>
              <w:spacing w:after="0"/>
            </w:pPr>
            <w:r>
              <w:rPr>
                <w:sz w:val="14"/>
              </w:rPr>
              <w:t>Design only</w:t>
            </w:r>
          </w:p>
        </w:tc>
        <w:tc>
          <w:tcPr>
            <w:tcW w:type="dxa" w:w="2880"/>
            <w:tcMar>
              <w:top w:w="100" w:type="dxa"/>
              <w:start w:w="120" w:type="dxa"/>
              <w:bottom w:w="100" w:type="dxa"/>
              <w:end w:w="120" w:type="dxa"/>
            </w:tcMar>
            <w:vAlign w:val="center"/>
          </w:tcPr>
          <w:p>
            <w:pPr>
              <w:spacing w:after="0"/>
            </w:pPr>
            <w:r>
              <w:rPr>
                <w:sz w:val="14"/>
              </w:rPr>
              <w:t>Private Windows EC2 and RDS SQL Server design, provider integration alternatives, recovery design, and 19 passing static design tests. No AWS mutation or migration.</w:t>
            </w:r>
          </w:p>
        </w:tc>
      </w:tr>
      <w:tr>
        <w:tc>
          <w:tcPr>
            <w:tcW w:type="dxa" w:w="720"/>
            <w:tcMar>
              <w:top w:w="100" w:type="dxa"/>
              <w:start w:w="120" w:type="dxa"/>
              <w:bottom w:w="100" w:type="dxa"/>
              <w:end w:w="120" w:type="dxa"/>
            </w:tcMar>
            <w:vAlign w:val="center"/>
            <w:shd w:fill="F2F6FA"/>
          </w:tcPr>
          <w:p>
            <w:pPr>
              <w:spacing w:after="0"/>
              <w:jc w:val="center"/>
            </w:pPr>
            <w:r>
              <w:rPr>
                <w:sz w:val="14"/>
              </w:rPr>
              <w:t>W5</w:t>
            </w:r>
          </w:p>
        </w:tc>
        <w:tc>
          <w:tcPr>
            <w:tcW w:type="dxa" w:w="1728"/>
            <w:tcMar>
              <w:top w:w="100" w:type="dxa"/>
              <w:start w:w="120" w:type="dxa"/>
              <w:bottom w:w="100" w:type="dxa"/>
              <w:end w:w="120" w:type="dxa"/>
            </w:tcMar>
            <w:vAlign w:val="center"/>
            <w:shd w:fill="F2F6FA"/>
          </w:tcPr>
          <w:p>
            <w:pPr>
              <w:spacing w:after="0"/>
            </w:pPr>
            <w:r>
              <w:rPr>
                <w:sz w:val="14"/>
              </w:rPr>
              <w:t>Clinic and EMR shared MySQL migration</w:t>
            </w:r>
          </w:p>
        </w:tc>
        <w:tc>
          <w:tcPr>
            <w:tcW w:type="dxa" w:w="2448"/>
            <w:tcMar>
              <w:top w:w="100" w:type="dxa"/>
              <w:start w:w="120" w:type="dxa"/>
              <w:bottom w:w="100" w:type="dxa"/>
              <w:end w:w="120" w:type="dxa"/>
            </w:tcMar>
            <w:vAlign w:val="center"/>
            <w:shd w:fill="F2F6FA"/>
          </w:tcPr>
          <w:p>
            <w:pPr>
              <w:spacing w:after="0"/>
            </w:pPr>
            <w:r>
              <w:rPr>
                <w:sz w:val="14"/>
              </w:rPr>
              <w:t>DESIGN VALIDATED - NOT DEPLOYED</w:t>
            </w:r>
          </w:p>
        </w:tc>
        <w:tc>
          <w:tcPr>
            <w:tcW w:type="dxa" w:w="1800"/>
            <w:tcMar>
              <w:top w:w="100" w:type="dxa"/>
              <w:start w:w="120" w:type="dxa"/>
              <w:bottom w:w="100" w:type="dxa"/>
              <w:end w:w="120" w:type="dxa"/>
            </w:tcMar>
            <w:vAlign w:val="center"/>
            <w:shd w:fill="F2F6FA"/>
          </w:tcPr>
          <w:p>
            <w:pPr>
              <w:spacing w:after="0"/>
            </w:pPr>
            <w:r>
              <w:rPr>
                <w:sz w:val="14"/>
              </w:rPr>
              <w:t>Design only</w:t>
            </w:r>
          </w:p>
        </w:tc>
        <w:tc>
          <w:tcPr>
            <w:tcW w:type="dxa" w:w="2880"/>
            <w:tcMar>
              <w:top w:w="100" w:type="dxa"/>
              <w:start w:w="120" w:type="dxa"/>
              <w:bottom w:w="100" w:type="dxa"/>
              <w:end w:w="120" w:type="dxa"/>
            </w:tcMar>
            <w:vAlign w:val="center"/>
            <w:shd w:fill="F2F6FA"/>
          </w:tcPr>
          <w:p>
            <w:pPr>
              <w:spacing w:after="0"/>
            </w:pPr>
            <w:r>
              <w:rPr>
                <w:sz w:val="14"/>
              </w:rPr>
              <w:t>Private EC2, RDS MySQL, temporary private DMS full-load plus CDC design, RBAC/UAT and integrity design, and 34 passing static design tests. No AWS mutation or migration.</w:t>
            </w:r>
          </w:p>
        </w:tc>
      </w:tr>
      <w:tr>
        <w:tc>
          <w:tcPr>
            <w:tcW w:type="dxa" w:w="720"/>
            <w:tcMar>
              <w:top w:w="100" w:type="dxa"/>
              <w:start w:w="120" w:type="dxa"/>
              <w:bottom w:w="100" w:type="dxa"/>
              <w:end w:w="120" w:type="dxa"/>
            </w:tcMar>
            <w:vAlign w:val="center"/>
          </w:tcPr>
          <w:p>
            <w:pPr>
              <w:spacing w:after="0"/>
              <w:jc w:val="center"/>
            </w:pPr>
            <w:r>
              <w:rPr>
                <w:sz w:val="14"/>
              </w:rPr>
              <w:t>W6</w:t>
            </w:r>
          </w:p>
        </w:tc>
        <w:tc>
          <w:tcPr>
            <w:tcW w:type="dxa" w:w="1728"/>
            <w:tcMar>
              <w:top w:w="100" w:type="dxa"/>
              <w:start w:w="120" w:type="dxa"/>
              <w:bottom w:w="100" w:type="dxa"/>
              <w:end w:w="120" w:type="dxa"/>
            </w:tcMar>
            <w:vAlign w:val="center"/>
          </w:tcPr>
          <w:p>
            <w:pPr>
              <w:spacing w:after="0"/>
            </w:pPr>
            <w:r>
              <w:rPr>
                <w:sz w:val="14"/>
              </w:rPr>
              <w:t>Lab and Radiology hybrid integration</w:t>
            </w:r>
          </w:p>
        </w:tc>
        <w:tc>
          <w:tcPr>
            <w:tcW w:type="dxa" w:w="2448"/>
            <w:tcMar>
              <w:top w:w="100" w:type="dxa"/>
              <w:start w:w="120" w:type="dxa"/>
              <w:bottom w:w="100" w:type="dxa"/>
              <w:end w:w="120" w:type="dxa"/>
            </w:tcMar>
            <w:vAlign w:val="center"/>
          </w:tcPr>
          <w:p>
            <w:pPr>
              <w:spacing w:after="0"/>
            </w:pPr>
            <w:r>
              <w:rPr>
                <w:sz w:val="14"/>
              </w:rPr>
              <w:t>TERMINATED - EXTERNAL CONNECTIVITY PREREQUISITE UNAVAILABLE</w:t>
            </w:r>
          </w:p>
        </w:tc>
        <w:tc>
          <w:tcPr>
            <w:tcW w:type="dxa" w:w="1800"/>
            <w:tcMar>
              <w:top w:w="100" w:type="dxa"/>
              <w:start w:w="120" w:type="dxa"/>
              <w:bottom w:w="100" w:type="dxa"/>
              <w:end w:w="120" w:type="dxa"/>
            </w:tcMar>
            <w:vAlign w:val="center"/>
          </w:tcPr>
          <w:p>
            <w:pPr>
              <w:spacing w:after="0"/>
            </w:pPr>
            <w:r>
              <w:rPr>
                <w:sz w:val="14"/>
              </w:rPr>
              <w:t>Discovery completed; implementation terminated</w:t>
            </w:r>
          </w:p>
        </w:tc>
        <w:tc>
          <w:tcPr>
            <w:tcW w:type="dxa" w:w="2880"/>
            <w:tcMar>
              <w:top w:w="100" w:type="dxa"/>
              <w:start w:w="120" w:type="dxa"/>
              <w:bottom w:w="100" w:type="dxa"/>
              <w:end w:w="120" w:type="dxa"/>
            </w:tcMar>
            <w:vAlign w:val="center"/>
          </w:tcPr>
          <w:p>
            <w:pPr>
              <w:spacing w:after="0"/>
            </w:pPr>
            <w:r>
              <w:rPr>
                <w:sz w:val="14"/>
              </w:rPr>
              <w:t>Read-only discovery found both existing VPN tunnels down, zero accepted routes, and no private-route-table path to on-premises networks. ISP-side public connectivity was unavailable.</w:t>
            </w:r>
          </w:p>
        </w:tc>
      </w:tr>
    </w:tbl>
    <w:p>
      <w:pPr>
        <w:spacing w:after="20"/>
      </w:pPr>
    </w:p>
    <w:p>
      <w:pPr>
        <w:pStyle w:val="Heading2"/>
      </w:pPr>
      <w:r>
        <w:t>Appendix B Key Repository Evidence</w:t>
      </w:r>
    </w:p>
    <w:p>
      <w:pPr>
        <w:pStyle w:val="ListBullet"/>
        <w:spacing w:after="40"/>
      </w:pPr>
      <w:r>
        <w:t>README.md and AGENTS.md for scope, project status, safety, and permanent nondeployment boundaries.</w:t>
      </w:r>
    </w:p>
    <w:p>
      <w:pPr>
        <w:pStyle w:val="ListBullet"/>
        <w:spacing w:after="40"/>
      </w:pPr>
      <w:r>
        <w:t>environments/nonprod/evidence/W2.8/w2.8.6-wave2-closeout.json.</w:t>
      </w:r>
    </w:p>
    <w:p>
      <w:pPr>
        <w:pStyle w:val="ListBullet"/>
        <w:spacing w:after="40"/>
      </w:pPr>
      <w:r>
        <w:t>environments/nonprod/evidence/W3.0 through W3.8, especially the deployment-deferred closeout.</w:t>
      </w:r>
    </w:p>
    <w:p>
      <w:pPr>
        <w:pStyle w:val="ListBullet"/>
        <w:spacing w:after="40"/>
      </w:pPr>
      <w:r>
        <w:t>environments/nonprod/evidence/W4/W4_W4-A_20260928_Pharmacy-Design-Validation.json.</w:t>
      </w:r>
    </w:p>
    <w:p>
      <w:pPr>
        <w:pStyle w:val="ListBullet"/>
        <w:spacing w:after="40"/>
      </w:pPr>
      <w:r>
        <w:t>environments/nonprod/evidence/W5/W5_W5-A_20260928_Clinic-EMR-Design-Validation.json.</w:t>
      </w:r>
    </w:p>
    <w:p>
      <w:pPr>
        <w:pStyle w:val="ListBullet"/>
        <w:spacing w:after="40"/>
      </w:pPr>
      <w:r>
        <w:t>application/appointment-api documentation and 205-test suite.</w:t>
      </w:r>
    </w:p>
    <w:p>
      <w:pPr>
        <w:pStyle w:val="ListBullet"/>
        <w:spacing w:after="40"/>
      </w:pPr>
      <w:r>
        <w:t>application/pharmacy and application/clinic-emr design, security, runbook, and test artifacts.</w:t>
      </w:r>
    </w:p>
    <w:p>
      <w:pPr>
        <w:pStyle w:val="ListBullet"/>
        <w:spacing w:after="40"/>
      </w:pPr>
      <w:r>
        <w:t>Git history from the Wave 1 foundation through the Wave 5 design closeout.</w:t>
      </w:r>
    </w:p>
    <w:p>
      <w:pPr>
        <w:pStyle w:val="ListBullet"/>
        <w:spacing w:after="40"/>
      </w:pPr>
      <w:r>
        <w:t>Project decision records for the FSx incident, Wave 3 recovery, owner-controlled IAM decision, and Wave 6 termination.</w:t>
      </w:r>
    </w:p>
    <w:sectPr>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5959"/>
        <w:sz w:val="16"/>
      </w:rPr>
      <w:t>Clinic Cloud Migration Portfolio Closeout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jc w:val="left"/>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 Cloud Migration Portfolio Closeout Report</dc:title>
  <dc:subject>Formal closeout record for Waves 0 through 6</dc:subject>
  <dc:creator/>
  <cp:keywords>AWS, Terraform, cloud security, migration, portfolio, closeout</cp:keywords>
  <dc:description>generated by python-docx</dc:description>
  <cp:lastModifiedBy/>
  <cp:revision>1</cp:revision>
  <dcterms:created xsi:type="dcterms:W3CDTF">2013-12-23T23:15:00Z</dcterms:created>
  <dcterms:modified xsi:type="dcterms:W3CDTF">2013-12-23T23:15:00Z</dcterms:modified>
  <cp:category/>
</cp:coreProperties>
</file>