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4112" w:hRule="atLeast"/>
        </w:trPr>
        <w:tc>
          <w:tcPr>
            <w:tcW w:type="dxa" w:w="11909"/>
            <w:shd w:val="clear" w:color="auto" w:fill="1F3864"/>
            <w:tcBorders>
              <w:top w:val="nil"/>
              <w:left w:val="nil"/>
              <w:bottom w:val="nil"/>
              <w:right w:val="nil"/>
            </w:tcBorders>
            <w:tcMar>
              <w:top w:w="864" w:type="dxa"/>
              <w:start w:w="720" w:type="dxa"/>
              <w:bottom w:w="864" w:type="dxa"/>
              <w:end w:w="720" w:type="dxa"/>
            </w:tcMar>
          </w:tcPr>
          <w:p/>
          <w:p>
            <w:pPr>
              <w:jc w:val="left"/>
            </w:pPr>
            <w:r>
              <w:rPr>
                <w:b/>
                <w:color w:val="60A5FA"/>
                <w:sz w:val="28"/>
              </w:rPr>
              <w:t xml:space="preserve">✓ </w:t>
            </w:r>
            <w:r>
              <w:rPr>
                <w:rFonts w:ascii="Arial" w:hAnsi="Arial"/>
                <w:b/>
                <w:color w:val="FFFFFF"/>
                <w:sz w:val="28"/>
              </w:rPr>
              <w:t>SupplyPulse</w:t>
            </w:r>
          </w:p>
          <w:p/>
          <w:p/>
          <w:p/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80"/>
              </w:rPr>
              <w:t>BUSINESS</w:t>
            </w:r>
          </w:p>
          <w:p>
            <w:pPr>
              <w:spacing w:after="28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80"/>
              </w:rPr>
              <w:t>PROPOSAL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BFD5FF"/>
                <w:sz w:val="26"/>
              </w:rPr>
              <w:t>AI-Powered Supplier Risk Intelligence, Built for Sustainable Growth</w:t>
            </w:r>
          </w:p>
          <w:p/>
          <w:p/>
          <w:p/>
          <w:p/>
          <w:p/>
          <w:p>
            <w:pPr>
              <w:spacing w:after="80"/>
              <w:jc w:val="left"/>
            </w:pPr>
            <w:r>
              <w:rPr>
                <w:rFonts w:ascii="Arial" w:hAnsi="Arial"/>
                <w:b/>
                <w:i w:val="0"/>
                <w:color w:val="93B4FB"/>
                <w:sz w:val="18"/>
              </w:rPr>
              <w:t>PRESENTED BY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Lavindu Perera · Rusira Sandul · Niduka Jayathunga  —  SupplyPulse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i w:val="0"/>
                <w:color w:val="93B4FB"/>
                <w:sz w:val="18"/>
              </w:rPr>
              <w:t>PREPARED FOR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[Prospective Partner Name]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i w:val="0"/>
                <w:color w:val="93B4FB"/>
                <w:sz w:val="18"/>
              </w:rPr>
              <w:t>DATE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August 2026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872" w:hRule="atLeast"/>
        </w:trPr>
        <w:tc>
          <w:tcPr>
            <w:tcW w:type="dxa" w:w="11909"/>
            <w:shd w:val="clear" w:color="auto" w:fill="1F3864"/>
            <w:tcBorders>
              <w:top w:val="nil"/>
              <w:left w:val="nil"/>
              <w:bottom w:val="nil"/>
              <w:right w:val="nil"/>
            </w:tcBorders>
            <w:tcMar>
              <w:top w:w="503" w:type="dxa"/>
              <w:start w:w="576" w:type="dxa"/>
              <w:bottom w:w="503" w:type="dxa"/>
              <w:end w:w="576" w:type="dxa"/>
            </w:tcMar>
          </w:tcPr>
          <w:p/>
          <w:p>
            <w:pPr>
              <w:jc w:val="left"/>
            </w:pPr>
            <w:r>
              <w:rPr>
                <w:b/>
                <w:color w:val="60A5FA"/>
                <w:sz w:val="26"/>
              </w:rPr>
              <w:t xml:space="preserve">✓ </w:t>
            </w:r>
            <w:r>
              <w:rPr>
                <w:rFonts w:ascii="Arial" w:hAnsi="Arial"/>
                <w:b/>
                <w:color w:val="FFFFFF"/>
                <w:sz w:val="26"/>
              </w:rPr>
              <w:t>SupplyPulse</w:t>
            </w:r>
          </w:p>
          <w:p>
            <w:pPr>
              <w:spacing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ABOUT US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hAnsi="Arial"/>
          <w:b w:val="0"/>
          <w:i w:val="0"/>
          <w:color w:val="334155"/>
          <w:sz w:val="22"/>
        </w:rPr>
        <w:t>SupplyPulse is an AI-powered supplier risk intelligence platform that helps companies know when a supplier is in trouble — before it disrupts their business. Built by a team of engineers who have lived this problem first-hand in one of the world's most supplier-dependent economies, SupplyPulse turns scattered public information into a single, clear health score any procurement or operations team can act 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11909"/>
            <w:shd w:val="clear" w:color="auto" w:fill="2E4A82"/>
            <w:tcBorders>
              <w:top w:val="nil"/>
              <w:left w:val="nil"/>
              <w:bottom w:val="nil"/>
              <w:right w:val="nil"/>
            </w:tcBorders>
            <w:tcMar>
              <w:top w:w="86" w:type="dxa"/>
              <w:start w:w="172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OUR VISION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rFonts w:ascii="Arial" w:hAnsi="Arial"/>
          <w:b w:val="0"/>
          <w:i w:val="0"/>
          <w:color w:val="334155"/>
          <w:sz w:val="21"/>
        </w:rPr>
        <w:t>A world where no company is blindsided by a supplier failure it could have seen coming — where continuous, affordable risk intelligence is standard practice for every business that depends on a supply chain, not just the largest enterprises.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11909"/>
            <w:shd w:val="clear" w:color="auto" w:fill="2E4A82"/>
            <w:tcBorders>
              <w:top w:val="nil"/>
              <w:left w:val="nil"/>
              <w:bottom w:val="nil"/>
              <w:right w:val="nil"/>
            </w:tcBorders>
            <w:tcMar>
              <w:top w:w="86" w:type="dxa"/>
              <w:start w:w="172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OUR MISSION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rFonts w:ascii="Arial" w:hAnsi="Arial"/>
          <w:b w:val="0"/>
          <w:i w:val="0"/>
          <w:color w:val="334155"/>
          <w:sz w:val="21"/>
        </w:rPr>
        <w:t>To give small and mid-sized companies the same early-warning power that today only six-figure enterprise platforms can afford — through an AI agent that reads the open web, scores supplier health in under 60 seconds, and alerts the right person before a disruption becomes a crisis.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872" w:hRule="atLeast"/>
        </w:trPr>
        <w:tc>
          <w:tcPr>
            <w:tcW w:type="dxa" w:w="11909"/>
            <w:shd w:val="clear" w:color="auto" w:fill="1F3864"/>
            <w:tcBorders>
              <w:top w:val="nil"/>
              <w:left w:val="nil"/>
              <w:bottom w:val="nil"/>
              <w:right w:val="nil"/>
            </w:tcBorders>
            <w:tcMar>
              <w:top w:w="503" w:type="dxa"/>
              <w:start w:w="576" w:type="dxa"/>
              <w:bottom w:w="503" w:type="dxa"/>
              <w:end w:w="576" w:type="dxa"/>
            </w:tcMar>
          </w:tcPr>
          <w:p/>
          <w:p>
            <w:pPr>
              <w:jc w:val="left"/>
            </w:pPr>
            <w:r>
              <w:rPr>
                <w:b/>
                <w:color w:val="60A5FA"/>
                <w:sz w:val="26"/>
              </w:rPr>
              <w:t xml:space="preserve">✓ </w:t>
            </w:r>
            <w:r>
              <w:rPr>
                <w:rFonts w:ascii="Arial" w:hAnsi="Arial"/>
                <w:b/>
                <w:color w:val="FFFFFF"/>
                <w:sz w:val="26"/>
              </w:rPr>
              <w:t>SupplyPulse</w:t>
            </w:r>
          </w:p>
          <w:p>
            <w:pPr>
              <w:spacing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WHAT WE DO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hAnsi="Arial"/>
          <w:b w:val="0"/>
          <w:i w:val="0"/>
          <w:color w:val="334155"/>
          <w:sz w:val="22"/>
        </w:rPr>
        <w:t>SupplyPulse continuously monitors the suppliers a company depends on and turns public information — news, legal filings, financial signals — into a single actionable score.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val="clear" w:color="auto" w:fill="2E4A82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16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AI RISK SCORING</w:t>
            </w:r>
          </w:p>
        </w:tc>
        <w:tc>
          <w:tcPr>
            <w:tcW w:type="dxa" w:w="8309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88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Every supplier gets a 0–100 health score, generated by an AI agent that reads the open web on demand — no manual research, no analyst required.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val="clear" w:color="auto" w:fill="3B5AA0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16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DAILY TRAJECTORY TRACKING</w:t>
            </w:r>
          </w:p>
        </w:tc>
        <w:tc>
          <w:tcPr>
            <w:tcW w:type="dxa" w:w="8309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88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Scores are tracked over time, so a slow decline is visible weeks before it becomes a crisis — not just a single point-in-time snapshot.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val="clear" w:color="auto" w:fill="2E4A82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16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INSTANT EMAIL + SLACK ALERTS</w:t>
            </w:r>
          </w:p>
        </w:tc>
        <w:tc>
          <w:tcPr>
            <w:tcW w:type="dxa" w:w="8309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88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When a score crosses a customer-defined threshold, the right person is notified immediately, wherever they already work.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val="clear" w:color="auto" w:fill="3B5AA0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16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60-SECOND SELF-SERVE ONBOARDING</w:t>
            </w:r>
          </w:p>
        </w:tc>
        <w:tc>
          <w:tcPr>
            <w:tcW w:type="dxa" w:w="8309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88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No implementation contract, no analyst, no six-week onboarding. A supplier name is the entire setup.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872" w:hRule="atLeast"/>
        </w:trPr>
        <w:tc>
          <w:tcPr>
            <w:tcW w:type="dxa" w:w="11909"/>
            <w:shd w:val="clear" w:color="auto" w:fill="1F3864"/>
            <w:tcBorders>
              <w:top w:val="nil"/>
              <w:left w:val="nil"/>
              <w:bottom w:val="nil"/>
              <w:right w:val="nil"/>
            </w:tcBorders>
            <w:tcMar>
              <w:top w:w="503" w:type="dxa"/>
              <w:start w:w="576" w:type="dxa"/>
              <w:bottom w:w="503" w:type="dxa"/>
              <w:end w:w="576" w:type="dxa"/>
            </w:tcMar>
          </w:tcPr>
          <w:p/>
          <w:p>
            <w:pPr>
              <w:jc w:val="left"/>
            </w:pPr>
            <w:r>
              <w:rPr>
                <w:b/>
                <w:color w:val="60A5FA"/>
                <w:sz w:val="26"/>
              </w:rPr>
              <w:t xml:space="preserve">✓ </w:t>
            </w:r>
            <w:r>
              <w:rPr>
                <w:rFonts w:ascii="Arial" w:hAnsi="Arial"/>
                <w:b/>
                <w:color w:val="FFFFFF"/>
                <w:sz w:val="26"/>
              </w:rPr>
              <w:t>SupplyPulse</w:t>
            </w:r>
          </w:p>
          <w:p>
            <w:pPr>
              <w:spacing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THE PROBLEM WE SOLVE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hAnsi="Arial"/>
          <w:b w:val="0"/>
          <w:i w:val="0"/>
          <w:color w:val="334155"/>
          <w:sz w:val="22"/>
        </w:rPr>
        <w:t>Companies that depend on suppliers usually find out about trouble the same way everyone else does — from the news, after it's too late to do anything but pay a premium for air freight, spot-market buying, or a stopped production line. The warning signs are almost always public first, but they're scattered across thousands of sources, and nobody is reading all of them on a buyer's behalf.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8496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2592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Signal appears</w:t>
            </w:r>
          </w:p>
        </w:tc>
        <w:tc>
          <w:tcPr>
            <w:tcW w:type="dxa" w:w="8496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A distress signal shows up in filings or local press.</w:t>
            </w:r>
          </w:p>
        </w:tc>
      </w:tr>
      <w:tr>
        <w:tc>
          <w:tcPr>
            <w:tcW w:type="dxa" w:w="2592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Blind spot</w:t>
            </w:r>
          </w:p>
        </w:tc>
        <w:tc>
          <w:tcPr>
            <w:tcW w:type="dxa" w:w="8496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Weeks pass with nobody noticing — the current default.</w:t>
            </w:r>
          </w:p>
        </w:tc>
      </w:tr>
      <w:tr>
        <w:tc>
          <w:tcPr>
            <w:tcW w:type="dxa" w:w="2592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Crisis hits</w:t>
            </w:r>
          </w:p>
        </w:tc>
        <w:tc>
          <w:tcPr>
            <w:tcW w:type="dxa" w:w="8496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The shipment doesn't arrive; only expensive options remain.</w:t>
            </w:r>
          </w:p>
        </w:tc>
      </w:tr>
    </w:tbl>
    <w:p>
      <w:pPr>
        <w:spacing w:after="160"/>
      </w:pPr>
    </w:p>
    <w:p>
      <w:pPr>
        <w:spacing w:after="120"/>
        <w:jc w:val="left"/>
      </w:pPr>
      <w:r>
        <w:rPr>
          <w:rFonts w:ascii="Arial" w:hAnsi="Arial"/>
          <w:b w:val="0"/>
          <w:i w:val="0"/>
          <w:color w:val="334155"/>
          <w:sz w:val="22"/>
        </w:rPr>
        <w:t>Regulation is accelerating the need for a solution. Germany's Supply Chain Act (LkSG) is already in force, and the EU's Corporate Sustainability Due Diligence Directive is phasing in — both requiring companies to actively document supplier due diligence, not simply react after the fact.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872" w:hRule="atLeast"/>
        </w:trPr>
        <w:tc>
          <w:tcPr>
            <w:tcW w:type="dxa" w:w="11909"/>
            <w:shd w:val="clear" w:color="auto" w:fill="1F3864"/>
            <w:tcBorders>
              <w:top w:val="nil"/>
              <w:left w:val="nil"/>
              <w:bottom w:val="nil"/>
              <w:right w:val="nil"/>
            </w:tcBorders>
            <w:tcMar>
              <w:top w:w="503" w:type="dxa"/>
              <w:start w:w="576" w:type="dxa"/>
              <w:bottom w:w="503" w:type="dxa"/>
              <w:end w:w="576" w:type="dxa"/>
            </w:tcMar>
          </w:tcPr>
          <w:p/>
          <w:p>
            <w:pPr>
              <w:jc w:val="left"/>
            </w:pPr>
            <w:r>
              <w:rPr>
                <w:b/>
                <w:color w:val="60A5FA"/>
                <w:sz w:val="26"/>
              </w:rPr>
              <w:t xml:space="preserve">✓ </w:t>
            </w:r>
            <w:r>
              <w:rPr>
                <w:rFonts w:ascii="Arial" w:hAnsi="Arial"/>
                <w:b/>
                <w:color w:val="FFFFFF"/>
                <w:sz w:val="26"/>
              </w:rPr>
              <w:t>SupplyPulse</w:t>
            </w:r>
          </w:p>
          <w:p>
            <w:pPr>
              <w:spacing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MARKET OPPORTUNITY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hAnsi="Arial"/>
          <w:b w:val="0"/>
          <w:i w:val="0"/>
          <w:color w:val="334155"/>
          <w:sz w:val="22"/>
        </w:rPr>
        <w:t>Supply chain risk management is a large and growing software category — estimated at $3–4 billion — but the vast majority of it is served by enterprise platforms priced at $30,000–$250,000 a year. Below that tier sits a substantial, underserved population of small and mid-sized companies who need the same protection and have no affordable way to get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7488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3600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Estimate</w:t>
            </w:r>
          </w:p>
        </w:tc>
      </w:tr>
      <w:tr>
        <w:tc>
          <w:tcPr>
            <w:tcW w:type="dxa" w:w="7488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Qualifying mid-sized manufacturers &amp; distributors (US, UK, EU, Canada, ANZ)</w:t>
            </w:r>
          </w:p>
        </w:tc>
        <w:tc>
          <w:tcPr>
            <w:tcW w:type="dxa" w:w="3600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~270,000 firms</w:t>
            </w:r>
          </w:p>
        </w:tc>
      </w:tr>
      <w:tr>
        <w:tc>
          <w:tcPr>
            <w:tcW w:type="dxa" w:w="7488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Addressable market within this underserved segment</w:t>
            </w:r>
          </w:p>
        </w:tc>
        <w:tc>
          <w:tcPr>
            <w:tcW w:type="dxa" w:w="3600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$115M–$285M</w:t>
            </w:r>
          </w:p>
        </w:tc>
      </w:tr>
      <w:tr>
        <w:tc>
          <w:tcPr>
            <w:tcW w:type="dxa" w:w="7488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Longer-term expansion path (pricing + vertical growth)</w:t>
            </w:r>
          </w:p>
        </w:tc>
        <w:tc>
          <w:tcPr>
            <w:tcW w:type="dxa" w:w="3600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$1–2B</w:t>
            </w:r>
          </w:p>
        </w:tc>
      </w:tr>
    </w:tbl>
    <w:p>
      <w:pPr>
        <w:spacing w:after="160"/>
      </w:pPr>
    </w:p>
    <w:p>
      <w:pPr>
        <w:spacing w:after="120"/>
        <w:jc w:val="left"/>
      </w:pPr>
      <w:r>
        <w:rPr>
          <w:rFonts w:ascii="Arial" w:hAnsi="Arial"/>
          <w:b w:val="0"/>
          <w:i/>
          <w:color w:val="94A3B8"/>
          <w:sz w:val="18"/>
        </w:rPr>
        <w:t>Figures are directional, bottom-up estimates based on public firm-count data — not third-party audited market research.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872" w:hRule="atLeast"/>
        </w:trPr>
        <w:tc>
          <w:tcPr>
            <w:tcW w:type="dxa" w:w="11909"/>
            <w:shd w:val="clear" w:color="auto" w:fill="1F3864"/>
            <w:tcBorders>
              <w:top w:val="nil"/>
              <w:left w:val="nil"/>
              <w:bottom w:val="nil"/>
              <w:right w:val="nil"/>
            </w:tcBorders>
            <w:tcMar>
              <w:top w:w="503" w:type="dxa"/>
              <w:start w:w="576" w:type="dxa"/>
              <w:bottom w:w="503" w:type="dxa"/>
              <w:end w:w="576" w:type="dxa"/>
            </w:tcMar>
          </w:tcPr>
          <w:p/>
          <w:p>
            <w:pPr>
              <w:jc w:val="left"/>
            </w:pPr>
            <w:r>
              <w:rPr>
                <w:b/>
                <w:color w:val="60A5FA"/>
                <w:sz w:val="26"/>
              </w:rPr>
              <w:t xml:space="preserve">✓ </w:t>
            </w:r>
            <w:r>
              <w:rPr>
                <w:rFonts w:ascii="Arial" w:hAnsi="Arial"/>
                <w:b/>
                <w:color w:val="FFFFFF"/>
                <w:sz w:val="26"/>
              </w:rPr>
              <w:t>SupplyPulse</w:t>
            </w:r>
          </w:p>
          <w:p>
            <w:pPr>
              <w:spacing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COMPETITIVE LANDSCAPE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016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</w:p>
        </w:tc>
        <w:tc>
          <w:tcPr>
            <w:tcW w:type="dxa" w:w="3168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Enterprise platforms</w:t>
            </w:r>
          </w:p>
        </w:tc>
        <w:tc>
          <w:tcPr>
            <w:tcW w:type="dxa" w:w="3168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SupplyPulse</w:t>
            </w:r>
          </w:p>
        </w:tc>
        <w:tc>
          <w:tcPr>
            <w:tcW w:type="dxa" w:w="3168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Status quo (doing nothing)</w:t>
            </w:r>
          </w:p>
        </w:tc>
      </w:tr>
      <w:tr>
        <w:tc>
          <w:tcPr>
            <w:tcW w:type="dxa" w:w="2016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Setup</w:t>
            </w:r>
          </w:p>
        </w:tc>
        <w:tc>
          <w:tcPr>
            <w:tcW w:type="dxa" w:w="3168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6+ weeks, dedicated analyst</w:t>
            </w:r>
          </w:p>
        </w:tc>
        <w:tc>
          <w:tcPr>
            <w:tcW w:type="dxa" w:w="3168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60 seconds, self-serve</w:t>
            </w:r>
          </w:p>
        </w:tc>
        <w:tc>
          <w:tcPr>
            <w:tcW w:type="dxa" w:w="3168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Zero — and zero coverage</w:t>
            </w:r>
          </w:p>
        </w:tc>
      </w:tr>
      <w:tr>
        <w:tc>
          <w:tcPr>
            <w:tcW w:type="dxa" w:w="2016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Price</w:t>
            </w:r>
          </w:p>
        </w:tc>
        <w:tc>
          <w:tcPr>
            <w:tcW w:type="dxa" w:w="3168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$30k–$250k / year</w:t>
            </w:r>
          </w:p>
        </w:tc>
        <w:tc>
          <w:tcPr>
            <w:tcW w:type="dxa" w:w="3168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Free → $49–$249 / month</w:t>
            </w:r>
          </w:p>
        </w:tc>
        <w:tc>
          <w:tcPr>
            <w:tcW w:type="dxa" w:w="3168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Free, but doesn't work</w:t>
            </w:r>
          </w:p>
        </w:tc>
      </w:tr>
      <w:tr>
        <w:tc>
          <w:tcPr>
            <w:tcW w:type="dxa" w:w="2016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Coverage</w:t>
            </w:r>
          </w:p>
        </w:tc>
        <w:tc>
          <w:tcPr>
            <w:tcW w:type="dxa" w:w="3168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Large public suppliers only</w:t>
            </w:r>
          </w:p>
        </w:tc>
        <w:tc>
          <w:tcPr>
            <w:tcW w:type="dxa" w:w="3168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Any supplier, incl. small private firms</w:t>
            </w:r>
          </w:p>
        </w:tc>
        <w:tc>
          <w:tcPr>
            <w:tcW w:type="dxa" w:w="3168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Whatever a Google Alert catches</w:t>
            </w:r>
          </w:p>
        </w:tc>
      </w:tr>
      <w:tr>
        <w:tc>
          <w:tcPr>
            <w:tcW w:type="dxa" w:w="2016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Intelligence</w:t>
            </w:r>
          </w:p>
        </w:tc>
        <w:tc>
          <w:tcPr>
            <w:tcW w:type="dxa" w:w="3168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Point-in-time analyst report</w:t>
            </w:r>
          </w:p>
        </w:tc>
        <w:tc>
          <w:tcPr>
            <w:tcW w:type="dxa" w:w="3168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Daily score + trend history</w:t>
            </w:r>
          </w:p>
        </w:tc>
        <w:tc>
          <w:tcPr>
            <w:tcW w:type="dxa" w:w="3168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None</w:t>
            </w:r>
          </w:p>
        </w:tc>
      </w:tr>
    </w:tbl>
    <w:p>
      <w:pPr>
        <w:spacing w:after="160"/>
      </w:pPr>
    </w:p>
    <w:p>
      <w:pPr>
        <w:spacing w:after="4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val="clear" w:color="auto" w:fill="2E4A82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16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PRICE</w:t>
            </w:r>
          </w:p>
        </w:tc>
        <w:tc>
          <w:tcPr>
            <w:tcW w:type="dxa" w:w="8309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88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Enterprise-grade monitoring at a fraction of incumbent cost — no data-licensing overhead to pass on.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val="clear" w:color="auto" w:fill="3B5AA0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16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SPEED</w:t>
            </w:r>
          </w:p>
        </w:tc>
        <w:tc>
          <w:tcPr>
            <w:tcW w:type="dxa" w:w="8309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88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A score in 60 seconds, not a six-week onboarding project.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val="clear" w:color="auto" w:fill="2E4A82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16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TRAJECTORY</w:t>
            </w:r>
          </w:p>
        </w:tc>
        <w:tc>
          <w:tcPr>
            <w:tcW w:type="dxa" w:w="8309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88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We track where supplier health is heading, not just where it stands today — the earliest possible warning.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872" w:hRule="atLeast"/>
        </w:trPr>
        <w:tc>
          <w:tcPr>
            <w:tcW w:type="dxa" w:w="11909"/>
            <w:shd w:val="clear" w:color="auto" w:fill="1F3864"/>
            <w:tcBorders>
              <w:top w:val="nil"/>
              <w:left w:val="nil"/>
              <w:bottom w:val="nil"/>
              <w:right w:val="nil"/>
            </w:tcBorders>
            <w:tcMar>
              <w:top w:w="503" w:type="dxa"/>
              <w:start w:w="576" w:type="dxa"/>
              <w:bottom w:w="503" w:type="dxa"/>
              <w:end w:w="576" w:type="dxa"/>
            </w:tcMar>
          </w:tcPr>
          <w:p/>
          <w:p>
            <w:pPr>
              <w:jc w:val="left"/>
            </w:pPr>
            <w:r>
              <w:rPr>
                <w:b/>
                <w:color w:val="60A5FA"/>
                <w:sz w:val="26"/>
              </w:rPr>
              <w:t xml:space="preserve">✓ </w:t>
            </w:r>
            <w:r>
              <w:rPr>
                <w:rFonts w:ascii="Arial" w:hAnsi="Arial"/>
                <w:b/>
                <w:color w:val="FFFFFF"/>
                <w:sz w:val="26"/>
              </w:rPr>
              <w:t>SupplyPulse</w:t>
            </w:r>
          </w:p>
          <w:p>
            <w:pPr>
              <w:spacing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OUR TEAM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BFD5FF"/>
                <w:sz w:val="24"/>
              </w:rPr>
              <w:t>Your Supply Chain, Our Expertise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trHeight w:val="1584"/>
        </w:trPr>
        <w:tc>
          <w:tcPr>
            <w:tcW w:type="dxa" w:w="2304"/>
            <w:tcBorders>
              <w:top w:val="dashed" w:sz="12" w:color="3B5AA0"/>
              <w:left w:val="dashed" w:sz="12" w:color="3B5AA0"/>
              <w:bottom w:val="dashed" w:sz="12" w:color="3B5AA0"/>
              <w:right w:val="dashed" w:sz="12" w:color="3B5AA0"/>
            </w:tcBorders>
            <w:shd w:val="clear" w:color="auto" w:fill="EFF6FF"/>
            <w:tcMar>
              <w:top w:w="720" w:type="dxa"/>
              <w:start w:w="216" w:type="dxa"/>
              <w:bottom w:w="720" w:type="dxa"/>
              <w:end w:w="216" w:type="dxa"/>
            </w:tcMar>
          </w:tcPr>
          <w:p>
            <w:pPr>
              <w:jc w:val="center"/>
            </w:pPr>
            <w:r>
              <w:rPr>
                <w:i/>
                <w:color w:val="1D4ED8"/>
                <w:sz w:val="18"/>
              </w:rPr>
              <w:t>[Insert</w:t>
              <w:br/>
              <w:t>photo]</w:t>
            </w:r>
          </w:p>
        </w:tc>
        <w:tc>
          <w:tcPr>
            <w:tcW w:type="dxa" w:w="9605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start w:w="288" w:type="dxa"/>
              <w:bottom w:w="144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F3864"/>
                <w:sz w:val="26"/>
              </w:rPr>
              <w:t>Lavindu Perera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 w:val="0"/>
                <w:i/>
                <w:color w:val="64748B"/>
                <w:sz w:val="21"/>
              </w:rPr>
              <w:t>Backend &amp; AI Pipeline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Leads the scoring pipeline and scheduled scanning systems. Undergraduate, University of Sri Jayewardenepura (Applied Sciences).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trHeight w:val="1584"/>
        </w:trPr>
        <w:tc>
          <w:tcPr>
            <w:tcW w:type="dxa" w:w="2304"/>
            <w:tcBorders>
              <w:top w:val="dashed" w:sz="12" w:color="3B5AA0"/>
              <w:left w:val="dashed" w:sz="12" w:color="3B5AA0"/>
              <w:bottom w:val="dashed" w:sz="12" w:color="3B5AA0"/>
              <w:right w:val="dashed" w:sz="12" w:color="3B5AA0"/>
            </w:tcBorders>
            <w:shd w:val="clear" w:color="auto" w:fill="EFF6FF"/>
            <w:tcMar>
              <w:top w:w="720" w:type="dxa"/>
              <w:start w:w="216" w:type="dxa"/>
              <w:bottom w:w="720" w:type="dxa"/>
              <w:end w:w="216" w:type="dxa"/>
            </w:tcMar>
          </w:tcPr>
          <w:p>
            <w:pPr>
              <w:jc w:val="center"/>
            </w:pPr>
            <w:r>
              <w:rPr>
                <w:i/>
                <w:color w:val="1D4ED8"/>
                <w:sz w:val="18"/>
              </w:rPr>
              <w:t>[Insert</w:t>
              <w:br/>
              <w:t>photo]</w:t>
            </w:r>
          </w:p>
        </w:tc>
        <w:tc>
          <w:tcPr>
            <w:tcW w:type="dxa" w:w="9605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start w:w="288" w:type="dxa"/>
              <w:bottom w:w="144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F3864"/>
                <w:sz w:val="26"/>
              </w:rPr>
              <w:t>Rusira Sandul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 w:val="0"/>
                <w:i/>
                <w:color w:val="64748B"/>
                <w:sz w:val="21"/>
              </w:rPr>
              <w:t>Frontend &amp; AI Search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Leads the product frontend and AI-search integration. Undergraduate, University of Westminster &amp; University of Sri Jayewardenepura; ~2 years' industry experience as an Associate Software Engineer.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trHeight w:val="1584"/>
        </w:trPr>
        <w:tc>
          <w:tcPr>
            <w:tcW w:type="dxa" w:w="2304"/>
            <w:tcBorders>
              <w:top w:val="dashed" w:sz="12" w:color="3B5AA0"/>
              <w:left w:val="dashed" w:sz="12" w:color="3B5AA0"/>
              <w:bottom w:val="dashed" w:sz="12" w:color="3B5AA0"/>
              <w:right w:val="dashed" w:sz="12" w:color="3B5AA0"/>
            </w:tcBorders>
            <w:shd w:val="clear" w:color="auto" w:fill="EFF6FF"/>
            <w:tcMar>
              <w:top w:w="720" w:type="dxa"/>
              <w:start w:w="216" w:type="dxa"/>
              <w:bottom w:w="720" w:type="dxa"/>
              <w:end w:w="216" w:type="dxa"/>
            </w:tcMar>
          </w:tcPr>
          <w:p>
            <w:pPr>
              <w:jc w:val="center"/>
            </w:pPr>
            <w:r>
              <w:rPr>
                <w:i/>
                <w:color w:val="1D4ED8"/>
                <w:sz w:val="18"/>
              </w:rPr>
              <w:t>[Insert</w:t>
              <w:br/>
              <w:t>photo]</w:t>
            </w:r>
          </w:p>
        </w:tc>
        <w:tc>
          <w:tcPr>
            <w:tcW w:type="dxa" w:w="9605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start w:w="288" w:type="dxa"/>
              <w:bottom w:w="144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1F3864"/>
                <w:sz w:val="26"/>
              </w:rPr>
              <w:t>Niduka Jayathunga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 w:val="0"/>
                <w:i/>
                <w:color w:val="64748B"/>
                <w:sz w:val="21"/>
              </w:rPr>
              <w:t>Deployment &amp; Infrastructure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Leads deployment, billing, and database systems. Undergraduate, University of Sri Jayewardenepura (Applied Sciences).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872" w:hRule="atLeast"/>
        </w:trPr>
        <w:tc>
          <w:tcPr>
            <w:tcW w:type="dxa" w:w="11909"/>
            <w:shd w:val="clear" w:color="auto" w:fill="1F3864"/>
            <w:tcBorders>
              <w:top w:val="nil"/>
              <w:left w:val="nil"/>
              <w:bottom w:val="nil"/>
              <w:right w:val="nil"/>
            </w:tcBorders>
            <w:tcMar>
              <w:top w:w="503" w:type="dxa"/>
              <w:start w:w="576" w:type="dxa"/>
              <w:bottom w:w="503" w:type="dxa"/>
              <w:end w:w="576" w:type="dxa"/>
            </w:tcMar>
          </w:tcPr>
          <w:p/>
          <w:p>
            <w:pPr>
              <w:jc w:val="left"/>
            </w:pPr>
            <w:r>
              <w:rPr>
                <w:b/>
                <w:color w:val="60A5FA"/>
                <w:sz w:val="26"/>
              </w:rPr>
              <w:t xml:space="preserve">✓ </w:t>
            </w:r>
            <w:r>
              <w:rPr>
                <w:rFonts w:ascii="Arial" w:hAnsi="Arial"/>
                <w:b/>
                <w:color w:val="FFFFFF"/>
                <w:sz w:val="26"/>
              </w:rPr>
              <w:t>SupplyPulse</w:t>
            </w:r>
          </w:p>
          <w:p>
            <w:pPr>
              <w:spacing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WHY CHOOSE US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val="clear" w:color="auto" w:fill="2E4A82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16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RADICAL PRICE ADVANTAGE</w:t>
            </w:r>
          </w:p>
        </w:tc>
        <w:tc>
          <w:tcPr>
            <w:tcW w:type="dxa" w:w="8309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88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Enterprise-grade supplier monitoring at a fraction of what incumbents charge — because we don't carry their data-licensing overhead.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val="clear" w:color="auto" w:fill="3B5AA0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16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60-SECOND SETUP</w:t>
            </w:r>
          </w:p>
        </w:tc>
        <w:tc>
          <w:tcPr>
            <w:tcW w:type="dxa" w:w="8309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88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No onboarding calls, no analysts, no contracts to sign before you see value.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val="clear" w:color="auto" w:fill="2E4A82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16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TREND-BASED INTELLIGENCE</w:t>
            </w:r>
          </w:p>
        </w:tc>
        <w:tc>
          <w:tcPr>
            <w:tcW w:type="dxa" w:w="8309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88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We track where a supplier's health is heading, not just where it stands today.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600"/>
            <w:shd w:val="clear" w:color="auto" w:fill="3B5AA0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16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BUILT FOR THE REGULATORY WAVE</w:t>
            </w:r>
          </w:p>
        </w:tc>
        <w:tc>
          <w:tcPr>
            <w:tcW w:type="dxa" w:w="8309"/>
            <w:tcBorders>
              <w:top w:val="nil"/>
              <w:left w:val="nil"/>
              <w:bottom w:val="nil"/>
              <w:right w:val="nil"/>
            </w:tcBorders>
            <w:tcMar>
              <w:top w:w="172" w:type="dxa"/>
              <w:start w:w="288" w:type="dxa"/>
              <w:bottom w:w="1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20"/>
              </w:rPr>
              <w:t>Positioned directly for the compliance requirements companies now face under LkSG and the CSDDD.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872" w:hRule="atLeast"/>
        </w:trPr>
        <w:tc>
          <w:tcPr>
            <w:tcW w:type="dxa" w:w="11909"/>
            <w:shd w:val="clear" w:color="auto" w:fill="1F3864"/>
            <w:tcBorders>
              <w:top w:val="nil"/>
              <w:left w:val="nil"/>
              <w:bottom w:val="nil"/>
              <w:right w:val="nil"/>
            </w:tcBorders>
            <w:tcMar>
              <w:top w:w="503" w:type="dxa"/>
              <w:start w:w="576" w:type="dxa"/>
              <w:bottom w:w="503" w:type="dxa"/>
              <w:end w:w="576" w:type="dxa"/>
            </w:tcMar>
          </w:tcPr>
          <w:p/>
          <w:p>
            <w:pPr>
              <w:jc w:val="left"/>
            </w:pPr>
            <w:r>
              <w:rPr>
                <w:b/>
                <w:color w:val="60A5FA"/>
                <w:sz w:val="26"/>
              </w:rPr>
              <w:t xml:space="preserve">✓ </w:t>
            </w:r>
            <w:r>
              <w:rPr>
                <w:rFonts w:ascii="Arial" w:hAnsi="Arial"/>
                <w:b/>
                <w:color w:val="FFFFFF"/>
                <w:sz w:val="26"/>
              </w:rPr>
              <w:t>SupplyPulse</w:t>
            </w:r>
          </w:p>
          <w:p>
            <w:pPr>
              <w:spacing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PRICING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304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</w:t>
            </w:r>
          </w:p>
        </w:tc>
        <w:tc>
          <w:tcPr>
            <w:tcW w:type="dxa" w:w="2304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Price</w:t>
            </w:r>
          </w:p>
        </w:tc>
        <w:tc>
          <w:tcPr>
            <w:tcW w:type="dxa" w:w="7200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What's included</w:t>
            </w:r>
          </w:p>
        </w:tc>
      </w:tr>
      <w:tr>
        <w:tc>
          <w:tcPr>
            <w:tcW w:type="dxa" w:w="2304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Starter</w:t>
            </w:r>
          </w:p>
        </w:tc>
        <w:tc>
          <w:tcPr>
            <w:tcW w:type="dxa" w:w="2304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Free</w:t>
            </w:r>
          </w:p>
        </w:tc>
        <w:tc>
          <w:tcPr>
            <w:tcW w:type="dxa" w:w="7200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3 suppliers, weekly scans, email alerts</w:t>
            </w:r>
          </w:p>
        </w:tc>
      </w:tr>
      <w:tr>
        <w:tc>
          <w:tcPr>
            <w:tcW w:type="dxa" w:w="2304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Pro</w:t>
            </w:r>
          </w:p>
        </w:tc>
        <w:tc>
          <w:tcPr>
            <w:tcW w:type="dxa" w:w="2304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$49 / month</w:t>
            </w:r>
          </w:p>
        </w:tc>
        <w:tc>
          <w:tcPr>
            <w:tcW w:type="dxa" w:w="7200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25 suppliers, daily scans, email + Slack alerts</w:t>
            </w:r>
          </w:p>
        </w:tc>
      </w:tr>
      <w:tr>
        <w:tc>
          <w:tcPr>
            <w:tcW w:type="dxa" w:w="2304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Enterprise</w:t>
            </w:r>
          </w:p>
        </w:tc>
        <w:tc>
          <w:tcPr>
            <w:tcW w:type="dxa" w:w="2304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$249 / month</w:t>
            </w:r>
          </w:p>
        </w:tc>
        <w:tc>
          <w:tcPr>
            <w:tcW w:type="dxa" w:w="7200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Unlimited suppliers, 6-hourly scans, priority support</w:t>
            </w:r>
          </w:p>
        </w:tc>
      </w:tr>
    </w:tbl>
    <w:p>
      <w:pPr>
        <w:spacing w:after="160"/>
      </w:pPr>
    </w:p>
    <w:p>
      <w:pPr>
        <w:spacing w:after="120"/>
        <w:jc w:val="left"/>
      </w:pPr>
      <w:r>
        <w:rPr>
          <w:rFonts w:ascii="Arial" w:hAnsi="Arial"/>
          <w:b w:val="0"/>
          <w:i/>
          <w:color w:val="334155"/>
          <w:sz w:val="21"/>
        </w:rPr>
        <w:t>Every plan starts free — no credit card required to see your first supplier's health score.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872" w:hRule="atLeast"/>
        </w:trPr>
        <w:tc>
          <w:tcPr>
            <w:tcW w:type="dxa" w:w="11909"/>
            <w:shd w:val="clear" w:color="auto" w:fill="1F3864"/>
            <w:tcBorders>
              <w:top w:val="nil"/>
              <w:left w:val="nil"/>
              <w:bottom w:val="nil"/>
              <w:right w:val="nil"/>
            </w:tcBorders>
            <w:tcMar>
              <w:top w:w="503" w:type="dxa"/>
              <w:start w:w="576" w:type="dxa"/>
              <w:bottom w:w="503" w:type="dxa"/>
              <w:end w:w="576" w:type="dxa"/>
            </w:tcMar>
          </w:tcPr>
          <w:p/>
          <w:p>
            <w:pPr>
              <w:jc w:val="left"/>
            </w:pPr>
            <w:r>
              <w:rPr>
                <w:b/>
                <w:color w:val="60A5FA"/>
                <w:sz w:val="26"/>
              </w:rPr>
              <w:t xml:space="preserve">✓ </w:t>
            </w:r>
            <w:r>
              <w:rPr>
                <w:rFonts w:ascii="Arial" w:hAnsi="Arial"/>
                <w:b/>
                <w:color w:val="FFFFFF"/>
                <w:sz w:val="26"/>
              </w:rPr>
              <w:t>SupplyPulse</w:t>
            </w:r>
          </w:p>
          <w:p>
            <w:pPr>
              <w:spacing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HOW WE WORK TOGETHER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hAnsi="Arial"/>
          <w:b w:val="0"/>
          <w:i w:val="0"/>
          <w:color w:val="334155"/>
          <w:sz w:val="22"/>
        </w:rPr>
        <w:t>We work closely with a small group of design partners to refine the product for real-world use. Partners get full platform access, direct input into our roadmap, and a direct line to our founding team.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736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8352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2736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1. Discovery</w:t>
            </w:r>
          </w:p>
        </w:tc>
        <w:tc>
          <w:tcPr>
            <w:tcW w:type="dxa" w:w="8352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A short conversation about your supplier list and current process.</w:t>
            </w:r>
          </w:p>
        </w:tc>
      </w:tr>
      <w:tr>
        <w:tc>
          <w:tcPr>
            <w:tcW w:type="dxa" w:w="2736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2. Onboarding</w:t>
            </w:r>
          </w:p>
        </w:tc>
        <w:tc>
          <w:tcPr>
            <w:tcW w:type="dxa" w:w="8352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Add your suppliers and get your first health scores within 60 seconds.</w:t>
            </w:r>
          </w:p>
        </w:tc>
      </w:tr>
      <w:tr>
        <w:tc>
          <w:tcPr>
            <w:tcW w:type="dxa" w:w="2736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3. Ongoing partnership</w:t>
            </w:r>
          </w:p>
        </w:tc>
        <w:tc>
          <w:tcPr>
            <w:tcW w:type="dxa" w:w="8352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Weekly check-ins, priority feature input, and continuous monitoring.</w:t>
            </w:r>
          </w:p>
        </w:tc>
      </w:tr>
    </w:tbl>
    <w:p>
      <w:pPr>
        <w:spacing w:after="160"/>
      </w:pPr>
    </w:p>
    <w:p>
      <w:pPr>
        <w:spacing w:after="120"/>
        <w:jc w:val="left"/>
      </w:pPr>
      <w:r>
        <w:rPr>
          <w:rFonts w:ascii="Arial" w:hAnsi="Arial"/>
          <w:b w:val="0"/>
          <w:i w:val="0"/>
          <w:color w:val="334155"/>
          <w:sz w:val="21"/>
        </w:rPr>
        <w:t>SupplyPulse is already engaging with manufacturers and distributors in Sri Lanka, with US and UK expansion underway.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872" w:hRule="atLeast"/>
        </w:trPr>
        <w:tc>
          <w:tcPr>
            <w:tcW w:type="dxa" w:w="11909"/>
            <w:shd w:val="clear" w:color="auto" w:fill="1F3864"/>
            <w:tcBorders>
              <w:top w:val="nil"/>
              <w:left w:val="nil"/>
              <w:bottom w:val="nil"/>
              <w:right w:val="nil"/>
            </w:tcBorders>
            <w:tcMar>
              <w:top w:w="503" w:type="dxa"/>
              <w:start w:w="576" w:type="dxa"/>
              <w:bottom w:w="503" w:type="dxa"/>
              <w:end w:w="576" w:type="dxa"/>
            </w:tcMar>
          </w:tcPr>
          <w:p/>
          <w:p>
            <w:pPr>
              <w:jc w:val="left"/>
            </w:pPr>
            <w:r>
              <w:rPr>
                <w:b/>
                <w:color w:val="60A5FA"/>
                <w:sz w:val="26"/>
              </w:rPr>
              <w:t xml:space="preserve">✓ </w:t>
            </w:r>
            <w:r>
              <w:rPr>
                <w:rFonts w:ascii="Arial" w:hAnsi="Arial"/>
                <w:b/>
                <w:color w:val="FFFFFF"/>
                <w:sz w:val="26"/>
              </w:rPr>
              <w:t>SupplyPulse</w:t>
            </w:r>
          </w:p>
          <w:p>
            <w:pPr>
              <w:spacing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ROADMAP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304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8784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</w:tr>
      <w:tr>
        <w:tc>
          <w:tcPr>
            <w:tcW w:type="dxa" w:w="2304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Phase 1</w:t>
            </w:r>
          </w:p>
        </w:tc>
        <w:tc>
          <w:tcPr>
            <w:tcW w:type="dxa" w:w="8784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Production hardening — strengthening the platform for scale</w:t>
            </w:r>
          </w:p>
        </w:tc>
      </w:tr>
      <w:tr>
        <w:tc>
          <w:tcPr>
            <w:tcW w:type="dxa" w:w="2304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Phase 2</w:t>
            </w:r>
          </w:p>
        </w:tc>
        <w:tc>
          <w:tcPr>
            <w:tcW w:type="dxa" w:w="8784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Trust &amp; transparency — source-linked scores, confidence ratings, sanctions-list checks</w:t>
            </w:r>
          </w:p>
        </w:tc>
      </w:tr>
      <w:tr>
        <w:tc>
          <w:tcPr>
            <w:tcW w:type="dxa" w:w="2304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Phase 3</w:t>
            </w:r>
          </w:p>
        </w:tc>
        <w:tc>
          <w:tcPr>
            <w:tcW w:type="dxa" w:w="8784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Team features — multi-user accounts, bulk import, digest reports</w:t>
            </w:r>
          </w:p>
        </w:tc>
      </w:tr>
      <w:tr>
        <w:tc>
          <w:tcPr>
            <w:tcW w:type="dxa" w:w="2304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Phase 4</w:t>
            </w:r>
          </w:p>
        </w:tc>
        <w:tc>
          <w:tcPr>
            <w:tcW w:type="dxa" w:w="8784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Predictive scoring, industry benchmarks, and open API access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872" w:hRule="atLeast"/>
        </w:trPr>
        <w:tc>
          <w:tcPr>
            <w:tcW w:type="dxa" w:w="11909"/>
            <w:shd w:val="clear" w:color="auto" w:fill="1F3864"/>
            <w:tcBorders>
              <w:top w:val="nil"/>
              <w:left w:val="nil"/>
              <w:bottom w:val="nil"/>
              <w:right w:val="nil"/>
            </w:tcBorders>
            <w:tcMar>
              <w:top w:w="503" w:type="dxa"/>
              <w:start w:w="576" w:type="dxa"/>
              <w:bottom w:w="503" w:type="dxa"/>
              <w:end w:w="576" w:type="dxa"/>
            </w:tcMar>
          </w:tcPr>
          <w:p/>
          <w:p>
            <w:pPr>
              <w:jc w:val="left"/>
            </w:pPr>
            <w:r>
              <w:rPr>
                <w:b/>
                <w:color w:val="60A5FA"/>
                <w:sz w:val="26"/>
              </w:rPr>
              <w:t xml:space="preserve">✓ </w:t>
            </w:r>
            <w:r>
              <w:rPr>
                <w:rFonts w:ascii="Arial" w:hAnsi="Arial"/>
                <w:b/>
                <w:color w:val="FFFFFF"/>
                <w:sz w:val="26"/>
              </w:rPr>
              <w:t>SupplyPulse</w:t>
            </w:r>
          </w:p>
          <w:p>
            <w:pPr>
              <w:spacing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60"/>
              </w:rPr>
              <w:t>NEXT STEPS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hAnsi="Arial"/>
          <w:b w:val="0"/>
          <w:i w:val="0"/>
          <w:color w:val="334155"/>
          <w:sz w:val="22"/>
        </w:rPr>
        <w:t>We'd welcome the opportunity to show you SupplyPulse working against your own supplier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864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0224"/>
            <w:shd w:val="clear" w:color="auto" w:fill="1F3864"/>
            <w:tcMar>
              <w:top w:w="86" w:type="dxa"/>
              <w:start w:w="144" w:type="dxa"/>
              <w:bottom w:w="8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864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1</w:t>
            </w:r>
          </w:p>
        </w:tc>
        <w:tc>
          <w:tcPr>
            <w:tcW w:type="dxa" w:w="10224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Schedule a walkthrough</w:t>
            </w:r>
          </w:p>
        </w:tc>
      </w:tr>
      <w:tr>
        <w:tc>
          <w:tcPr>
            <w:tcW w:type="dxa" w:w="864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2</w:t>
            </w:r>
          </w:p>
        </w:tc>
        <w:tc>
          <w:tcPr>
            <w:tcW w:type="dxa" w:w="10224"/>
            <w:shd w:val="clear" w:color="auto" w:fill="F1F5F9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Add your suppliers as a pilot</w:t>
            </w:r>
          </w:p>
        </w:tc>
      </w:tr>
      <w:tr>
        <w:tc>
          <w:tcPr>
            <w:tcW w:type="dxa" w:w="864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3</w:t>
            </w:r>
          </w:p>
        </w:tc>
        <w:tc>
          <w:tcPr>
            <w:tcW w:type="dxa" w:w="10224"/>
            <w:tcMar>
              <w:top w:w="72" w:type="dxa"/>
              <w:start w:w="144" w:type="dxa"/>
              <w:bottom w:w="72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Review results together and discuss a partnership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11909"/>
            <w:tcBorders>
              <w:top w:val="dashed" w:sz="12" w:color="3B5AA0"/>
              <w:left w:val="dashed" w:sz="12" w:color="3B5AA0"/>
              <w:bottom w:val="dashed" w:sz="12" w:color="3B5AA0"/>
              <w:right w:val="dashed" w:sz="12" w:color="3B5AA0"/>
            </w:tcBorders>
            <w:shd w:val="clear" w:color="auto" w:fill="EFF6FF"/>
            <w:tcMar>
              <w:top w:w="216" w:type="dxa"/>
              <w:start w:w="288" w:type="dxa"/>
              <w:bottom w:w="216" w:type="dxa"/>
              <w:end w:w="216" w:type="dxa"/>
            </w:tcMar>
          </w:tcPr>
          <w:p/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/>
                <w:color w:val="1D4ED8"/>
                <w:sz w:val="21"/>
              </w:rPr>
              <w:t>[Insert proposed timeline / pilot offer details]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4112" w:hRule="atLeast"/>
        </w:trPr>
        <w:tc>
          <w:tcPr>
            <w:tcW w:type="dxa" w:w="11909"/>
            <w:shd w:val="clear" w:color="auto" w:fill="1F3864"/>
            <w:tcBorders>
              <w:top w:val="nil"/>
              <w:left w:val="nil"/>
              <w:bottom w:val="nil"/>
              <w:right w:val="nil"/>
            </w:tcBorders>
            <w:tcMar>
              <w:top w:w="864" w:type="dxa"/>
              <w:start w:w="720" w:type="dxa"/>
              <w:bottom w:w="864" w:type="dxa"/>
              <w:end w:w="720" w:type="dxa"/>
            </w:tcMar>
          </w:tcPr>
          <w:p/>
          <w:p>
            <w:pPr>
              <w:jc w:val="left"/>
            </w:pPr>
            <w:r>
              <w:rPr>
                <w:b/>
                <w:color w:val="60A5FA"/>
                <w:sz w:val="28"/>
              </w:rPr>
              <w:t xml:space="preserve">✓ </w:t>
            </w:r>
            <w:r>
              <w:rPr>
                <w:rFonts w:ascii="Arial" w:hAnsi="Arial"/>
                <w:b/>
                <w:color w:val="FFFFFF"/>
                <w:sz w:val="28"/>
              </w:rPr>
              <w:t>SupplyPulse</w:t>
            </w:r>
          </w:p>
          <w:p/>
          <w:p/>
          <w:p/>
          <w:p/>
          <w:p>
            <w:pPr>
              <w:spacing w:after="60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BUSINESS PROPOSAL</w:t>
            </w:r>
          </w:p>
          <w:p>
            <w:pPr>
              <w:spacing w:after="200"/>
              <w:jc w:val="left"/>
            </w:pPr>
            <w:r>
              <w:rPr>
                <w:rFonts w:ascii="Arial" w:hAnsi="Arial"/>
                <w:b/>
                <w:i w:val="0"/>
                <w:color w:val="BFD5FF"/>
                <w:sz w:val="26"/>
              </w:rPr>
              <w:t>CONTACT US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 w:val="0"/>
                <w:i w:val="0"/>
                <w:color w:val="FFFFFF"/>
                <w:sz w:val="24"/>
              </w:rPr>
              <w:t>Phone:  [Insert phone]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 w:val="0"/>
                <w:i w:val="0"/>
                <w:color w:val="FFFFFF"/>
                <w:sz w:val="24"/>
              </w:rPr>
              <w:t>Email:  [Insert email]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 w:val="0"/>
                <w:i w:val="0"/>
                <w:color w:val="FFFFFF"/>
                <w:sz w:val="24"/>
              </w:rPr>
              <w:t>Website:  [Insert website]</w:t>
            </w:r>
          </w:p>
        </w:tc>
      </w:tr>
    </w:tbl>
    <w:sectPr w:rsidR="00FC693F" w:rsidRPr="0006063C" w:rsidSect="00034616">
      <w:pgSz w:w="11909" w:h="1683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