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200"/>
      </w:pPr>
      <w:r>
        <w:rPr>
          <w:rFonts w:ascii="Calibri" w:hAnsi="Calibri"/>
          <w:b/>
          <w:color w:val="1C8C84"/>
          <w:sz w:val="20"/>
        </w:rPr>
        <w:t>ENGINEERING EXECUTION PACK</w:t>
      </w:r>
    </w:p>
    <w:p>
      <w:pPr>
        <w:pStyle w:val="Title"/>
      </w:pPr>
      <w:r>
        <w:t>ReservEdge</w:t>
      </w:r>
    </w:p>
    <w:p>
      <w:pPr>
        <w:pStyle w:val="Subtitle"/>
      </w:pPr>
      <w:r>
        <w:t>Engineering Kickoff Pack</w:t>
      </w:r>
    </w:p>
    <w:p>
      <w:pPr>
        <w:spacing w:after="360"/>
      </w:pPr>
      <w:r>
        <w:rPr>
          <w:rFonts w:ascii="Calibri" w:hAnsi="Calibri"/>
          <w:b/>
          <w:color w:val="17324D"/>
          <w:sz w:val="32"/>
        </w:rPr>
        <w:t>From approved specification to a tested vertical slice.</w:t>
      </w: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60" w:type="dxa"/>
              <w:bottom w:w="130" w:type="dxa"/>
              <w:end w:w="160" w:type="dxa"/>
            </w:tcMar>
            <w:shd w:fill="F4F7F9"/>
          </w:tcPr>
          <w:p>
            <w:pPr>
              <w:spacing w:after="0"/>
            </w:pPr>
            <w:r>
              <w:rPr>
                <w:rFonts w:ascii="Calibri" w:hAnsi="Calibri"/>
                <w:b/>
                <w:color w:val="1C8C84"/>
                <w:sz w:val="17"/>
              </w:rPr>
              <w:t xml:space="preserve">IMMEDIATE OBJECTIVE  </w:t>
            </w:r>
            <w:r>
              <w:rPr>
                <w:rFonts w:ascii="Calibri" w:hAnsi="Calibri"/>
                <w:b/>
                <w:color w:val="17212B"/>
                <w:sz w:val="20"/>
              </w:rPr>
              <w:t>Complete Foundation Sprint WP-01 through WP-04 and demonstrate the cloud-neutral airport-parking flow locally by August 17, 2026.</w:t>
            </w:r>
          </w:p>
        </w:tc>
      </w:tr>
    </w:tbl>
    <w:p>
      <w:pPr>
        <w:spacing w:after="20"/>
      </w:pPr>
    </w:p>
    <w:tbl>
      <w:tblPr>
        <w:tblStyle w:val="TableGrid"/>
        <w:tblW w:type="auto" w:w="0"/>
        <w:jc w:val="center"/>
        <w:tblLayout w:type="fixed"/>
        <w:tblLook w:firstColumn="1" w:firstRow="1" w:lastColumn="0" w:lastRow="0" w:noHBand="0" w:noVBand="1" w:val="04A0"/>
        <w:tblW w:w="9360" w:type="dxa"/>
        <w:tblInd w:w="120" w:type="dxa"/>
      </w:tblPr>
      <w:tblGrid>
        <w:gridCol w:w="2088"/>
        <w:gridCol w:w="7272"/>
      </w:tblGrid>
      <w:tr>
        <w:trPr>
          <w:tblHeader w:val="true"/>
          <w:cantSplit/>
        </w:trPr>
        <w:tc>
          <w:tcPr>
            <w:tcW w:type="dxa" w:w="2088"/>
            <w:tcMar>
              <w:top w:w="90" w:type="dxa"/>
              <w:start w:w="120" w:type="dxa"/>
              <w:bottom w:w="90" w:type="dxa"/>
              <w:end w:w="120" w:type="dxa"/>
            </w:tcMar>
            <w:shd w:fill="17324D"/>
            <w:vAlign w:val="center"/>
          </w:tcPr>
          <w:p>
            <w:pPr>
              <w:spacing w:after="0"/>
            </w:pPr>
            <w:r>
              <w:rPr>
                <w:rFonts w:ascii="Calibri" w:hAnsi="Calibri"/>
                <w:b/>
                <w:color w:val="FFFFFF"/>
                <w:sz w:val="16"/>
              </w:rPr>
              <w:t>CONTROL</w:t>
            </w:r>
          </w:p>
        </w:tc>
        <w:tc>
          <w:tcPr>
            <w:tcW w:type="dxa" w:w="7272"/>
            <w:tcMar>
              <w:top w:w="90" w:type="dxa"/>
              <w:start w:w="120" w:type="dxa"/>
              <w:bottom w:w="90" w:type="dxa"/>
              <w:end w:w="120" w:type="dxa"/>
            </w:tcMar>
            <w:shd w:fill="17324D"/>
            <w:vAlign w:val="center"/>
          </w:tcPr>
          <w:p>
            <w:pPr>
              <w:spacing w:after="0"/>
            </w:pPr>
            <w:r>
              <w:rPr>
                <w:rFonts w:ascii="Calibri" w:hAnsi="Calibri"/>
                <w:b/>
                <w:color w:val="FFFFFF"/>
                <w:sz w:val="16"/>
              </w:rPr>
              <w:t>VALUE</w:t>
            </w:r>
          </w:p>
        </w:tc>
      </w:tr>
      <w:tr>
        <w:trPr>
          <w:cantSplit/>
        </w:trPr>
        <w:tc>
          <w:tcPr>
            <w:tcW w:type="dxa" w:w="2088"/>
            <w:tcMar>
              <w:top w:w="90" w:type="dxa"/>
              <w:start w:w="120" w:type="dxa"/>
              <w:bottom w:w="90" w:type="dxa"/>
              <w:end w:w="120" w:type="dxa"/>
            </w:tcMar>
            <w:vAlign w:val="center"/>
          </w:tcPr>
          <w:p>
            <w:pPr>
              <w:spacing w:after="0"/>
            </w:pPr>
            <w:r>
              <w:rPr>
                <w:rFonts w:ascii="Calibri" w:hAnsi="Calibri"/>
                <w:color w:val="17212B"/>
                <w:sz w:val="16"/>
              </w:rPr>
              <w:t>Source of truth</w:t>
            </w:r>
          </w:p>
        </w:tc>
        <w:tc>
          <w:tcPr>
            <w:tcW w:type="dxa" w:w="7272"/>
            <w:tcMar>
              <w:top w:w="90" w:type="dxa"/>
              <w:start w:w="120" w:type="dxa"/>
              <w:bottom w:w="90" w:type="dxa"/>
              <w:end w:w="120" w:type="dxa"/>
            </w:tcMar>
            <w:vAlign w:val="center"/>
          </w:tcPr>
          <w:p>
            <w:pPr>
              <w:spacing w:after="0"/>
            </w:pPr>
            <w:r>
              <w:rPr>
                <w:rFonts w:ascii="Calibri" w:hAnsi="Calibri"/>
                <w:color w:val="17212B"/>
                <w:sz w:val="16"/>
              </w:rPr>
              <w:t>Registered v1.0 documents until Product Owner approves v1.1 replacements; Intent-first freeze is DEFINITION_GATE.md</w:t>
            </w:r>
          </w:p>
        </w:tc>
      </w:tr>
      <w:tr>
        <w:trPr>
          <w:cantSplit/>
        </w:trPr>
        <w:tc>
          <w:tcPr>
            <w:tcW w:type="dxa" w:w="2088"/>
            <w:tcMar>
              <w:top w:w="90" w:type="dxa"/>
              <w:start w:w="120" w:type="dxa"/>
              <w:bottom w:w="90" w:type="dxa"/>
              <w:end w:w="120" w:type="dxa"/>
            </w:tcMar>
            <w:vAlign w:val="center"/>
            <w:shd w:fill="F8FAFB"/>
          </w:tcPr>
          <w:p>
            <w:pPr>
              <w:spacing w:after="0"/>
            </w:pPr>
            <w:r>
              <w:rPr>
                <w:rFonts w:ascii="Calibri" w:hAnsi="Calibri"/>
                <w:color w:val="17212B"/>
                <w:sz w:val="16"/>
              </w:rPr>
              <w:t>Operating model</w:t>
            </w:r>
          </w:p>
        </w:tc>
        <w:tc>
          <w:tcPr>
            <w:tcW w:type="dxa" w:w="7272"/>
            <w:tcMar>
              <w:top w:w="90" w:type="dxa"/>
              <w:start w:w="120" w:type="dxa"/>
              <w:bottom w:w="90" w:type="dxa"/>
              <w:end w:w="120" w:type="dxa"/>
            </w:tcMar>
            <w:vAlign w:val="center"/>
            <w:shd w:fill="F8FAFB"/>
          </w:tcPr>
          <w:p>
            <w:pPr>
              <w:spacing w:after="0"/>
            </w:pPr>
            <w:r>
              <w:rPr>
                <w:rFonts w:ascii="Calibri" w:hAnsi="Calibri"/>
                <w:color w:val="17212B"/>
                <w:sz w:val="16"/>
              </w:rPr>
              <w:t>User = Product Owner • Codex = Project Manager / reviewer • Cursor = Implementation engine</w:t>
            </w:r>
          </w:p>
        </w:tc>
      </w:tr>
      <w:tr>
        <w:trPr>
          <w:cantSplit/>
        </w:trPr>
        <w:tc>
          <w:tcPr>
            <w:tcW w:type="dxa" w:w="2088"/>
            <w:tcMar>
              <w:top w:w="90" w:type="dxa"/>
              <w:start w:w="120" w:type="dxa"/>
              <w:bottom w:w="90" w:type="dxa"/>
              <w:end w:w="120" w:type="dxa"/>
            </w:tcMar>
            <w:vAlign w:val="center"/>
          </w:tcPr>
          <w:p>
            <w:pPr>
              <w:spacing w:after="0"/>
            </w:pPr>
            <w:r>
              <w:rPr>
                <w:rFonts w:ascii="Calibri" w:hAnsi="Calibri"/>
                <w:color w:val="17212B"/>
                <w:sz w:val="16"/>
              </w:rPr>
              <w:t>Current phase</w:t>
            </w:r>
          </w:p>
        </w:tc>
        <w:tc>
          <w:tcPr>
            <w:tcW w:type="dxa" w:w="7272"/>
            <w:tcMar>
              <w:top w:w="90" w:type="dxa"/>
              <w:start w:w="120" w:type="dxa"/>
              <w:bottom w:w="90" w:type="dxa"/>
              <w:end w:w="120" w:type="dxa"/>
            </w:tcMar>
            <w:vAlign w:val="center"/>
          </w:tcPr>
          <w:p>
            <w:pPr>
              <w:spacing w:after="0"/>
            </w:pPr>
            <w:r>
              <w:rPr>
                <w:rFonts w:ascii="Calibri" w:hAnsi="Calibri"/>
                <w:color w:val="17212B"/>
                <w:sz w:val="16"/>
              </w:rPr>
              <w:t>Foundation Sprint / Delivery Gate G0</w:t>
            </w:r>
          </w:p>
        </w:tc>
      </w:tr>
      <w:tr>
        <w:trPr>
          <w:cantSplit/>
        </w:trPr>
        <w:tc>
          <w:tcPr>
            <w:tcW w:type="dxa" w:w="2088"/>
            <w:tcMar>
              <w:top w:w="90" w:type="dxa"/>
              <w:start w:w="120" w:type="dxa"/>
              <w:bottom w:w="90" w:type="dxa"/>
              <w:end w:w="120" w:type="dxa"/>
            </w:tcMar>
            <w:vAlign w:val="center"/>
            <w:shd w:fill="F8FAFB"/>
          </w:tcPr>
          <w:p>
            <w:pPr>
              <w:spacing w:after="0"/>
            </w:pPr>
            <w:r>
              <w:rPr>
                <w:rFonts w:ascii="Calibri" w:hAnsi="Calibri"/>
                <w:color w:val="17212B"/>
                <w:sz w:val="16"/>
              </w:rPr>
              <w:t>First competition gate</w:t>
            </w:r>
          </w:p>
        </w:tc>
        <w:tc>
          <w:tcPr>
            <w:tcW w:type="dxa" w:w="7272"/>
            <w:tcMar>
              <w:top w:w="90" w:type="dxa"/>
              <w:start w:w="120" w:type="dxa"/>
              <w:bottom w:w="90" w:type="dxa"/>
              <w:end w:w="120" w:type="dxa"/>
            </w:tcMar>
            <w:vAlign w:val="center"/>
            <w:shd w:fill="F8FAFB"/>
          </w:tcPr>
          <w:p>
            <w:pPr>
              <w:spacing w:after="0"/>
            </w:pPr>
            <w:r>
              <w:rPr>
                <w:rFonts w:ascii="Calibri" w:hAnsi="Calibri"/>
                <w:color w:val="17212B"/>
                <w:sz w:val="16"/>
              </w:rPr>
              <w:t>Google All Things Agentic — August 31, 2026</w:t>
            </w:r>
          </w:p>
        </w:tc>
      </w:tr>
      <w:tr>
        <w:trPr>
          <w:cantSplit/>
        </w:trPr>
        <w:tc>
          <w:tcPr>
            <w:tcW w:type="dxa" w:w="2088"/>
            <w:tcMar>
              <w:top w:w="90" w:type="dxa"/>
              <w:start w:w="120" w:type="dxa"/>
              <w:bottom w:w="90" w:type="dxa"/>
              <w:end w:w="120" w:type="dxa"/>
            </w:tcMar>
            <w:vAlign w:val="center"/>
          </w:tcPr>
          <w:p>
            <w:pPr>
              <w:spacing w:after="0"/>
            </w:pPr>
            <w:r>
              <w:rPr>
                <w:rFonts w:ascii="Calibri" w:hAnsi="Calibri"/>
                <w:color w:val="17212B"/>
                <w:sz w:val="16"/>
              </w:rPr>
              <w:t>Change policy</w:t>
            </w:r>
          </w:p>
        </w:tc>
        <w:tc>
          <w:tcPr>
            <w:tcW w:type="dxa" w:w="7272"/>
            <w:tcMar>
              <w:top w:w="90" w:type="dxa"/>
              <w:start w:w="120" w:type="dxa"/>
              <w:bottom w:w="90" w:type="dxa"/>
              <w:end w:w="120" w:type="dxa"/>
            </w:tcMar>
            <w:vAlign w:val="center"/>
          </w:tcPr>
          <w:p>
            <w:pPr>
              <w:spacing w:after="0"/>
            </w:pPr>
            <w:r>
              <w:rPr>
                <w:rFonts w:ascii="Calibri" w:hAnsi="Calibri"/>
                <w:color w:val="17212B"/>
                <w:sz w:val="16"/>
              </w:rPr>
              <w:t>Privacy, approvals, schemas, isolation, or gate scope changes require an ADR and Product Owner decision</w:t>
            </w:r>
          </w:p>
        </w:tc>
      </w:tr>
      <w:tr>
        <w:trPr>
          <w:cantSplit/>
        </w:trPr>
        <w:tc>
          <w:tcPr>
            <w:tcW w:type="dxa" w:w="2088"/>
            <w:tcMar>
              <w:top w:w="90" w:type="dxa"/>
              <w:start w:w="120" w:type="dxa"/>
              <w:bottom w:w="90" w:type="dxa"/>
              <w:end w:w="120" w:type="dxa"/>
            </w:tcMar>
            <w:vAlign w:val="center"/>
          </w:tcPr>
          <w:p>
            <w:pPr>
              <w:spacing w:after="0"/>
            </w:pPr>
            <w:r>
              <w:rPr>
                <w:rFonts w:ascii="Calibri" w:hAnsi="Calibri"/>
                <w:color w:val="17212B"/>
                <w:sz w:val="16"/>
              </w:rPr>
              <w:t>v1.1 amendment</w:t>
            </w:r>
          </w:p>
        </w:tc>
        <w:tc>
          <w:tcPr>
            <w:tcW w:type="dxa" w:w="7272"/>
            <w:tcMar>
              <w:top w:w="90" w:type="dxa"/>
              <w:start w:w="120" w:type="dxa"/>
              <w:bottom w:w="90" w:type="dxa"/>
              <w:end w:w="120" w:type="dxa"/>
            </w:tcMar>
            <w:vAlign w:val="center"/>
          </w:tcPr>
          <w:p>
            <w:pPr>
              <w:spacing w:after="0"/>
            </w:pPr>
            <w:r>
              <w:rPr>
                <w:rFonts w:ascii="Calibri" w:hAnsi="Calibri"/>
                <w:color w:val="17212B"/>
                <w:sz w:val="16"/>
              </w:rPr>
              <w:t>1 September 2026 Intent-first candidate. Does not activate COMP-G1-06 or authorize product-code changes.</w:t>
            </w:r>
          </w:p>
        </w:tc>
      </w:tr>
    </w:tbl>
    <w:p>
      <w:pPr>
        <w:spacing w:after="20"/>
      </w:pPr>
    </w:p>
    <w:p>
      <w:pPr>
        <w:spacing w:before="400"/>
      </w:pPr>
      <w:r>
        <w:rPr>
          <w:rFonts w:ascii="Calibri" w:hAnsi="Calibri"/>
          <w:b/>
          <w:color w:val="2D7D5B"/>
          <w:sz w:val="18"/>
        </w:rPr>
        <w:t>Version 1.1  •  Issued 1 September 2026  •  Status: CHANGE-CONTROL CANDIDATE — v1.0 remains registered until Product Owner replacement approval</w:t>
      </w:r>
    </w:p>
    <w:p>
      <w:r>
        <w:br w:type="page"/>
      </w:r>
    </w:p>
    <w:p>
      <w:pPr>
        <w:pStyle w:val="Heading1"/>
      </w:pPr>
      <w:r>
        <w:t>1. Kickoff decision and success condition</w:t>
      </w:r>
    </w:p>
    <w:p>
      <w:r>
        <w:t>Ideation remains closed for the original airport-parking vertical slice, which is already implemented through COMP-G1-05. Version 1.1 records the accepted Intent-first product model. COMP-G1-06 implementation is blocked until Product Owner activates that work order. Do not treat this kickoff amendment as activation, a native-mobile selection, or durable persistence work.</w:t>
      </w: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60" w:type="dxa"/>
              <w:bottom w:w="130" w:type="dxa"/>
              <w:end w:w="160" w:type="dxa"/>
            </w:tcMar>
            <w:shd w:fill="F4F7F9"/>
          </w:tcPr>
          <w:p>
            <w:pPr>
              <w:spacing w:after="0"/>
            </w:pPr>
            <w:r>
              <w:rPr>
                <w:rFonts w:ascii="Calibri" w:hAnsi="Calibri"/>
                <w:b/>
                <w:color w:val="1C8C84"/>
                <w:sz w:val="17"/>
              </w:rPr>
              <w:t>G0 SUCCESS  Foundation G0 remains the parking PurchaseIntent slice already delivered. Intent-first work is a later activated work order. A4 remains authorization, not Booking confirmation. Historical 17 August 2026 wording (context only, not current acceptance): A typed JFK parking requirement produces a confirmed, minimized Purchase Intent; three isolated simulated suppliers return valid offers; the ranking engine recommends one; two distinct approvals culminate in exactly one signed SIMULATED authorization receipt.</w:t>
            </w:r>
            <w:r>
              <w:rPr>
                <w:rFonts w:ascii="Calibri" w:hAnsi="Calibri"/>
                <w:b/>
                <w:color w:val="17212B"/>
                <w:sz w:val="20"/>
              </w:rPr>
            </w:r>
          </w:p>
        </w:tc>
      </w:tr>
    </w:tbl>
    <w:p>
      <w:pPr>
        <w:spacing w:after="20"/>
      </w:pPr>
    </w:p>
    <w:p>
      <w:pPr>
        <w:pStyle w:val="Heading2"/>
      </w:pPr>
      <w:r>
        <w:t>1.1 Objectives for this pack</w:t>
      </w:r>
    </w:p>
    <w:p>
      <w:pPr>
        <w:pStyle w:val="ListBullet"/>
      </w:pPr>
      <w:r>
        <w:t>Convert the product/technical specification into an ordered backlog with dependencies and acceptance evidence.</w:t>
      </w:r>
    </w:p>
    <w:p>
      <w:pPr>
        <w:pStyle w:val="ListBullet"/>
      </w:pPr>
      <w:r>
        <w:t>Define how Cursor receives work, what it may decide, and what it must return.</w:t>
      </w:r>
    </w:p>
    <w:p>
      <w:pPr>
        <w:pStyle w:val="ListBullet"/>
      </w:pPr>
      <w:r>
        <w:t>Establish Definition of Ready, Definition of Done, review gates, branching, testing, and status cadence.</w:t>
      </w:r>
    </w:p>
    <w:p>
      <w:pPr>
        <w:pStyle w:val="ListBullet"/>
      </w:pPr>
      <w:r>
        <w:t>Make the first implementation package executable without additional product interpretation.</w:t>
      </w:r>
    </w:p>
    <w:p>
      <w:pPr>
        <w:pStyle w:val="ListBullet"/>
      </w:pPr>
      <w:r>
        <w:t>Surface decisions and risks early enough to protect the August 31, September 14, and September 30 gates.</w:t>
      </w:r>
    </w:p>
    <w:p>
      <w:pPr>
        <w:pStyle w:val="Heading2"/>
      </w:pPr>
      <w:r>
        <w:t>1.2 Project invariants</w:t>
      </w:r>
    </w:p>
    <w:p>
      <w:pPr>
        <w:pStyle w:val="Heading2"/>
      </w:pPr>
      <w:r>
        <w:t>1.2.1 Intent-first supersessions (v1.1)</w:t>
      </w:r>
    </w:p>
    <w:p>
      <w:pPr>
        <w:pStyle w:val="ListBullet"/>
      </w:pPr>
      <w:r>
        <w:t>Public product name is ReservEdge; itaa_* internal namespaces remain unchanged unless a later migration is approved.</w:t>
      </w:r>
    </w:p>
    <w:p>
      <w:pPr>
        <w:pStyle w:val="ListBullet"/>
      </w:pPr>
      <w:r>
        <w:t>Parent object is Intent, not Booking and not PurchaseIntent. Hierarchy: Intent → Conversation + Plan → Booking Tasks → Requirements/PurchaseIntents → Offers/Recommendations → Selection → Authorization → confirmed Booking → Cost Ledger.</w:t>
      </w:r>
    </w:p>
    <w:p>
      <w:pPr>
        <w:pStyle w:val="ListBullet"/>
      </w:pPr>
      <w:r>
        <w:t>Conversation is the primary intake, clarification, modification, and continuity surface, and is not the authoritative decision record.</w:t>
      </w:r>
    </w:p>
    <w:p>
      <w:pPr>
        <w:pStyle w:val="ListBullet"/>
      </w:pPr>
      <w:r>
        <w:t>Architecture is multi-domain; current real implementation is airport-parking-first. Rental and entertainment remain simulated/design fixtures until separately approved.</w:t>
      </w:r>
    </w:p>
    <w:p>
      <w:pPr>
        <w:pStyle w:val="ListBullet"/>
      </w:pPr>
      <w:r>
        <w:t>Preferences never enter aggregator queries, A2 envelopes, or supplier payloads. A4 is not a Booking. Simulation terminates at authorized_simulated and never claims inventory, payment, supplier contact, or a Booking.</w:t>
      </w:r>
    </w:p>
    <w:p>
      <w:pPr>
        <w:pStyle w:val="ListBullet"/>
      </w:pPr>
      <w:r>
        <w:t>scoreMicros is internal. Buyer-facing offers use qualitative fit only.</w:t>
      </w:r>
    </w:p>
    <w:p>
      <w:pPr>
        <w:pStyle w:val="ListBullet"/>
      </w:pPr>
      <w:r>
        <w:t>Current backend durability is unsupported. Responsive web is the approved mobile surface. No native-mobile framework is selected in this change.</w:t>
      </w:r>
    </w:p>
    <w:p>
      <w:pPr>
        <w:pStyle w:val="ListBullet"/>
      </w:pPr>
      <w:r>
        <w:t>Accepted freeze: docs/design/proposals/intent-first-2026-08-31/DEFINITION_GATE.md. Do not reopen those decisions here.</w:t>
      </w:r>
    </w:p>
    <w:tbl>
      <w:tblPr>
        <w:tblStyle w:val="TableGrid"/>
        <w:tblW w:type="auto" w:w="0"/>
        <w:jc w:val="center"/>
        <w:tblLayout w:type="fixed"/>
        <w:tblLook w:firstColumn="1" w:firstRow="1" w:lastColumn="0" w:lastRow="0" w:noHBand="0" w:noVBand="1" w:val="04A0"/>
        <w:tblW w:w="9360" w:type="dxa"/>
        <w:tblInd w:w="120" w:type="dxa"/>
      </w:tblPr>
      <w:tblGrid>
        <w:gridCol w:w="2232"/>
        <w:gridCol w:w="7128"/>
      </w:tblGrid>
      <w:tr>
        <w:trPr>
          <w:tblHeader w:val="true"/>
          <w:cantSplit/>
        </w:trPr>
        <w:tc>
          <w:tcPr>
            <w:tcW w:type="dxa" w:w="2232"/>
            <w:tcMar>
              <w:top w:w="90" w:type="dxa"/>
              <w:start w:w="120" w:type="dxa"/>
              <w:bottom w:w="90" w:type="dxa"/>
              <w:end w:w="120" w:type="dxa"/>
            </w:tcMar>
            <w:shd w:fill="17324D"/>
            <w:vAlign w:val="center"/>
          </w:tcPr>
          <w:p>
            <w:pPr>
              <w:spacing w:after="0"/>
            </w:pPr>
            <w:r>
              <w:rPr>
                <w:rFonts w:ascii="Calibri" w:hAnsi="Calibri"/>
                <w:b/>
                <w:color w:val="FFFFFF"/>
                <w:sz w:val="16"/>
              </w:rPr>
              <w:t>Invariant</w:t>
            </w:r>
          </w:p>
        </w:tc>
        <w:tc>
          <w:tcPr>
            <w:tcW w:type="dxa" w:w="7128"/>
            <w:tcMar>
              <w:top w:w="90" w:type="dxa"/>
              <w:start w:w="120" w:type="dxa"/>
              <w:bottom w:w="90" w:type="dxa"/>
              <w:end w:w="120" w:type="dxa"/>
            </w:tcMar>
            <w:shd w:fill="17324D"/>
            <w:vAlign w:val="center"/>
          </w:tcPr>
          <w:p>
            <w:pPr>
              <w:spacing w:after="0"/>
            </w:pPr>
            <w:r>
              <w:rPr>
                <w:rFonts w:ascii="Calibri" w:hAnsi="Calibri"/>
                <w:b/>
                <w:color w:val="FFFFFF"/>
                <w:sz w:val="16"/>
              </w:rPr>
              <w:t>Operational rule</w:t>
            </w:r>
          </w:p>
        </w:tc>
      </w:tr>
      <w:tr>
        <w:trPr>
          <w:cantSplit/>
        </w:trPr>
        <w:tc>
          <w:tcPr>
            <w:tcW w:type="dxa" w:w="2232"/>
            <w:tcMar>
              <w:top w:w="90" w:type="dxa"/>
              <w:start w:w="120" w:type="dxa"/>
              <w:bottom w:w="90" w:type="dxa"/>
              <w:end w:w="120" w:type="dxa"/>
            </w:tcMar>
            <w:vAlign w:val="center"/>
          </w:tcPr>
          <w:p>
            <w:pPr>
              <w:spacing w:after="0"/>
            </w:pPr>
            <w:r>
              <w:rPr>
                <w:rFonts w:ascii="Calibri" w:hAnsi="Calibri"/>
                <w:color w:val="17212B"/>
                <w:sz w:val="16"/>
              </w:rPr>
              <w:t>Buyer-data ownership</w:t>
            </w:r>
          </w:p>
        </w:tc>
        <w:tc>
          <w:tcPr>
            <w:tcW w:type="dxa" w:w="7128"/>
            <w:tcMar>
              <w:top w:w="90" w:type="dxa"/>
              <w:start w:w="120" w:type="dxa"/>
              <w:bottom w:w="90" w:type="dxa"/>
              <w:end w:w="120" w:type="dxa"/>
            </w:tcMar>
            <w:vAlign w:val="center"/>
          </w:tcPr>
          <w:p>
            <w:pPr>
              <w:spacing w:after="0"/>
            </w:pPr>
            <w:r>
              <w:rPr>
                <w:rFonts w:ascii="Calibri" w:hAnsi="Calibri"/>
                <w:color w:val="17212B"/>
                <w:sz w:val="16"/>
              </w:rPr>
              <w:t>Raw context and preference evidence remain in Layer 1; supplier envelopes are schema-minimized.</w:t>
            </w:r>
          </w:p>
        </w:tc>
      </w:tr>
      <w:tr>
        <w:trPr>
          <w:cantSplit/>
        </w:trPr>
        <w:tc>
          <w:tcPr>
            <w:tcW w:type="dxa" w:w="2232"/>
            <w:tcMar>
              <w:top w:w="90" w:type="dxa"/>
              <w:start w:w="120" w:type="dxa"/>
              <w:bottom w:w="90" w:type="dxa"/>
              <w:end w:w="120" w:type="dxa"/>
            </w:tcMar>
            <w:vAlign w:val="center"/>
            <w:shd w:fill="F8FAFB"/>
          </w:tcPr>
          <w:p>
            <w:pPr>
              <w:spacing w:after="0"/>
            </w:pPr>
            <w:r>
              <w:rPr>
                <w:rFonts w:ascii="Calibri" w:hAnsi="Calibri"/>
                <w:color w:val="17212B"/>
                <w:sz w:val="16"/>
              </w:rPr>
              <w:t>Minimum disclosure</w:t>
            </w:r>
          </w:p>
        </w:tc>
        <w:tc>
          <w:tcPr>
            <w:tcW w:type="dxa" w:w="7128"/>
            <w:tcMar>
              <w:top w:w="90" w:type="dxa"/>
              <w:start w:w="120" w:type="dxa"/>
              <w:bottom w:w="90" w:type="dxa"/>
              <w:end w:w="120" w:type="dxa"/>
            </w:tcMar>
            <w:vAlign w:val="center"/>
            <w:shd w:fill="F8FAFB"/>
          </w:tcPr>
          <w:p>
            <w:pPr>
              <w:spacing w:after="0"/>
            </w:pPr>
            <w:r>
              <w:rPr>
                <w:rFonts w:ascii="Calibri" w:hAnsi="Calibri"/>
                <w:color w:val="17212B"/>
                <w:sz w:val="16"/>
              </w:rPr>
              <w:t>A user sees and approves the exact serialized payload hash before dispatch.</w:t>
            </w:r>
          </w:p>
        </w:tc>
      </w:tr>
      <w:tr>
        <w:trPr>
          <w:cantSplit/>
        </w:trPr>
        <w:tc>
          <w:tcPr>
            <w:tcW w:type="dxa" w:w="2232"/>
            <w:tcMar>
              <w:top w:w="90" w:type="dxa"/>
              <w:start w:w="120" w:type="dxa"/>
              <w:bottom w:w="90" w:type="dxa"/>
              <w:end w:w="120" w:type="dxa"/>
            </w:tcMar>
            <w:vAlign w:val="center"/>
          </w:tcPr>
          <w:p>
            <w:pPr>
              <w:spacing w:after="0"/>
            </w:pPr>
            <w:r>
              <w:rPr>
                <w:rFonts w:ascii="Calibri" w:hAnsi="Calibri"/>
                <w:color w:val="17212B"/>
                <w:sz w:val="16"/>
              </w:rPr>
              <w:t>Supplier isolation</w:t>
            </w:r>
          </w:p>
        </w:tc>
        <w:tc>
          <w:tcPr>
            <w:tcW w:type="dxa" w:w="7128"/>
            <w:tcMar>
              <w:top w:w="90" w:type="dxa"/>
              <w:start w:w="120" w:type="dxa"/>
              <w:bottom w:w="90" w:type="dxa"/>
              <w:end w:w="120" w:type="dxa"/>
            </w:tcMar>
            <w:vAlign w:val="center"/>
          </w:tcPr>
          <w:p>
            <w:pPr>
              <w:spacing w:after="0"/>
            </w:pPr>
            <w:r>
              <w:rPr>
                <w:rFonts w:ascii="Calibri" w:hAnsi="Calibri"/>
                <w:color w:val="17212B"/>
                <w:sz w:val="16"/>
              </w:rPr>
              <w:t>Each supplier receives a distinct token, prompt/context, partition, and response channel.</w:t>
            </w:r>
          </w:p>
        </w:tc>
      </w:tr>
      <w:tr>
        <w:trPr>
          <w:cantSplit/>
        </w:trPr>
        <w:tc>
          <w:tcPr>
            <w:tcW w:type="dxa" w:w="2232"/>
            <w:tcMar>
              <w:top w:w="90" w:type="dxa"/>
              <w:start w:w="120" w:type="dxa"/>
              <w:bottom w:w="90" w:type="dxa"/>
              <w:end w:w="120" w:type="dxa"/>
            </w:tcMar>
            <w:vAlign w:val="center"/>
            <w:shd w:fill="F8FAFB"/>
          </w:tcPr>
          <w:p>
            <w:pPr>
              <w:spacing w:after="0"/>
            </w:pPr>
            <w:r>
              <w:rPr>
                <w:rFonts w:ascii="Calibri" w:hAnsi="Calibri"/>
                <w:color w:val="17212B"/>
                <w:sz w:val="16"/>
              </w:rPr>
              <w:t>Human authority</w:t>
            </w:r>
          </w:p>
        </w:tc>
        <w:tc>
          <w:tcPr>
            <w:tcW w:type="dxa" w:w="7128"/>
            <w:tcMar>
              <w:top w:w="90" w:type="dxa"/>
              <w:start w:w="120" w:type="dxa"/>
              <w:bottom w:w="90" w:type="dxa"/>
              <w:end w:w="120" w:type="dxa"/>
            </w:tcMar>
            <w:vAlign w:val="center"/>
            <w:shd w:fill="F8FAFB"/>
          </w:tcPr>
          <w:p>
            <w:pPr>
              <w:spacing w:after="0"/>
            </w:pPr>
            <w:r>
              <w:rPr>
                <w:rFonts w:ascii="Calibri" w:hAnsi="Calibri"/>
                <w:color w:val="17212B"/>
                <w:sz w:val="16"/>
              </w:rPr>
              <w:t>Requirement confirmation, Purchase Intent dispatch, offer acceptance, and transaction authorization remain explicit transitions.</w:t>
            </w:r>
          </w:p>
        </w:tc>
      </w:tr>
      <w:tr>
        <w:trPr>
          <w:cantSplit/>
        </w:trPr>
        <w:tc>
          <w:tcPr>
            <w:tcW w:type="dxa" w:w="2232"/>
            <w:tcMar>
              <w:top w:w="90" w:type="dxa"/>
              <w:start w:w="120" w:type="dxa"/>
              <w:bottom w:w="90" w:type="dxa"/>
              <w:end w:w="120" w:type="dxa"/>
            </w:tcMar>
            <w:vAlign w:val="center"/>
          </w:tcPr>
          <w:p>
            <w:pPr>
              <w:spacing w:after="0"/>
            </w:pPr>
            <w:r>
              <w:rPr>
                <w:rFonts w:ascii="Calibri" w:hAnsi="Calibri"/>
                <w:color w:val="17212B"/>
                <w:sz w:val="16"/>
              </w:rPr>
              <w:t>Simulation honesty</w:t>
            </w:r>
          </w:p>
        </w:tc>
        <w:tc>
          <w:tcPr>
            <w:tcW w:type="dxa" w:w="7128"/>
            <w:tcMar>
              <w:top w:w="90" w:type="dxa"/>
              <w:start w:w="120" w:type="dxa"/>
              <w:bottom w:w="90" w:type="dxa"/>
              <w:end w:w="120" w:type="dxa"/>
            </w:tcMar>
            <w:vAlign w:val="center"/>
          </w:tcPr>
          <w:p>
            <w:pPr>
              <w:spacing w:after="0"/>
            </w:pPr>
            <w:r>
              <w:rPr>
                <w:rFonts w:ascii="Calibri" w:hAnsi="Calibri"/>
                <w:color w:val="17212B"/>
                <w:sz w:val="16"/>
              </w:rPr>
              <w:t>MVP suppliers and authorization are labeled SIMULATED in contracts, UI, logs, tests, and demos.</w:t>
            </w:r>
          </w:p>
        </w:tc>
      </w:tr>
      <w:tr>
        <w:trPr>
          <w:cantSplit/>
        </w:trPr>
        <w:tc>
          <w:tcPr>
            <w:tcW w:type="dxa" w:w="2232"/>
            <w:tcMar>
              <w:top w:w="90" w:type="dxa"/>
              <w:start w:w="120" w:type="dxa"/>
              <w:bottom w:w="90" w:type="dxa"/>
              <w:end w:w="120" w:type="dxa"/>
            </w:tcMar>
            <w:vAlign w:val="center"/>
            <w:shd w:fill="F8FAFB"/>
          </w:tcPr>
          <w:p>
            <w:pPr>
              <w:spacing w:after="0"/>
            </w:pPr>
            <w:r>
              <w:rPr>
                <w:rFonts w:ascii="Calibri" w:hAnsi="Calibri"/>
                <w:color w:val="17212B"/>
                <w:sz w:val="16"/>
              </w:rPr>
              <w:t>Cloud-neutral core</w:t>
            </w:r>
          </w:p>
        </w:tc>
        <w:tc>
          <w:tcPr>
            <w:tcW w:type="dxa" w:w="7128"/>
            <w:tcMar>
              <w:top w:w="90" w:type="dxa"/>
              <w:start w:w="120" w:type="dxa"/>
              <w:bottom w:w="90" w:type="dxa"/>
              <w:end w:w="120" w:type="dxa"/>
            </w:tcMar>
            <w:vAlign w:val="center"/>
            <w:shd w:fill="F8FAFB"/>
          </w:tcPr>
          <w:p>
            <w:pPr>
              <w:spacing w:after="0"/>
            </w:pPr>
            <w:r>
              <w:rPr>
                <w:rFonts w:ascii="Calibri" w:hAnsi="Calibri"/>
                <w:color w:val="17212B"/>
                <w:sz w:val="16"/>
              </w:rPr>
              <w:t>No Google/AWS SDK type, model name, database type, or runtime concern crosses into domain/application packages.</w:t>
            </w:r>
          </w:p>
        </w:tc>
      </w:tr>
      <w:tr>
        <w:trPr>
          <w:cantSplit/>
        </w:trPr>
        <w:tc>
          <w:tcPr>
            <w:tcW w:type="dxa" w:w="2232"/>
            <w:tcMar>
              <w:top w:w="90" w:type="dxa"/>
              <w:start w:w="120" w:type="dxa"/>
              <w:bottom w:w="90" w:type="dxa"/>
              <w:end w:w="120" w:type="dxa"/>
            </w:tcMar>
            <w:vAlign w:val="center"/>
          </w:tcPr>
          <w:p>
            <w:pPr>
              <w:spacing w:after="0"/>
            </w:pPr>
            <w:r>
              <w:rPr>
                <w:rFonts w:ascii="Calibri" w:hAnsi="Calibri"/>
                <w:color w:val="17212B"/>
                <w:sz w:val="16"/>
              </w:rPr>
              <w:t>Deterministic governance</w:t>
            </w:r>
          </w:p>
        </w:tc>
        <w:tc>
          <w:tcPr>
            <w:tcW w:type="dxa" w:w="7128"/>
            <w:tcMar>
              <w:top w:w="90" w:type="dxa"/>
              <w:start w:w="120" w:type="dxa"/>
              <w:bottom w:w="90" w:type="dxa"/>
              <w:end w:w="120" w:type="dxa"/>
            </w:tcMar>
            <w:vAlign w:val="center"/>
          </w:tcPr>
          <w:p>
            <w:pPr>
              <w:spacing w:after="0"/>
            </w:pPr>
            <w:r>
              <w:rPr>
                <w:rFonts w:ascii="Calibri" w:hAnsi="Calibri"/>
                <w:color w:val="17212B"/>
                <w:sz w:val="16"/>
              </w:rPr>
              <w:t>Models may extract or explain; code owns policy, state transitions, eligibility, ranking, approvals, money, and idempotency.</w:t>
            </w:r>
          </w:p>
        </w:tc>
      </w:tr>
    </w:tbl>
    <w:p>
      <w:pPr>
        <w:spacing w:after="20"/>
      </w:pPr>
    </w:p>
    <w:p>
      <w:pPr>
        <w:pStyle w:val="Heading2"/>
      </w:pPr>
      <w:r>
        <w:t>1.3 Gate calendar</w:t>
      </w:r>
    </w:p>
    <w:tbl>
      <w:tblPr>
        <w:tblStyle w:val="TableGrid"/>
        <w:tblW w:type="auto" w:w="0"/>
        <w:jc w:val="center"/>
        <w:tblLayout w:type="fixed"/>
        <w:tblLook w:firstColumn="1" w:firstRow="1" w:lastColumn="0" w:lastRow="0" w:noHBand="0" w:noVBand="1" w:val="04A0"/>
        <w:tblW w:w="9360" w:type="dxa"/>
        <w:tblInd w:w="120" w:type="dxa"/>
      </w:tblPr>
      <w:tblGrid>
        <w:gridCol w:w="1800"/>
        <w:gridCol w:w="1584"/>
        <w:gridCol w:w="5976"/>
      </w:tblGrid>
      <w:tr>
        <w:trPr>
          <w:tblHeader w:val="true"/>
          <w:cantSplit/>
        </w:trPr>
        <w:tc>
          <w:tcPr>
            <w:tcW w:type="dxa" w:w="1800"/>
            <w:tcMar>
              <w:top w:w="90" w:type="dxa"/>
              <w:start w:w="120" w:type="dxa"/>
              <w:bottom w:w="90" w:type="dxa"/>
              <w:end w:w="120" w:type="dxa"/>
            </w:tcMar>
            <w:shd w:fill="17324D"/>
            <w:vAlign w:val="center"/>
          </w:tcPr>
          <w:p>
            <w:pPr>
              <w:spacing w:after="0"/>
            </w:pPr>
            <w:r>
              <w:rPr>
                <w:rFonts w:ascii="Calibri" w:hAnsi="Calibri"/>
                <w:b/>
                <w:color w:val="FFFFFF"/>
                <w:sz w:val="16"/>
              </w:rPr>
              <w:t>Gate</w:t>
            </w:r>
          </w:p>
        </w:tc>
        <w:tc>
          <w:tcPr>
            <w:tcW w:type="dxa" w:w="1584"/>
            <w:tcMar>
              <w:top w:w="90" w:type="dxa"/>
              <w:start w:w="120" w:type="dxa"/>
              <w:bottom w:w="90" w:type="dxa"/>
              <w:end w:w="120" w:type="dxa"/>
            </w:tcMar>
            <w:shd w:fill="17324D"/>
            <w:vAlign w:val="center"/>
          </w:tcPr>
          <w:p>
            <w:pPr>
              <w:spacing w:after="0"/>
            </w:pPr>
            <w:r>
              <w:rPr>
                <w:rFonts w:ascii="Calibri" w:hAnsi="Calibri"/>
                <w:b/>
                <w:color w:val="FFFFFF"/>
                <w:sz w:val="16"/>
              </w:rPr>
              <w:t>Date</w:t>
            </w:r>
          </w:p>
        </w:tc>
        <w:tc>
          <w:tcPr>
            <w:tcW w:type="dxa" w:w="5976"/>
            <w:tcMar>
              <w:top w:w="90" w:type="dxa"/>
              <w:start w:w="120" w:type="dxa"/>
              <w:bottom w:w="90" w:type="dxa"/>
              <w:end w:w="120" w:type="dxa"/>
            </w:tcMar>
            <w:shd w:fill="17324D"/>
            <w:vAlign w:val="center"/>
          </w:tcPr>
          <w:p>
            <w:pPr>
              <w:spacing w:after="0"/>
            </w:pPr>
            <w:r>
              <w:rPr>
                <w:rFonts w:ascii="Calibri" w:hAnsi="Calibri"/>
                <w:b/>
                <w:color w:val="FFFFFF"/>
                <w:sz w:val="16"/>
              </w:rPr>
              <w:t>Exit proof</w:t>
            </w:r>
          </w:p>
        </w:tc>
      </w:tr>
      <w:tr>
        <w:trPr>
          <w:cantSplit/>
        </w:trPr>
        <w:tc>
          <w:tcPr>
            <w:tcW w:type="dxa" w:w="1800"/>
            <w:tcMar>
              <w:top w:w="90" w:type="dxa"/>
              <w:start w:w="120" w:type="dxa"/>
              <w:bottom w:w="90" w:type="dxa"/>
              <w:end w:w="120" w:type="dxa"/>
            </w:tcMar>
            <w:vAlign w:val="center"/>
          </w:tcPr>
          <w:p>
            <w:pPr>
              <w:spacing w:after="0"/>
            </w:pPr>
            <w:r>
              <w:rPr>
                <w:rFonts w:ascii="Calibri" w:hAnsi="Calibri"/>
                <w:color w:val="17212B"/>
                <w:sz w:val="16"/>
              </w:rPr>
              <w:t>G0 Foundation</w:t>
            </w:r>
          </w:p>
        </w:tc>
        <w:tc>
          <w:tcPr>
            <w:tcW w:type="dxa" w:w="1584"/>
            <w:tcMar>
              <w:top w:w="90" w:type="dxa"/>
              <w:start w:w="120" w:type="dxa"/>
              <w:bottom w:w="90" w:type="dxa"/>
              <w:end w:w="120" w:type="dxa"/>
            </w:tcMar>
            <w:vAlign w:val="center"/>
          </w:tcPr>
          <w:p>
            <w:pPr>
              <w:spacing w:after="0"/>
            </w:pPr>
            <w:r>
              <w:rPr>
                <w:rFonts w:ascii="Calibri" w:hAnsi="Calibri"/>
                <w:color w:val="17212B"/>
                <w:sz w:val="16"/>
              </w:rPr>
              <w:t>Aug 17</w:t>
            </w:r>
          </w:p>
        </w:tc>
        <w:tc>
          <w:tcPr>
            <w:tcW w:type="dxa" w:w="5976"/>
            <w:tcMar>
              <w:top w:w="90" w:type="dxa"/>
              <w:start w:w="120" w:type="dxa"/>
              <w:bottom w:w="90" w:type="dxa"/>
              <w:end w:w="120" w:type="dxa"/>
            </w:tcMar>
            <w:vAlign w:val="center"/>
          </w:tcPr>
          <w:p>
            <w:pPr>
              <w:spacing w:after="0"/>
            </w:pPr>
            <w:r>
              <w:rPr>
                <w:rFonts w:ascii="Calibri" w:hAnsi="Calibri"/>
                <w:color w:val="17212B"/>
                <w:sz w:val="16"/>
              </w:rPr>
              <w:t>Local deterministic golden path and full domain test suite</w:t>
            </w:r>
          </w:p>
        </w:tc>
      </w:tr>
      <w:tr>
        <w:trPr>
          <w:cantSplit/>
        </w:trPr>
        <w:tc>
          <w:tcPr>
            <w:tcW w:type="dxa" w:w="1800"/>
            <w:tcMar>
              <w:top w:w="90" w:type="dxa"/>
              <w:start w:w="120" w:type="dxa"/>
              <w:bottom w:w="90" w:type="dxa"/>
              <w:end w:w="120" w:type="dxa"/>
            </w:tcMar>
            <w:vAlign w:val="center"/>
            <w:shd w:fill="F8FAFB"/>
          </w:tcPr>
          <w:p>
            <w:pPr>
              <w:spacing w:after="0"/>
            </w:pPr>
            <w:r>
              <w:rPr>
                <w:rFonts w:ascii="Calibri" w:hAnsi="Calibri"/>
                <w:color w:val="17212B"/>
                <w:sz w:val="16"/>
              </w:rPr>
              <w:t>G1 Google</w:t>
            </w:r>
          </w:p>
        </w:tc>
        <w:tc>
          <w:tcPr>
            <w:tcW w:type="dxa" w:w="1584"/>
            <w:tcMar>
              <w:top w:w="90" w:type="dxa"/>
              <w:start w:w="120" w:type="dxa"/>
              <w:bottom w:w="90" w:type="dxa"/>
              <w:end w:w="120" w:type="dxa"/>
            </w:tcMar>
            <w:vAlign w:val="center"/>
            <w:shd w:fill="F8FAFB"/>
          </w:tcPr>
          <w:p>
            <w:pPr>
              <w:spacing w:after="0"/>
            </w:pPr>
            <w:r>
              <w:rPr>
                <w:rFonts w:ascii="Calibri" w:hAnsi="Calibri"/>
                <w:color w:val="17212B"/>
                <w:sz w:val="16"/>
              </w:rPr>
              <w:t>Aug 31</w:t>
            </w:r>
          </w:p>
        </w:tc>
        <w:tc>
          <w:tcPr>
            <w:tcW w:type="dxa" w:w="5976"/>
            <w:tcMar>
              <w:top w:w="90" w:type="dxa"/>
              <w:start w:w="120" w:type="dxa"/>
              <w:bottom w:w="90" w:type="dxa"/>
              <w:end w:w="120" w:type="dxa"/>
            </w:tcMar>
            <w:vAlign w:val="center"/>
            <w:shd w:fill="F8FAFB"/>
          </w:tcPr>
          <w:p>
            <w:pPr>
              <w:spacing w:after="0"/>
            </w:pPr>
            <w:r>
              <w:rPr>
                <w:rFonts w:ascii="Calibri" w:hAnsi="Calibri"/>
                <w:color w:val="17212B"/>
                <w:sz w:val="16"/>
              </w:rPr>
              <w:t>Google ADK/Gemini/Cloud adapter, deployed web demo, submission package</w:t>
            </w:r>
          </w:p>
        </w:tc>
      </w:tr>
      <w:tr>
        <w:trPr>
          <w:cantSplit/>
        </w:trPr>
        <w:tc>
          <w:tcPr>
            <w:tcW w:type="dxa" w:w="1800"/>
            <w:tcMar>
              <w:top w:w="90" w:type="dxa"/>
              <w:start w:w="120" w:type="dxa"/>
              <w:bottom w:w="90" w:type="dxa"/>
              <w:end w:w="120" w:type="dxa"/>
            </w:tcMar>
            <w:vAlign w:val="center"/>
          </w:tcPr>
          <w:p>
            <w:pPr>
              <w:spacing w:after="0"/>
            </w:pPr>
            <w:r>
              <w:rPr>
                <w:rFonts w:ascii="Calibri" w:hAnsi="Calibri"/>
                <w:color w:val="17212B"/>
                <w:sz w:val="16"/>
              </w:rPr>
              <w:t>G2 AWS</w:t>
            </w:r>
          </w:p>
        </w:tc>
        <w:tc>
          <w:tcPr>
            <w:tcW w:type="dxa" w:w="1584"/>
            <w:tcMar>
              <w:top w:w="90" w:type="dxa"/>
              <w:start w:w="120" w:type="dxa"/>
              <w:bottom w:w="90" w:type="dxa"/>
              <w:end w:w="120" w:type="dxa"/>
            </w:tcMar>
            <w:vAlign w:val="center"/>
          </w:tcPr>
          <w:p>
            <w:pPr>
              <w:spacing w:after="0"/>
            </w:pPr>
            <w:r>
              <w:rPr>
                <w:rFonts w:ascii="Calibri" w:hAnsi="Calibri"/>
                <w:color w:val="17212B"/>
                <w:sz w:val="16"/>
              </w:rPr>
              <w:t>Sep 14</w:t>
            </w:r>
          </w:p>
        </w:tc>
        <w:tc>
          <w:tcPr>
            <w:tcW w:type="dxa" w:w="5976"/>
            <w:tcMar>
              <w:top w:w="90" w:type="dxa"/>
              <w:start w:w="120" w:type="dxa"/>
              <w:bottom w:w="90" w:type="dxa"/>
              <w:end w:w="120" w:type="dxa"/>
            </w:tcMar>
            <w:vAlign w:val="center"/>
          </w:tcPr>
          <w:p>
            <w:pPr>
              <w:spacing w:after="0"/>
            </w:pPr>
            <w:r>
              <w:rPr>
                <w:rFonts w:ascii="Calibri" w:hAnsi="Calibri"/>
                <w:color w:val="17212B"/>
                <w:sz w:val="16"/>
              </w:rPr>
              <w:t>Strands/Bedrock/AgentCore adapter, hardened workflow, observability and governance evidence</w:t>
            </w:r>
          </w:p>
        </w:tc>
      </w:tr>
      <w:tr>
        <w:trPr>
          <w:cantSplit/>
        </w:trPr>
        <w:tc>
          <w:tcPr>
            <w:tcW w:type="dxa" w:w="1800"/>
            <w:tcMar>
              <w:top w:w="90" w:type="dxa"/>
              <w:start w:w="120" w:type="dxa"/>
              <w:bottom w:w="90" w:type="dxa"/>
              <w:end w:w="120" w:type="dxa"/>
            </w:tcMar>
            <w:vAlign w:val="center"/>
            <w:shd w:fill="F8FAFB"/>
          </w:tcPr>
          <w:p>
            <w:pPr>
              <w:spacing w:after="0"/>
            </w:pPr>
            <w:r>
              <w:rPr>
                <w:rFonts w:ascii="Calibri" w:hAnsi="Calibri"/>
                <w:color w:val="17212B"/>
                <w:sz w:val="16"/>
              </w:rPr>
              <w:t>G3 Mobile</w:t>
            </w:r>
          </w:p>
        </w:tc>
        <w:tc>
          <w:tcPr>
            <w:tcW w:type="dxa" w:w="1584"/>
            <w:tcMar>
              <w:top w:w="90" w:type="dxa"/>
              <w:start w:w="120" w:type="dxa"/>
              <w:bottom w:w="90" w:type="dxa"/>
              <w:end w:w="120" w:type="dxa"/>
            </w:tcMar>
            <w:vAlign w:val="center"/>
            <w:shd w:fill="F8FAFB"/>
          </w:tcPr>
          <w:p>
            <w:pPr>
              <w:spacing w:after="0"/>
            </w:pPr>
            <w:r>
              <w:rPr>
                <w:rFonts w:ascii="Calibri" w:hAnsi="Calibri"/>
                <w:color w:val="17212B"/>
                <w:sz w:val="16"/>
              </w:rPr>
              <w:t>Sep 30</w:t>
            </w:r>
          </w:p>
        </w:tc>
        <w:tc>
          <w:tcPr>
            <w:tcW w:type="dxa" w:w="5976"/>
            <w:tcMar>
              <w:top w:w="90" w:type="dxa"/>
              <w:start w:w="120" w:type="dxa"/>
              <w:bottom w:w="90" w:type="dxa"/>
              <w:end w:w="120" w:type="dxa"/>
            </w:tcMar>
            <w:vAlign w:val="center"/>
            <w:shd w:fill="F8FAFB"/>
          </w:tcPr>
          <w:p>
            <w:pPr>
              <w:spacing w:after="0"/>
            </w:pPr>
            <w:r>
              <w:rPr>
                <w:rFonts w:ascii="Calibri" w:hAnsi="Calibri"/>
                <w:color w:val="17212B"/>
                <w:sz w:val="16"/>
              </w:rPr>
              <w:t>Responsive web mobile evidence; Share to ReservEdge / RevenueCat / native store remain later G3 productization and are not selected. Historical/internal label: Share-to-ITAA.</w:t>
            </w:r>
          </w:p>
        </w:tc>
      </w:tr>
    </w:tbl>
    <w:p>
      <w:pPr>
        <w:spacing w:after="20"/>
      </w:pPr>
    </w:p>
    <w:p>
      <w:pPr>
        <w:pStyle w:val="Heading1"/>
      </w:pPr>
      <w:r>
        <w:t>2. Team operating model</w:t>
      </w:r>
    </w:p>
    <w:p>
      <w:pPr>
        <w:pStyle w:val="Heading2"/>
      </w:pPr>
      <w:r>
        <w:t>2.1 Roles and decision rights</w:t>
      </w:r>
    </w:p>
    <w:tbl>
      <w:tblPr>
        <w:tblStyle w:val="TableGrid"/>
        <w:tblW w:type="auto" w:w="0"/>
        <w:jc w:val="center"/>
        <w:tblLayout w:type="fixed"/>
        <w:tblLook w:firstColumn="1" w:firstRow="1" w:lastColumn="0" w:lastRow="0" w:noHBand="0" w:noVBand="1" w:val="04A0"/>
        <w:tblW w:w="9360" w:type="dxa"/>
        <w:tblInd w:w="120" w:type="dxa"/>
      </w:tblPr>
      <w:tblGrid>
        <w:gridCol w:w="1944"/>
        <w:gridCol w:w="2880"/>
        <w:gridCol w:w="2232"/>
        <w:gridCol w:w="2304"/>
      </w:tblGrid>
      <w:tr>
        <w:trPr>
          <w:tblHeader w:val="true"/>
          <w:cantSplit/>
        </w:trPr>
        <w:tc>
          <w:tcPr>
            <w:tcW w:type="dxa" w:w="1944"/>
            <w:tcMar>
              <w:top w:w="90" w:type="dxa"/>
              <w:start w:w="120" w:type="dxa"/>
              <w:bottom w:w="90" w:type="dxa"/>
              <w:end w:w="120" w:type="dxa"/>
            </w:tcMar>
            <w:shd w:fill="17324D"/>
            <w:vAlign w:val="center"/>
          </w:tcPr>
          <w:p>
            <w:pPr>
              <w:spacing w:after="0"/>
            </w:pPr>
            <w:r>
              <w:rPr>
                <w:rFonts w:ascii="Calibri" w:hAnsi="Calibri"/>
                <w:b/>
                <w:color w:val="FFFFFF"/>
                <w:sz w:val="15"/>
              </w:rPr>
              <w:t>Role</w:t>
            </w:r>
          </w:p>
        </w:tc>
        <w:tc>
          <w:tcPr>
            <w:tcW w:type="dxa" w:w="2880"/>
            <w:tcMar>
              <w:top w:w="90" w:type="dxa"/>
              <w:start w:w="120" w:type="dxa"/>
              <w:bottom w:w="90" w:type="dxa"/>
              <w:end w:w="120" w:type="dxa"/>
            </w:tcMar>
            <w:shd w:fill="17324D"/>
            <w:vAlign w:val="center"/>
          </w:tcPr>
          <w:p>
            <w:pPr>
              <w:spacing w:after="0"/>
            </w:pPr>
            <w:r>
              <w:rPr>
                <w:rFonts w:ascii="Calibri" w:hAnsi="Calibri"/>
                <w:b/>
                <w:color w:val="FFFFFF"/>
                <w:sz w:val="15"/>
              </w:rPr>
              <w:t>Accountability</w:t>
            </w:r>
          </w:p>
        </w:tc>
        <w:tc>
          <w:tcPr>
            <w:tcW w:type="dxa" w:w="2232"/>
            <w:tcMar>
              <w:top w:w="90" w:type="dxa"/>
              <w:start w:w="120" w:type="dxa"/>
              <w:bottom w:w="90" w:type="dxa"/>
              <w:end w:w="120" w:type="dxa"/>
            </w:tcMar>
            <w:shd w:fill="17324D"/>
            <w:vAlign w:val="center"/>
          </w:tcPr>
          <w:p>
            <w:pPr>
              <w:spacing w:after="0"/>
            </w:pPr>
            <w:r>
              <w:rPr>
                <w:rFonts w:ascii="Calibri" w:hAnsi="Calibri"/>
                <w:b/>
                <w:color w:val="FFFFFF"/>
                <w:sz w:val="15"/>
              </w:rPr>
              <w:t>May decide</w:t>
            </w:r>
          </w:p>
        </w:tc>
        <w:tc>
          <w:tcPr>
            <w:tcW w:type="dxa" w:w="2304"/>
            <w:tcMar>
              <w:top w:w="90" w:type="dxa"/>
              <w:start w:w="120" w:type="dxa"/>
              <w:bottom w:w="90" w:type="dxa"/>
              <w:end w:w="120" w:type="dxa"/>
            </w:tcMar>
            <w:shd w:fill="17324D"/>
            <w:vAlign w:val="center"/>
          </w:tcPr>
          <w:p>
            <w:pPr>
              <w:spacing w:after="0"/>
            </w:pPr>
            <w:r>
              <w:rPr>
                <w:rFonts w:ascii="Calibri" w:hAnsi="Calibri"/>
                <w:b/>
                <w:color w:val="FFFFFF"/>
                <w:sz w:val="15"/>
              </w:rPr>
              <w:t>Must escalate</w:t>
            </w:r>
          </w:p>
        </w:tc>
      </w:tr>
      <w:tr>
        <w:trPr>
          <w:cantSplit/>
        </w:trPr>
        <w:tc>
          <w:tcPr>
            <w:tcW w:type="dxa" w:w="1944"/>
            <w:tcMar>
              <w:top w:w="90" w:type="dxa"/>
              <w:start w:w="120" w:type="dxa"/>
              <w:bottom w:w="90" w:type="dxa"/>
              <w:end w:w="120" w:type="dxa"/>
            </w:tcMar>
            <w:vAlign w:val="center"/>
          </w:tcPr>
          <w:p>
            <w:pPr>
              <w:spacing w:after="0"/>
            </w:pPr>
            <w:r>
              <w:rPr>
                <w:rFonts w:ascii="Calibri" w:hAnsi="Calibri"/>
                <w:color w:val="17212B"/>
                <w:sz w:val="15"/>
              </w:rPr>
              <w:t>Product Owner (user)</w:t>
            </w:r>
          </w:p>
        </w:tc>
        <w:tc>
          <w:tcPr>
            <w:tcW w:type="dxa" w:w="2880"/>
            <w:tcMar>
              <w:top w:w="90" w:type="dxa"/>
              <w:start w:w="120" w:type="dxa"/>
              <w:bottom w:w="90" w:type="dxa"/>
              <w:end w:w="120" w:type="dxa"/>
            </w:tcMar>
            <w:vAlign w:val="center"/>
          </w:tcPr>
          <w:p>
            <w:pPr>
              <w:spacing w:after="0"/>
            </w:pPr>
            <w:r>
              <w:rPr>
                <w:rFonts w:ascii="Calibri" w:hAnsi="Calibri"/>
                <w:color w:val="17212B"/>
                <w:sz w:val="15"/>
              </w:rPr>
              <w:t>Vision, priority, scope, accounts/budget, final acceptance</w:t>
            </w:r>
          </w:p>
        </w:tc>
        <w:tc>
          <w:tcPr>
            <w:tcW w:type="dxa" w:w="2232"/>
            <w:tcMar>
              <w:top w:w="90" w:type="dxa"/>
              <w:start w:w="120" w:type="dxa"/>
              <w:bottom w:w="90" w:type="dxa"/>
              <w:end w:w="120" w:type="dxa"/>
            </w:tcMar>
            <w:vAlign w:val="center"/>
          </w:tcPr>
          <w:p>
            <w:pPr>
              <w:spacing w:after="0"/>
            </w:pPr>
            <w:r>
              <w:rPr>
                <w:rFonts w:ascii="Calibri" w:hAnsi="Calibri"/>
                <w:color w:val="17212B"/>
                <w:sz w:val="15"/>
              </w:rPr>
              <w:t>Product tradeoffs, release platform, spend, external commitments</w:t>
            </w:r>
          </w:p>
        </w:tc>
        <w:tc>
          <w:tcPr>
            <w:tcW w:type="dxa" w:w="2304"/>
            <w:tcMar>
              <w:top w:w="90" w:type="dxa"/>
              <w:start w:w="120" w:type="dxa"/>
              <w:bottom w:w="90" w:type="dxa"/>
              <w:end w:w="120" w:type="dxa"/>
            </w:tcMar>
            <w:vAlign w:val="center"/>
          </w:tcPr>
          <w:p>
            <w:pPr>
              <w:spacing w:after="0"/>
            </w:pPr>
            <w:r>
              <w:rPr>
                <w:rFonts w:ascii="Calibri" w:hAnsi="Calibri"/>
                <w:color w:val="17212B"/>
                <w:sz w:val="15"/>
              </w:rPr>
              <w:t>Conflicts with locked principles or competition eligibility</w:t>
            </w:r>
          </w:p>
        </w:tc>
      </w:tr>
      <w:tr>
        <w:trPr>
          <w:cantSplit/>
        </w:trPr>
        <w:tc>
          <w:tcPr>
            <w:tcW w:type="dxa" w:w="1944"/>
            <w:tcMar>
              <w:top w:w="90" w:type="dxa"/>
              <w:start w:w="120" w:type="dxa"/>
              <w:bottom w:w="90" w:type="dxa"/>
              <w:end w:w="120" w:type="dxa"/>
            </w:tcMar>
            <w:vAlign w:val="center"/>
            <w:shd w:fill="F8FAFB"/>
          </w:tcPr>
          <w:p>
            <w:pPr>
              <w:spacing w:after="0"/>
            </w:pPr>
            <w:r>
              <w:rPr>
                <w:rFonts w:ascii="Calibri" w:hAnsi="Calibri"/>
                <w:color w:val="17212B"/>
                <w:sz w:val="15"/>
              </w:rPr>
              <w:t>Project Manager / reviewer (Codex)</w:t>
            </w:r>
          </w:p>
        </w:tc>
        <w:tc>
          <w:tcPr>
            <w:tcW w:type="dxa" w:w="2880"/>
            <w:tcMar>
              <w:top w:w="90" w:type="dxa"/>
              <w:start w:w="120" w:type="dxa"/>
              <w:bottom w:w="90" w:type="dxa"/>
              <w:end w:w="120" w:type="dxa"/>
            </w:tcMar>
            <w:vAlign w:val="center"/>
            <w:shd w:fill="F8FAFB"/>
          </w:tcPr>
          <w:p>
            <w:pPr>
              <w:spacing w:after="0"/>
            </w:pPr>
            <w:r>
              <w:rPr>
                <w:rFonts w:ascii="Calibri" w:hAnsi="Calibri"/>
                <w:color w:val="17212B"/>
                <w:sz w:val="15"/>
              </w:rPr>
              <w:t>Backlog, requirements, sequencing, reviews, risks, acceptance, gate readiness</w:t>
            </w:r>
          </w:p>
        </w:tc>
        <w:tc>
          <w:tcPr>
            <w:tcW w:type="dxa" w:w="2232"/>
            <w:tcMar>
              <w:top w:w="90" w:type="dxa"/>
              <w:start w:w="120" w:type="dxa"/>
              <w:bottom w:w="90" w:type="dxa"/>
              <w:end w:w="120" w:type="dxa"/>
            </w:tcMar>
            <w:vAlign w:val="center"/>
            <w:shd w:fill="F8FAFB"/>
          </w:tcPr>
          <w:p>
            <w:pPr>
              <w:spacing w:after="0"/>
            </w:pPr>
            <w:r>
              <w:rPr>
                <w:rFonts w:ascii="Calibri" w:hAnsi="Calibri"/>
                <w:color w:val="17212B"/>
                <w:sz w:val="15"/>
              </w:rPr>
              <w:t>Work-package decomposition, rework, test evidence sufficiency</w:t>
            </w:r>
          </w:p>
        </w:tc>
        <w:tc>
          <w:tcPr>
            <w:tcW w:type="dxa" w:w="2304"/>
            <w:tcMar>
              <w:top w:w="90" w:type="dxa"/>
              <w:start w:w="120" w:type="dxa"/>
              <w:bottom w:w="90" w:type="dxa"/>
              <w:end w:w="120" w:type="dxa"/>
            </w:tcMar>
            <w:vAlign w:val="center"/>
            <w:shd w:fill="F8FAFB"/>
          </w:tcPr>
          <w:p>
            <w:pPr>
              <w:spacing w:after="0"/>
            </w:pPr>
            <w:r>
              <w:rPr>
                <w:rFonts w:ascii="Calibri" w:hAnsi="Calibri"/>
                <w:color w:val="17212B"/>
                <w:sz w:val="15"/>
              </w:rPr>
              <w:t>Material scope/date change; external access or consequential action</w:t>
            </w:r>
          </w:p>
        </w:tc>
      </w:tr>
      <w:tr>
        <w:trPr>
          <w:cantSplit/>
        </w:trPr>
        <w:tc>
          <w:tcPr>
            <w:tcW w:type="dxa" w:w="1944"/>
            <w:tcMar>
              <w:top w:w="90" w:type="dxa"/>
              <w:start w:w="120" w:type="dxa"/>
              <w:bottom w:w="90" w:type="dxa"/>
              <w:end w:w="120" w:type="dxa"/>
            </w:tcMar>
            <w:vAlign w:val="center"/>
          </w:tcPr>
          <w:p>
            <w:pPr>
              <w:spacing w:after="0"/>
            </w:pPr>
            <w:r>
              <w:rPr>
                <w:rFonts w:ascii="Calibri" w:hAnsi="Calibri"/>
                <w:color w:val="17212B"/>
                <w:sz w:val="15"/>
              </w:rPr>
              <w:t>Implementation engine (Cursor)</w:t>
            </w:r>
          </w:p>
        </w:tc>
        <w:tc>
          <w:tcPr>
            <w:tcW w:type="dxa" w:w="2880"/>
            <w:tcMar>
              <w:top w:w="90" w:type="dxa"/>
              <w:start w:w="120" w:type="dxa"/>
              <w:bottom w:w="90" w:type="dxa"/>
              <w:end w:w="120" w:type="dxa"/>
            </w:tcMar>
            <w:vAlign w:val="center"/>
          </w:tcPr>
          <w:p>
            <w:pPr>
              <w:spacing w:after="0"/>
            </w:pPr>
            <w:r>
              <w:rPr>
                <w:rFonts w:ascii="Calibri" w:hAnsi="Calibri"/>
                <w:color w:val="17212B"/>
                <w:sz w:val="15"/>
              </w:rPr>
              <w:t>Code, tests, migrations, docs, local evidence within assigned package</w:t>
            </w:r>
          </w:p>
        </w:tc>
        <w:tc>
          <w:tcPr>
            <w:tcW w:type="dxa" w:w="2232"/>
            <w:tcMar>
              <w:top w:w="90" w:type="dxa"/>
              <w:start w:w="120" w:type="dxa"/>
              <w:bottom w:w="90" w:type="dxa"/>
              <w:end w:w="120" w:type="dxa"/>
            </w:tcMar>
            <w:vAlign w:val="center"/>
          </w:tcPr>
          <w:p>
            <w:pPr>
              <w:spacing w:after="0"/>
            </w:pPr>
            <w:r>
              <w:rPr>
                <w:rFonts w:ascii="Calibri" w:hAnsi="Calibri"/>
                <w:color w:val="17212B"/>
                <w:sz w:val="15"/>
              </w:rPr>
              <w:t>Local implementation details consistent with architecture</w:t>
            </w:r>
          </w:p>
        </w:tc>
        <w:tc>
          <w:tcPr>
            <w:tcW w:type="dxa" w:w="2304"/>
            <w:tcMar>
              <w:top w:w="90" w:type="dxa"/>
              <w:start w:w="120" w:type="dxa"/>
              <w:bottom w:w="90" w:type="dxa"/>
              <w:end w:w="120" w:type="dxa"/>
            </w:tcMar>
            <w:vAlign w:val="center"/>
          </w:tcPr>
          <w:p>
            <w:pPr>
              <w:spacing w:after="0"/>
            </w:pPr>
            <w:r>
              <w:rPr>
                <w:rFonts w:ascii="Calibri" w:hAnsi="Calibri"/>
                <w:color w:val="17212B"/>
                <w:sz w:val="15"/>
              </w:rPr>
              <w:t>Ambiguous acceptance, new dependency/service, schema/trust-boundary change</w:t>
            </w:r>
          </w:p>
        </w:tc>
      </w:tr>
      <w:tr>
        <w:trPr>
          <w:cantSplit/>
        </w:trPr>
        <w:tc>
          <w:tcPr>
            <w:tcW w:type="dxa" w:w="1944"/>
            <w:tcMar>
              <w:top w:w="90" w:type="dxa"/>
              <w:start w:w="120" w:type="dxa"/>
              <w:bottom w:w="90" w:type="dxa"/>
              <w:end w:w="120" w:type="dxa"/>
            </w:tcMar>
            <w:vAlign w:val="center"/>
            <w:shd w:fill="F8FAFB"/>
          </w:tcPr>
          <w:p>
            <w:pPr>
              <w:spacing w:after="0"/>
            </w:pPr>
            <w:r>
              <w:rPr>
                <w:rFonts w:ascii="Calibri" w:hAnsi="Calibri"/>
                <w:color w:val="17212B"/>
                <w:sz w:val="15"/>
              </w:rPr>
              <w:t>Automated CI</w:t>
            </w:r>
          </w:p>
        </w:tc>
        <w:tc>
          <w:tcPr>
            <w:tcW w:type="dxa" w:w="2880"/>
            <w:tcMar>
              <w:top w:w="90" w:type="dxa"/>
              <w:start w:w="120" w:type="dxa"/>
              <w:bottom w:w="90" w:type="dxa"/>
              <w:end w:w="120" w:type="dxa"/>
            </w:tcMar>
            <w:vAlign w:val="center"/>
            <w:shd w:fill="F8FAFB"/>
          </w:tcPr>
          <w:p>
            <w:pPr>
              <w:spacing w:after="0"/>
            </w:pPr>
            <w:r>
              <w:rPr>
                <w:rFonts w:ascii="Calibri" w:hAnsi="Calibri"/>
                <w:color w:val="17212B"/>
                <w:sz w:val="15"/>
              </w:rPr>
              <w:t>Repeatable quality and security checks</w:t>
            </w:r>
          </w:p>
        </w:tc>
        <w:tc>
          <w:tcPr>
            <w:tcW w:type="dxa" w:w="2232"/>
            <w:tcMar>
              <w:top w:w="90" w:type="dxa"/>
              <w:start w:w="120" w:type="dxa"/>
              <w:bottom w:w="90" w:type="dxa"/>
              <w:end w:w="120" w:type="dxa"/>
            </w:tcMar>
            <w:vAlign w:val="center"/>
            <w:shd w:fill="F8FAFB"/>
          </w:tcPr>
          <w:p>
            <w:pPr>
              <w:spacing w:after="0"/>
            </w:pPr>
            <w:r>
              <w:rPr>
                <w:rFonts w:ascii="Calibri" w:hAnsi="Calibri"/>
                <w:color w:val="17212B"/>
                <w:sz w:val="15"/>
              </w:rPr>
              <w:t>Pass/fail only</w:t>
            </w:r>
          </w:p>
        </w:tc>
        <w:tc>
          <w:tcPr>
            <w:tcW w:type="dxa" w:w="2304"/>
            <w:tcMar>
              <w:top w:w="90" w:type="dxa"/>
              <w:start w:w="120" w:type="dxa"/>
              <w:bottom w:w="90" w:type="dxa"/>
              <w:end w:w="120" w:type="dxa"/>
            </w:tcMar>
            <w:vAlign w:val="center"/>
            <w:shd w:fill="F8FAFB"/>
          </w:tcPr>
          <w:p>
            <w:pPr>
              <w:spacing w:after="0"/>
            </w:pPr>
            <w:r>
              <w:rPr>
                <w:rFonts w:ascii="Calibri" w:hAnsi="Calibri"/>
                <w:color w:val="17212B"/>
                <w:sz w:val="15"/>
              </w:rPr>
              <w:t>Any exception requires recorded approval</w:t>
            </w:r>
          </w:p>
        </w:tc>
      </w:tr>
    </w:tbl>
    <w:p>
      <w:pPr>
        <w:spacing w:after="20"/>
      </w:pPr>
    </w:p>
    <w:p>
      <w:pPr>
        <w:pStyle w:val="Heading2"/>
      </w:pPr>
      <w:r>
        <w:t>2.2 RACI for recurring activities</w:t>
      </w:r>
    </w:p>
    <w:tbl>
      <w:tblPr>
        <w:tblStyle w:val="TableGrid"/>
        <w:tblW w:type="auto" w:w="0"/>
        <w:jc w:val="center"/>
        <w:tblLayout w:type="fixed"/>
        <w:tblLook w:firstColumn="1" w:firstRow="1" w:lastColumn="0" w:lastRow="0" w:noHBand="0" w:noVBand="1" w:val="04A0"/>
        <w:tblW w:w="9360" w:type="dxa"/>
        <w:tblInd w:w="120" w:type="dxa"/>
      </w:tblPr>
      <w:tblGrid>
        <w:gridCol w:w="3456"/>
        <w:gridCol w:w="1512"/>
        <w:gridCol w:w="1512"/>
        <w:gridCol w:w="1440"/>
        <w:gridCol w:w="1440"/>
      </w:tblGrid>
      <w:tr>
        <w:trPr>
          <w:tblHeader w:val="true"/>
          <w:cantSplit/>
        </w:trPr>
        <w:tc>
          <w:tcPr>
            <w:tcW w:type="dxa" w:w="3456"/>
            <w:tcMar>
              <w:top w:w="90" w:type="dxa"/>
              <w:start w:w="120" w:type="dxa"/>
              <w:bottom w:w="90" w:type="dxa"/>
              <w:end w:w="120" w:type="dxa"/>
            </w:tcMar>
            <w:shd w:fill="17324D"/>
            <w:vAlign w:val="center"/>
          </w:tcPr>
          <w:p>
            <w:pPr>
              <w:spacing w:after="0"/>
            </w:pPr>
            <w:r>
              <w:rPr>
                <w:rFonts w:ascii="Calibri" w:hAnsi="Calibri"/>
                <w:b/>
                <w:color w:val="FFFFFF"/>
                <w:sz w:val="15"/>
              </w:rPr>
              <w:t>Activity</w:t>
            </w:r>
          </w:p>
        </w:tc>
        <w:tc>
          <w:tcPr>
            <w:tcW w:type="dxa" w:w="1512"/>
            <w:tcMar>
              <w:top w:w="90" w:type="dxa"/>
              <w:start w:w="120" w:type="dxa"/>
              <w:bottom w:w="90" w:type="dxa"/>
              <w:end w:w="120" w:type="dxa"/>
            </w:tcMar>
            <w:shd w:fill="17324D"/>
            <w:vAlign w:val="center"/>
          </w:tcPr>
          <w:p>
            <w:pPr>
              <w:spacing w:after="0"/>
            </w:pPr>
            <w:r>
              <w:rPr>
                <w:rFonts w:ascii="Calibri" w:hAnsi="Calibri"/>
                <w:b/>
                <w:color w:val="FFFFFF"/>
                <w:sz w:val="15"/>
              </w:rPr>
              <w:t>Product Owner</w:t>
            </w:r>
          </w:p>
        </w:tc>
        <w:tc>
          <w:tcPr>
            <w:tcW w:type="dxa" w:w="1512"/>
            <w:tcMar>
              <w:top w:w="90" w:type="dxa"/>
              <w:start w:w="120" w:type="dxa"/>
              <w:bottom w:w="90" w:type="dxa"/>
              <w:end w:w="120" w:type="dxa"/>
            </w:tcMar>
            <w:shd w:fill="17324D"/>
            <w:vAlign w:val="center"/>
          </w:tcPr>
          <w:p>
            <w:pPr>
              <w:spacing w:after="0"/>
            </w:pPr>
            <w:r>
              <w:rPr>
                <w:rFonts w:ascii="Calibri" w:hAnsi="Calibri"/>
                <w:b/>
                <w:color w:val="FFFFFF"/>
                <w:sz w:val="15"/>
              </w:rPr>
              <w:t>Codex PM</w:t>
            </w:r>
          </w:p>
        </w:tc>
        <w:tc>
          <w:tcPr>
            <w:tcW w:type="dxa" w:w="1440"/>
            <w:tcMar>
              <w:top w:w="90" w:type="dxa"/>
              <w:start w:w="120" w:type="dxa"/>
              <w:bottom w:w="90" w:type="dxa"/>
              <w:end w:w="120" w:type="dxa"/>
            </w:tcMar>
            <w:shd w:fill="17324D"/>
            <w:vAlign w:val="center"/>
          </w:tcPr>
          <w:p>
            <w:pPr>
              <w:spacing w:after="0"/>
            </w:pPr>
            <w:r>
              <w:rPr>
                <w:rFonts w:ascii="Calibri" w:hAnsi="Calibri"/>
                <w:b/>
                <w:color w:val="FFFFFF"/>
                <w:sz w:val="15"/>
              </w:rPr>
              <w:t>Cursor</w:t>
            </w:r>
          </w:p>
        </w:tc>
        <w:tc>
          <w:tcPr>
            <w:tcW w:type="dxa" w:w="1440"/>
            <w:tcMar>
              <w:top w:w="90" w:type="dxa"/>
              <w:start w:w="120" w:type="dxa"/>
              <w:bottom w:w="90" w:type="dxa"/>
              <w:end w:w="120" w:type="dxa"/>
            </w:tcMar>
            <w:shd w:fill="17324D"/>
            <w:vAlign w:val="center"/>
          </w:tcPr>
          <w:p>
            <w:pPr>
              <w:spacing w:after="0"/>
            </w:pPr>
            <w:r>
              <w:rPr>
                <w:rFonts w:ascii="Calibri" w:hAnsi="Calibri"/>
                <w:b/>
                <w:color w:val="FFFFFF"/>
                <w:sz w:val="15"/>
              </w:rPr>
              <w:t>CI</w:t>
            </w:r>
          </w:p>
        </w:tc>
      </w:tr>
      <w:tr>
        <w:trPr>
          <w:cantSplit/>
        </w:trPr>
        <w:tc>
          <w:tcPr>
            <w:tcW w:type="dxa" w:w="3456"/>
            <w:tcMar>
              <w:top w:w="90" w:type="dxa"/>
              <w:start w:w="120" w:type="dxa"/>
              <w:bottom w:w="90" w:type="dxa"/>
              <w:end w:w="120" w:type="dxa"/>
            </w:tcMar>
            <w:vAlign w:val="center"/>
          </w:tcPr>
          <w:p>
            <w:pPr>
              <w:spacing w:after="0"/>
            </w:pPr>
            <w:r>
              <w:rPr>
                <w:rFonts w:ascii="Calibri" w:hAnsi="Calibri"/>
                <w:color w:val="17212B"/>
                <w:sz w:val="15"/>
              </w:rPr>
              <w:t>Prioritize backlog</w:t>
            </w:r>
          </w:p>
        </w:tc>
        <w:tc>
          <w:tcPr>
            <w:tcW w:type="dxa" w:w="1512"/>
            <w:tcMar>
              <w:top w:w="90" w:type="dxa"/>
              <w:start w:w="120" w:type="dxa"/>
              <w:bottom w:w="90" w:type="dxa"/>
              <w:end w:w="120" w:type="dxa"/>
            </w:tcMar>
            <w:vAlign w:val="center"/>
          </w:tcPr>
          <w:p>
            <w:pPr>
              <w:spacing w:after="0"/>
            </w:pPr>
            <w:r>
              <w:rPr>
                <w:rFonts w:ascii="Calibri" w:hAnsi="Calibri"/>
                <w:color w:val="17212B"/>
                <w:sz w:val="15"/>
              </w:rPr>
              <w:t>A</w:t>
            </w:r>
          </w:p>
        </w:tc>
        <w:tc>
          <w:tcPr>
            <w:tcW w:type="dxa" w:w="1512"/>
            <w:tcMar>
              <w:top w:w="90" w:type="dxa"/>
              <w:start w:w="120" w:type="dxa"/>
              <w:bottom w:w="90" w:type="dxa"/>
              <w:end w:w="120" w:type="dxa"/>
            </w:tcMar>
            <w:vAlign w:val="center"/>
          </w:tcPr>
          <w:p>
            <w:pPr>
              <w:spacing w:after="0"/>
            </w:pPr>
            <w:r>
              <w:rPr>
                <w:rFonts w:ascii="Calibri" w:hAnsi="Calibri"/>
                <w:color w:val="17212B"/>
                <w:sz w:val="15"/>
              </w:rPr>
              <w:t>R/C</w:t>
            </w:r>
          </w:p>
        </w:tc>
        <w:tc>
          <w:tcPr>
            <w:tcW w:type="dxa" w:w="1440"/>
            <w:tcMar>
              <w:top w:w="90" w:type="dxa"/>
              <w:start w:w="120" w:type="dxa"/>
              <w:bottom w:w="90" w:type="dxa"/>
              <w:end w:w="120" w:type="dxa"/>
            </w:tcMar>
            <w:vAlign w:val="center"/>
          </w:tcPr>
          <w:p>
            <w:pPr>
              <w:spacing w:after="0"/>
            </w:pPr>
            <w:r>
              <w:rPr>
                <w:rFonts w:ascii="Calibri" w:hAnsi="Calibri"/>
                <w:color w:val="17212B"/>
                <w:sz w:val="15"/>
              </w:rPr>
              <w:t>I</w:t>
            </w:r>
          </w:p>
        </w:tc>
        <w:tc>
          <w:tcPr>
            <w:tcW w:type="dxa" w:w="1440"/>
            <w:tcMar>
              <w:top w:w="90" w:type="dxa"/>
              <w:start w:w="120" w:type="dxa"/>
              <w:bottom w:w="90" w:type="dxa"/>
              <w:end w:w="120" w:type="dxa"/>
            </w:tcMar>
            <w:vAlign w:val="center"/>
          </w:tcPr>
          <w:p>
            <w:pPr>
              <w:spacing w:after="0"/>
            </w:pPr>
            <w:r>
              <w:rPr>
                <w:rFonts w:ascii="Calibri" w:hAnsi="Calibri"/>
                <w:color w:val="17212B"/>
                <w:sz w:val="15"/>
              </w:rPr>
              <w:t>I</w:t>
            </w:r>
          </w:p>
        </w:tc>
      </w:tr>
      <w:tr>
        <w:trPr>
          <w:cantSplit/>
        </w:trPr>
        <w:tc>
          <w:tcPr>
            <w:tcW w:type="dxa" w:w="3456"/>
            <w:tcMar>
              <w:top w:w="90" w:type="dxa"/>
              <w:start w:w="120" w:type="dxa"/>
              <w:bottom w:w="90" w:type="dxa"/>
              <w:end w:w="120" w:type="dxa"/>
            </w:tcMar>
            <w:vAlign w:val="center"/>
            <w:shd w:fill="F8FAFB"/>
          </w:tcPr>
          <w:p>
            <w:pPr>
              <w:spacing w:after="0"/>
            </w:pPr>
            <w:r>
              <w:rPr>
                <w:rFonts w:ascii="Calibri" w:hAnsi="Calibri"/>
                <w:color w:val="17212B"/>
                <w:sz w:val="15"/>
              </w:rPr>
              <w:t>Clarify acceptance</w:t>
            </w:r>
          </w:p>
        </w:tc>
        <w:tc>
          <w:tcPr>
            <w:tcW w:type="dxa" w:w="1512"/>
            <w:tcMar>
              <w:top w:w="90" w:type="dxa"/>
              <w:start w:w="120" w:type="dxa"/>
              <w:bottom w:w="90" w:type="dxa"/>
              <w:end w:w="120" w:type="dxa"/>
            </w:tcMar>
            <w:vAlign w:val="center"/>
            <w:shd w:fill="F8FAFB"/>
          </w:tcPr>
          <w:p>
            <w:pPr>
              <w:spacing w:after="0"/>
            </w:pPr>
            <w:r>
              <w:rPr>
                <w:rFonts w:ascii="Calibri" w:hAnsi="Calibri"/>
                <w:color w:val="17212B"/>
                <w:sz w:val="15"/>
              </w:rPr>
              <w:t>C/A</w:t>
            </w:r>
          </w:p>
        </w:tc>
        <w:tc>
          <w:tcPr>
            <w:tcW w:type="dxa" w:w="1512"/>
            <w:tcMar>
              <w:top w:w="90" w:type="dxa"/>
              <w:start w:w="120" w:type="dxa"/>
              <w:bottom w:w="90" w:type="dxa"/>
              <w:end w:w="120" w:type="dxa"/>
            </w:tcMar>
            <w:vAlign w:val="center"/>
            <w:shd w:fill="F8FAFB"/>
          </w:tcPr>
          <w:p>
            <w:pPr>
              <w:spacing w:after="0"/>
            </w:pPr>
            <w:r>
              <w:rPr>
                <w:rFonts w:ascii="Calibri" w:hAnsi="Calibri"/>
                <w:color w:val="17212B"/>
                <w:sz w:val="15"/>
              </w:rPr>
              <w:t>R</w:t>
            </w:r>
          </w:p>
        </w:tc>
        <w:tc>
          <w:tcPr>
            <w:tcW w:type="dxa" w:w="1440"/>
            <w:tcMar>
              <w:top w:w="90" w:type="dxa"/>
              <w:start w:w="120" w:type="dxa"/>
              <w:bottom w:w="90" w:type="dxa"/>
              <w:end w:w="120" w:type="dxa"/>
            </w:tcMar>
            <w:vAlign w:val="center"/>
            <w:shd w:fill="F8FAFB"/>
          </w:tcPr>
          <w:p>
            <w:pPr>
              <w:spacing w:after="0"/>
            </w:pPr>
            <w:r>
              <w:rPr>
                <w:rFonts w:ascii="Calibri" w:hAnsi="Calibri"/>
                <w:color w:val="17212B"/>
                <w:sz w:val="15"/>
              </w:rPr>
              <w:t>C</w:t>
            </w:r>
          </w:p>
        </w:tc>
        <w:tc>
          <w:tcPr>
            <w:tcW w:type="dxa" w:w="1440"/>
            <w:tcMar>
              <w:top w:w="90" w:type="dxa"/>
              <w:start w:w="120" w:type="dxa"/>
              <w:bottom w:w="90" w:type="dxa"/>
              <w:end w:w="120" w:type="dxa"/>
            </w:tcMar>
            <w:vAlign w:val="center"/>
            <w:shd w:fill="F8FAFB"/>
          </w:tcPr>
          <w:p>
            <w:pPr>
              <w:spacing w:after="0"/>
            </w:pPr>
            <w:r>
              <w:rPr>
                <w:rFonts w:ascii="Calibri" w:hAnsi="Calibri"/>
                <w:color w:val="17212B"/>
                <w:sz w:val="15"/>
              </w:rPr>
              <w:t>I</w:t>
            </w:r>
          </w:p>
        </w:tc>
      </w:tr>
      <w:tr>
        <w:trPr>
          <w:cantSplit/>
        </w:trPr>
        <w:tc>
          <w:tcPr>
            <w:tcW w:type="dxa" w:w="3456"/>
            <w:tcMar>
              <w:top w:w="90" w:type="dxa"/>
              <w:start w:w="120" w:type="dxa"/>
              <w:bottom w:w="90" w:type="dxa"/>
              <w:end w:w="120" w:type="dxa"/>
            </w:tcMar>
            <w:vAlign w:val="center"/>
          </w:tcPr>
          <w:p>
            <w:pPr>
              <w:spacing w:after="0"/>
            </w:pPr>
            <w:r>
              <w:rPr>
                <w:rFonts w:ascii="Calibri" w:hAnsi="Calibri"/>
                <w:color w:val="17212B"/>
                <w:sz w:val="15"/>
              </w:rPr>
              <w:t>Implement package</w:t>
            </w:r>
          </w:p>
        </w:tc>
        <w:tc>
          <w:tcPr>
            <w:tcW w:type="dxa" w:w="1512"/>
            <w:tcMar>
              <w:top w:w="90" w:type="dxa"/>
              <w:start w:w="120" w:type="dxa"/>
              <w:bottom w:w="90" w:type="dxa"/>
              <w:end w:w="120" w:type="dxa"/>
            </w:tcMar>
            <w:vAlign w:val="center"/>
          </w:tcPr>
          <w:p>
            <w:pPr>
              <w:spacing w:after="0"/>
            </w:pPr>
            <w:r>
              <w:rPr>
                <w:rFonts w:ascii="Calibri" w:hAnsi="Calibri"/>
                <w:color w:val="17212B"/>
                <w:sz w:val="15"/>
              </w:rPr>
              <w:t>I</w:t>
            </w:r>
          </w:p>
        </w:tc>
        <w:tc>
          <w:tcPr>
            <w:tcW w:type="dxa" w:w="1512"/>
            <w:tcMar>
              <w:top w:w="90" w:type="dxa"/>
              <w:start w:w="120" w:type="dxa"/>
              <w:bottom w:w="90" w:type="dxa"/>
              <w:end w:w="120" w:type="dxa"/>
            </w:tcMar>
            <w:vAlign w:val="center"/>
          </w:tcPr>
          <w:p>
            <w:pPr>
              <w:spacing w:after="0"/>
            </w:pPr>
            <w:r>
              <w:rPr>
                <w:rFonts w:ascii="Calibri" w:hAnsi="Calibri"/>
                <w:color w:val="17212B"/>
                <w:sz w:val="15"/>
              </w:rPr>
              <w:t>C</w:t>
            </w:r>
          </w:p>
        </w:tc>
        <w:tc>
          <w:tcPr>
            <w:tcW w:type="dxa" w:w="1440"/>
            <w:tcMar>
              <w:top w:w="90" w:type="dxa"/>
              <w:start w:w="120" w:type="dxa"/>
              <w:bottom w:w="90" w:type="dxa"/>
              <w:end w:w="120" w:type="dxa"/>
            </w:tcMar>
            <w:vAlign w:val="center"/>
          </w:tcPr>
          <w:p>
            <w:pPr>
              <w:spacing w:after="0"/>
            </w:pPr>
            <w:r>
              <w:rPr>
                <w:rFonts w:ascii="Calibri" w:hAnsi="Calibri"/>
                <w:color w:val="17212B"/>
                <w:sz w:val="15"/>
              </w:rPr>
              <w:t>R/A</w:t>
            </w:r>
          </w:p>
        </w:tc>
        <w:tc>
          <w:tcPr>
            <w:tcW w:type="dxa" w:w="1440"/>
            <w:tcMar>
              <w:top w:w="90" w:type="dxa"/>
              <w:start w:w="120" w:type="dxa"/>
              <w:bottom w:w="90" w:type="dxa"/>
              <w:end w:w="120" w:type="dxa"/>
            </w:tcMar>
            <w:vAlign w:val="center"/>
          </w:tcPr>
          <w:p>
            <w:pPr>
              <w:spacing w:after="0"/>
            </w:pPr>
            <w:r>
              <w:rPr>
                <w:rFonts w:ascii="Calibri" w:hAnsi="Calibri"/>
                <w:color w:val="17212B"/>
                <w:sz w:val="15"/>
              </w:rPr>
              <w:t>C</w:t>
            </w:r>
          </w:p>
        </w:tc>
      </w:tr>
      <w:tr>
        <w:trPr>
          <w:cantSplit/>
        </w:trPr>
        <w:tc>
          <w:tcPr>
            <w:tcW w:type="dxa" w:w="3456"/>
            <w:tcMar>
              <w:top w:w="90" w:type="dxa"/>
              <w:start w:w="120" w:type="dxa"/>
              <w:bottom w:w="90" w:type="dxa"/>
              <w:end w:w="120" w:type="dxa"/>
            </w:tcMar>
            <w:vAlign w:val="center"/>
            <w:shd w:fill="F8FAFB"/>
          </w:tcPr>
          <w:p>
            <w:pPr>
              <w:spacing w:after="0"/>
            </w:pPr>
            <w:r>
              <w:rPr>
                <w:rFonts w:ascii="Calibri" w:hAnsi="Calibri"/>
                <w:color w:val="17212B"/>
                <w:sz w:val="15"/>
              </w:rPr>
              <w:t>Review architecture/privacy</w:t>
            </w:r>
          </w:p>
        </w:tc>
        <w:tc>
          <w:tcPr>
            <w:tcW w:type="dxa" w:w="1512"/>
            <w:tcMar>
              <w:top w:w="90" w:type="dxa"/>
              <w:start w:w="120" w:type="dxa"/>
              <w:bottom w:w="90" w:type="dxa"/>
              <w:end w:w="120" w:type="dxa"/>
            </w:tcMar>
            <w:vAlign w:val="center"/>
            <w:shd w:fill="F8FAFB"/>
          </w:tcPr>
          <w:p>
            <w:pPr>
              <w:spacing w:after="0"/>
            </w:pPr>
            <w:r>
              <w:rPr>
                <w:rFonts w:ascii="Calibri" w:hAnsi="Calibri"/>
                <w:color w:val="17212B"/>
                <w:sz w:val="15"/>
              </w:rPr>
              <w:t>I</w:t>
            </w:r>
          </w:p>
        </w:tc>
        <w:tc>
          <w:tcPr>
            <w:tcW w:type="dxa" w:w="1512"/>
            <w:tcMar>
              <w:top w:w="90" w:type="dxa"/>
              <w:start w:w="120" w:type="dxa"/>
              <w:bottom w:w="90" w:type="dxa"/>
              <w:end w:w="120" w:type="dxa"/>
            </w:tcMar>
            <w:vAlign w:val="center"/>
            <w:shd w:fill="F8FAFB"/>
          </w:tcPr>
          <w:p>
            <w:pPr>
              <w:spacing w:after="0"/>
            </w:pPr>
            <w:r>
              <w:rPr>
                <w:rFonts w:ascii="Calibri" w:hAnsi="Calibri"/>
                <w:color w:val="17212B"/>
                <w:sz w:val="15"/>
              </w:rPr>
              <w:t>R/A</w:t>
            </w:r>
          </w:p>
        </w:tc>
        <w:tc>
          <w:tcPr>
            <w:tcW w:type="dxa" w:w="1440"/>
            <w:tcMar>
              <w:top w:w="90" w:type="dxa"/>
              <w:start w:w="120" w:type="dxa"/>
              <w:bottom w:w="90" w:type="dxa"/>
              <w:end w:w="120" w:type="dxa"/>
            </w:tcMar>
            <w:vAlign w:val="center"/>
            <w:shd w:fill="F8FAFB"/>
          </w:tcPr>
          <w:p>
            <w:pPr>
              <w:spacing w:after="0"/>
            </w:pPr>
            <w:r>
              <w:rPr>
                <w:rFonts w:ascii="Calibri" w:hAnsi="Calibri"/>
                <w:color w:val="17212B"/>
                <w:sz w:val="15"/>
              </w:rPr>
              <w:t>C</w:t>
            </w:r>
          </w:p>
        </w:tc>
        <w:tc>
          <w:tcPr>
            <w:tcW w:type="dxa" w:w="1440"/>
            <w:tcMar>
              <w:top w:w="90" w:type="dxa"/>
              <w:start w:w="120" w:type="dxa"/>
              <w:bottom w:w="90" w:type="dxa"/>
              <w:end w:w="120" w:type="dxa"/>
            </w:tcMar>
            <w:vAlign w:val="center"/>
            <w:shd w:fill="F8FAFB"/>
          </w:tcPr>
          <w:p>
            <w:pPr>
              <w:spacing w:after="0"/>
            </w:pPr>
            <w:r>
              <w:rPr>
                <w:rFonts w:ascii="Calibri" w:hAnsi="Calibri"/>
                <w:color w:val="17212B"/>
                <w:sz w:val="15"/>
              </w:rPr>
              <w:t>C</w:t>
            </w:r>
          </w:p>
        </w:tc>
      </w:tr>
      <w:tr>
        <w:trPr>
          <w:cantSplit/>
        </w:trPr>
        <w:tc>
          <w:tcPr>
            <w:tcW w:type="dxa" w:w="3456"/>
            <w:tcMar>
              <w:top w:w="90" w:type="dxa"/>
              <w:start w:w="120" w:type="dxa"/>
              <w:bottom w:w="90" w:type="dxa"/>
              <w:end w:w="120" w:type="dxa"/>
            </w:tcMar>
            <w:vAlign w:val="center"/>
          </w:tcPr>
          <w:p>
            <w:pPr>
              <w:spacing w:after="0"/>
            </w:pPr>
            <w:r>
              <w:rPr>
                <w:rFonts w:ascii="Calibri" w:hAnsi="Calibri"/>
                <w:color w:val="17212B"/>
                <w:sz w:val="15"/>
              </w:rPr>
              <w:t>Run tests and provide evidence</w:t>
            </w:r>
          </w:p>
        </w:tc>
        <w:tc>
          <w:tcPr>
            <w:tcW w:type="dxa" w:w="1512"/>
            <w:tcMar>
              <w:top w:w="90" w:type="dxa"/>
              <w:start w:w="120" w:type="dxa"/>
              <w:bottom w:w="90" w:type="dxa"/>
              <w:end w:w="120" w:type="dxa"/>
            </w:tcMar>
            <w:vAlign w:val="center"/>
          </w:tcPr>
          <w:p>
            <w:pPr>
              <w:spacing w:after="0"/>
            </w:pPr>
            <w:r>
              <w:rPr>
                <w:rFonts w:ascii="Calibri" w:hAnsi="Calibri"/>
                <w:color w:val="17212B"/>
                <w:sz w:val="15"/>
              </w:rPr>
              <w:t>I</w:t>
            </w:r>
          </w:p>
        </w:tc>
        <w:tc>
          <w:tcPr>
            <w:tcW w:type="dxa" w:w="1512"/>
            <w:tcMar>
              <w:top w:w="90" w:type="dxa"/>
              <w:start w:w="120" w:type="dxa"/>
              <w:bottom w:w="90" w:type="dxa"/>
              <w:end w:w="120" w:type="dxa"/>
            </w:tcMar>
            <w:vAlign w:val="center"/>
          </w:tcPr>
          <w:p>
            <w:pPr>
              <w:spacing w:after="0"/>
            </w:pPr>
            <w:r>
              <w:rPr>
                <w:rFonts w:ascii="Calibri" w:hAnsi="Calibri"/>
                <w:color w:val="17212B"/>
                <w:sz w:val="15"/>
              </w:rPr>
              <w:t>A</w:t>
            </w:r>
          </w:p>
        </w:tc>
        <w:tc>
          <w:tcPr>
            <w:tcW w:type="dxa" w:w="1440"/>
            <w:tcMar>
              <w:top w:w="90" w:type="dxa"/>
              <w:start w:w="120" w:type="dxa"/>
              <w:bottom w:w="90" w:type="dxa"/>
              <w:end w:w="120" w:type="dxa"/>
            </w:tcMar>
            <w:vAlign w:val="center"/>
          </w:tcPr>
          <w:p>
            <w:pPr>
              <w:spacing w:after="0"/>
            </w:pPr>
            <w:r>
              <w:rPr>
                <w:rFonts w:ascii="Calibri" w:hAnsi="Calibri"/>
                <w:color w:val="17212B"/>
                <w:sz w:val="15"/>
              </w:rPr>
              <w:t>R</w:t>
            </w:r>
          </w:p>
        </w:tc>
        <w:tc>
          <w:tcPr>
            <w:tcW w:type="dxa" w:w="1440"/>
            <w:tcMar>
              <w:top w:w="90" w:type="dxa"/>
              <w:start w:w="120" w:type="dxa"/>
              <w:bottom w:w="90" w:type="dxa"/>
              <w:end w:w="120" w:type="dxa"/>
            </w:tcMar>
            <w:vAlign w:val="center"/>
          </w:tcPr>
          <w:p>
            <w:pPr>
              <w:spacing w:after="0"/>
            </w:pPr>
            <w:r>
              <w:rPr>
                <w:rFonts w:ascii="Calibri" w:hAnsi="Calibri"/>
                <w:color w:val="17212B"/>
                <w:sz w:val="15"/>
              </w:rPr>
              <w:t>R</w:t>
            </w:r>
          </w:p>
        </w:tc>
      </w:tr>
      <w:tr>
        <w:trPr>
          <w:cantSplit/>
        </w:trPr>
        <w:tc>
          <w:tcPr>
            <w:tcW w:type="dxa" w:w="3456"/>
            <w:tcMar>
              <w:top w:w="90" w:type="dxa"/>
              <w:start w:w="120" w:type="dxa"/>
              <w:bottom w:w="90" w:type="dxa"/>
              <w:end w:w="120" w:type="dxa"/>
            </w:tcMar>
            <w:vAlign w:val="center"/>
            <w:shd w:fill="F8FAFB"/>
          </w:tcPr>
          <w:p>
            <w:pPr>
              <w:spacing w:after="0"/>
            </w:pPr>
            <w:r>
              <w:rPr>
                <w:rFonts w:ascii="Calibri" w:hAnsi="Calibri"/>
                <w:color w:val="17212B"/>
                <w:sz w:val="15"/>
              </w:rPr>
              <w:t>Accept/reject package</w:t>
            </w:r>
          </w:p>
        </w:tc>
        <w:tc>
          <w:tcPr>
            <w:tcW w:type="dxa" w:w="1512"/>
            <w:tcMar>
              <w:top w:w="90" w:type="dxa"/>
              <w:start w:w="120" w:type="dxa"/>
              <w:bottom w:w="90" w:type="dxa"/>
              <w:end w:w="120" w:type="dxa"/>
            </w:tcMar>
            <w:vAlign w:val="center"/>
            <w:shd w:fill="F8FAFB"/>
          </w:tcPr>
          <w:p>
            <w:pPr>
              <w:spacing w:after="0"/>
            </w:pPr>
            <w:r>
              <w:rPr>
                <w:rFonts w:ascii="Calibri" w:hAnsi="Calibri"/>
                <w:color w:val="17212B"/>
                <w:sz w:val="15"/>
              </w:rPr>
              <w:t>A</w:t>
            </w:r>
          </w:p>
        </w:tc>
        <w:tc>
          <w:tcPr>
            <w:tcW w:type="dxa" w:w="1512"/>
            <w:tcMar>
              <w:top w:w="90" w:type="dxa"/>
              <w:start w:w="120" w:type="dxa"/>
              <w:bottom w:w="90" w:type="dxa"/>
              <w:end w:w="120" w:type="dxa"/>
            </w:tcMar>
            <w:vAlign w:val="center"/>
            <w:shd w:fill="F8FAFB"/>
          </w:tcPr>
          <w:p>
            <w:pPr>
              <w:spacing w:after="0"/>
            </w:pPr>
            <w:r>
              <w:rPr>
                <w:rFonts w:ascii="Calibri" w:hAnsi="Calibri"/>
                <w:color w:val="17212B"/>
                <w:sz w:val="15"/>
              </w:rPr>
              <w:t>R</w:t>
            </w:r>
          </w:p>
        </w:tc>
        <w:tc>
          <w:tcPr>
            <w:tcW w:type="dxa" w:w="1440"/>
            <w:tcMar>
              <w:top w:w="90" w:type="dxa"/>
              <w:start w:w="120" w:type="dxa"/>
              <w:bottom w:w="90" w:type="dxa"/>
              <w:end w:w="120" w:type="dxa"/>
            </w:tcMar>
            <w:vAlign w:val="center"/>
            <w:shd w:fill="F8FAFB"/>
          </w:tcPr>
          <w:p>
            <w:pPr>
              <w:spacing w:after="0"/>
            </w:pPr>
            <w:r>
              <w:rPr>
                <w:rFonts w:ascii="Calibri" w:hAnsi="Calibri"/>
                <w:color w:val="17212B"/>
                <w:sz w:val="15"/>
              </w:rPr>
              <w:t>I</w:t>
            </w:r>
          </w:p>
        </w:tc>
        <w:tc>
          <w:tcPr>
            <w:tcW w:type="dxa" w:w="1440"/>
            <w:tcMar>
              <w:top w:w="90" w:type="dxa"/>
              <w:start w:w="120" w:type="dxa"/>
              <w:bottom w:w="90" w:type="dxa"/>
              <w:end w:w="120" w:type="dxa"/>
            </w:tcMar>
            <w:vAlign w:val="center"/>
            <w:shd w:fill="F8FAFB"/>
          </w:tcPr>
          <w:p>
            <w:pPr>
              <w:spacing w:after="0"/>
            </w:pPr>
            <w:r>
              <w:rPr>
                <w:rFonts w:ascii="Calibri" w:hAnsi="Calibri"/>
                <w:color w:val="17212B"/>
                <w:sz w:val="15"/>
              </w:rPr>
              <w:t>C</w:t>
            </w:r>
          </w:p>
        </w:tc>
      </w:tr>
      <w:tr>
        <w:trPr>
          <w:cantSplit/>
        </w:trPr>
        <w:tc>
          <w:tcPr>
            <w:tcW w:type="dxa" w:w="3456"/>
            <w:tcMar>
              <w:top w:w="90" w:type="dxa"/>
              <w:start w:w="120" w:type="dxa"/>
              <w:bottom w:w="90" w:type="dxa"/>
              <w:end w:w="120" w:type="dxa"/>
            </w:tcMar>
            <w:vAlign w:val="center"/>
          </w:tcPr>
          <w:p>
            <w:pPr>
              <w:spacing w:after="0"/>
            </w:pPr>
            <w:r>
              <w:rPr>
                <w:rFonts w:ascii="Calibri" w:hAnsi="Calibri"/>
                <w:color w:val="17212B"/>
                <w:sz w:val="15"/>
              </w:rPr>
              <w:t>Competition submission</w:t>
            </w:r>
          </w:p>
        </w:tc>
        <w:tc>
          <w:tcPr>
            <w:tcW w:type="dxa" w:w="1512"/>
            <w:tcMar>
              <w:top w:w="90" w:type="dxa"/>
              <w:start w:w="120" w:type="dxa"/>
              <w:bottom w:w="90" w:type="dxa"/>
              <w:end w:w="120" w:type="dxa"/>
            </w:tcMar>
            <w:vAlign w:val="center"/>
          </w:tcPr>
          <w:p>
            <w:pPr>
              <w:spacing w:after="0"/>
            </w:pPr>
            <w:r>
              <w:rPr>
                <w:rFonts w:ascii="Calibri" w:hAnsi="Calibri"/>
                <w:color w:val="17212B"/>
                <w:sz w:val="15"/>
              </w:rPr>
              <w:t>A/R</w:t>
            </w:r>
          </w:p>
        </w:tc>
        <w:tc>
          <w:tcPr>
            <w:tcW w:type="dxa" w:w="1512"/>
            <w:tcMar>
              <w:top w:w="90" w:type="dxa"/>
              <w:start w:w="120" w:type="dxa"/>
              <w:bottom w:w="90" w:type="dxa"/>
              <w:end w:w="120" w:type="dxa"/>
            </w:tcMar>
            <w:vAlign w:val="center"/>
          </w:tcPr>
          <w:p>
            <w:pPr>
              <w:spacing w:after="0"/>
            </w:pPr>
            <w:r>
              <w:rPr>
                <w:rFonts w:ascii="Calibri" w:hAnsi="Calibri"/>
                <w:color w:val="17212B"/>
                <w:sz w:val="15"/>
              </w:rPr>
              <w:t>R</w:t>
            </w:r>
          </w:p>
        </w:tc>
        <w:tc>
          <w:tcPr>
            <w:tcW w:type="dxa" w:w="1440"/>
            <w:tcMar>
              <w:top w:w="90" w:type="dxa"/>
              <w:start w:w="120" w:type="dxa"/>
              <w:bottom w:w="90" w:type="dxa"/>
              <w:end w:w="120" w:type="dxa"/>
            </w:tcMar>
            <w:vAlign w:val="center"/>
          </w:tcPr>
          <w:p>
            <w:pPr>
              <w:spacing w:after="0"/>
            </w:pPr>
            <w:r>
              <w:rPr>
                <w:rFonts w:ascii="Calibri" w:hAnsi="Calibri"/>
                <w:color w:val="17212B"/>
                <w:sz w:val="15"/>
              </w:rPr>
              <w:t>C</w:t>
            </w:r>
          </w:p>
        </w:tc>
        <w:tc>
          <w:tcPr>
            <w:tcW w:type="dxa" w:w="1440"/>
            <w:tcMar>
              <w:top w:w="90" w:type="dxa"/>
              <w:start w:w="120" w:type="dxa"/>
              <w:bottom w:w="90" w:type="dxa"/>
              <w:end w:w="120" w:type="dxa"/>
            </w:tcMar>
            <w:vAlign w:val="center"/>
          </w:tcPr>
          <w:p>
            <w:pPr>
              <w:spacing w:after="0"/>
            </w:pPr>
            <w:r>
              <w:rPr>
                <w:rFonts w:ascii="Calibri" w:hAnsi="Calibri"/>
                <w:color w:val="17212B"/>
                <w:sz w:val="15"/>
              </w:rPr>
              <w:t>C</w:t>
            </w:r>
          </w:p>
        </w:tc>
      </w:tr>
      <w:tr>
        <w:trPr>
          <w:cantSplit/>
        </w:trPr>
        <w:tc>
          <w:tcPr>
            <w:tcW w:type="dxa" w:w="3456"/>
            <w:tcMar>
              <w:top w:w="90" w:type="dxa"/>
              <w:start w:w="120" w:type="dxa"/>
              <w:bottom w:w="90" w:type="dxa"/>
              <w:end w:w="120" w:type="dxa"/>
            </w:tcMar>
            <w:vAlign w:val="center"/>
            <w:shd w:fill="F8FAFB"/>
          </w:tcPr>
          <w:p>
            <w:pPr>
              <w:spacing w:after="0"/>
            </w:pPr>
            <w:r>
              <w:rPr>
                <w:rFonts w:ascii="Calibri" w:hAnsi="Calibri"/>
                <w:color w:val="17212B"/>
                <w:sz w:val="15"/>
              </w:rPr>
              <w:t>External account, payment, publishing</w:t>
            </w:r>
          </w:p>
        </w:tc>
        <w:tc>
          <w:tcPr>
            <w:tcW w:type="dxa" w:w="1512"/>
            <w:tcMar>
              <w:top w:w="90" w:type="dxa"/>
              <w:start w:w="120" w:type="dxa"/>
              <w:bottom w:w="90" w:type="dxa"/>
              <w:end w:w="120" w:type="dxa"/>
            </w:tcMar>
            <w:vAlign w:val="center"/>
            <w:shd w:fill="F8FAFB"/>
          </w:tcPr>
          <w:p>
            <w:pPr>
              <w:spacing w:after="0"/>
            </w:pPr>
            <w:r>
              <w:rPr>
                <w:rFonts w:ascii="Calibri" w:hAnsi="Calibri"/>
                <w:color w:val="17212B"/>
                <w:sz w:val="15"/>
              </w:rPr>
              <w:t>A/R</w:t>
            </w:r>
          </w:p>
        </w:tc>
        <w:tc>
          <w:tcPr>
            <w:tcW w:type="dxa" w:w="1512"/>
            <w:tcMar>
              <w:top w:w="90" w:type="dxa"/>
              <w:start w:w="120" w:type="dxa"/>
              <w:bottom w:w="90" w:type="dxa"/>
              <w:end w:w="120" w:type="dxa"/>
            </w:tcMar>
            <w:vAlign w:val="center"/>
            <w:shd w:fill="F8FAFB"/>
          </w:tcPr>
          <w:p>
            <w:pPr>
              <w:spacing w:after="0"/>
            </w:pPr>
            <w:r>
              <w:rPr>
                <w:rFonts w:ascii="Calibri" w:hAnsi="Calibri"/>
                <w:color w:val="17212B"/>
                <w:sz w:val="15"/>
              </w:rPr>
              <w:t>C</w:t>
            </w:r>
          </w:p>
        </w:tc>
        <w:tc>
          <w:tcPr>
            <w:tcW w:type="dxa" w:w="1440"/>
            <w:tcMar>
              <w:top w:w="90" w:type="dxa"/>
              <w:start w:w="120" w:type="dxa"/>
              <w:bottom w:w="90" w:type="dxa"/>
              <w:end w:w="120" w:type="dxa"/>
            </w:tcMar>
            <w:vAlign w:val="center"/>
            <w:shd w:fill="F8FAFB"/>
          </w:tcPr>
          <w:p>
            <w:pPr>
              <w:spacing w:after="0"/>
            </w:pPr>
            <w:r>
              <w:rPr>
                <w:rFonts w:ascii="Calibri" w:hAnsi="Calibri"/>
                <w:color w:val="17212B"/>
                <w:sz w:val="15"/>
              </w:rPr>
              <w:t>I</w:t>
            </w:r>
          </w:p>
        </w:tc>
        <w:tc>
          <w:tcPr>
            <w:tcW w:type="dxa" w:w="1440"/>
            <w:tcMar>
              <w:top w:w="90" w:type="dxa"/>
              <w:start w:w="120" w:type="dxa"/>
              <w:bottom w:w="90" w:type="dxa"/>
              <w:end w:w="120" w:type="dxa"/>
            </w:tcMar>
            <w:vAlign w:val="center"/>
            <w:shd w:fill="F8FAFB"/>
          </w:tcPr>
          <w:p>
            <w:pPr>
              <w:spacing w:after="0"/>
            </w:pPr>
            <w:r>
              <w:rPr>
                <w:rFonts w:ascii="Calibri" w:hAnsi="Calibri"/>
                <w:color w:val="17212B"/>
                <w:sz w:val="15"/>
              </w:rPr>
              <w:t>I</w:t>
            </w:r>
          </w:p>
        </w:tc>
      </w:tr>
    </w:tbl>
    <w:p>
      <w:pPr>
        <w:spacing w:after="20"/>
      </w:pPr>
    </w:p>
    <w:p>
      <w:pPr>
        <w:pStyle w:val="SmallNote"/>
      </w:pPr>
      <w:r>
        <w:t>R = responsible; A = accountable; C = consulted; I = informed.</w:t>
      </w:r>
    </w:p>
    <w:p>
      <w:pPr>
        <w:pStyle w:val="Heading2"/>
      </w:pPr>
      <w:r>
        <w:t>2.3 Working cadence</w:t>
      </w:r>
    </w:p>
    <w:tbl>
      <w:tblPr>
        <w:tblStyle w:val="TableGrid"/>
        <w:tblW w:type="auto" w:w="0"/>
        <w:jc w:val="center"/>
        <w:tblLayout w:type="fixed"/>
        <w:tblLook w:firstColumn="1" w:firstRow="1" w:lastColumn="0" w:lastRow="0" w:noHBand="0" w:noVBand="1" w:val="04A0"/>
        <w:tblW w:w="9360" w:type="dxa"/>
        <w:tblInd w:w="120" w:type="dxa"/>
      </w:tblPr>
      <w:tblGrid>
        <w:gridCol w:w="1800"/>
        <w:gridCol w:w="3600"/>
        <w:gridCol w:w="3960"/>
      </w:tblGrid>
      <w:tr>
        <w:trPr>
          <w:tblHeader w:val="true"/>
          <w:cantSplit/>
        </w:trPr>
        <w:tc>
          <w:tcPr>
            <w:tcW w:type="dxa" w:w="1800"/>
            <w:tcMar>
              <w:top w:w="90" w:type="dxa"/>
              <w:start w:w="120" w:type="dxa"/>
              <w:bottom w:w="90" w:type="dxa"/>
              <w:end w:w="120" w:type="dxa"/>
            </w:tcMar>
            <w:shd w:fill="17324D"/>
            <w:vAlign w:val="center"/>
          </w:tcPr>
          <w:p>
            <w:pPr>
              <w:spacing w:after="0"/>
            </w:pPr>
            <w:r>
              <w:rPr>
                <w:rFonts w:ascii="Calibri" w:hAnsi="Calibri"/>
                <w:b/>
                <w:color w:val="FFFFFF"/>
                <w:sz w:val="16"/>
              </w:rPr>
              <w:t>Cadence</w:t>
            </w:r>
          </w:p>
        </w:tc>
        <w:tc>
          <w:tcPr>
            <w:tcW w:type="dxa" w:w="3600"/>
            <w:tcMar>
              <w:top w:w="90" w:type="dxa"/>
              <w:start w:w="120" w:type="dxa"/>
              <w:bottom w:w="90" w:type="dxa"/>
              <w:end w:w="120" w:type="dxa"/>
            </w:tcMar>
            <w:shd w:fill="17324D"/>
            <w:vAlign w:val="center"/>
          </w:tcPr>
          <w:p>
            <w:pPr>
              <w:spacing w:after="0"/>
            </w:pPr>
            <w:r>
              <w:rPr>
                <w:rFonts w:ascii="Calibri" w:hAnsi="Calibri"/>
                <w:b/>
                <w:color w:val="FFFFFF"/>
                <w:sz w:val="16"/>
              </w:rPr>
              <w:t>Artifact</w:t>
            </w:r>
          </w:p>
        </w:tc>
        <w:tc>
          <w:tcPr>
            <w:tcW w:type="dxa" w:w="3960"/>
            <w:tcMar>
              <w:top w:w="90" w:type="dxa"/>
              <w:start w:w="120" w:type="dxa"/>
              <w:bottom w:w="90" w:type="dxa"/>
              <w:end w:w="120" w:type="dxa"/>
            </w:tcMar>
            <w:shd w:fill="17324D"/>
            <w:vAlign w:val="center"/>
          </w:tcPr>
          <w:p>
            <w:pPr>
              <w:spacing w:after="0"/>
            </w:pPr>
            <w:r>
              <w:rPr>
                <w:rFonts w:ascii="Calibri" w:hAnsi="Calibri"/>
                <w:b/>
                <w:color w:val="FFFFFF"/>
                <w:sz w:val="16"/>
              </w:rPr>
              <w:t>Rule</w:t>
            </w:r>
          </w:p>
        </w:tc>
      </w:tr>
      <w:tr>
        <w:trPr>
          <w:cantSplit/>
        </w:trPr>
        <w:tc>
          <w:tcPr>
            <w:tcW w:type="dxa" w:w="1800"/>
            <w:tcMar>
              <w:top w:w="90" w:type="dxa"/>
              <w:start w:w="120" w:type="dxa"/>
              <w:bottom w:w="90" w:type="dxa"/>
              <w:end w:w="120" w:type="dxa"/>
            </w:tcMar>
            <w:vAlign w:val="center"/>
          </w:tcPr>
          <w:p>
            <w:pPr>
              <w:spacing w:after="0"/>
            </w:pPr>
            <w:r>
              <w:rPr>
                <w:rFonts w:ascii="Calibri" w:hAnsi="Calibri"/>
                <w:color w:val="17212B"/>
                <w:sz w:val="16"/>
              </w:rPr>
              <w:t>Per work package</w:t>
            </w:r>
          </w:p>
        </w:tc>
        <w:tc>
          <w:tcPr>
            <w:tcW w:type="dxa" w:w="3600"/>
            <w:tcMar>
              <w:top w:w="90" w:type="dxa"/>
              <w:start w:w="120" w:type="dxa"/>
              <w:bottom w:w="90" w:type="dxa"/>
              <w:end w:w="120" w:type="dxa"/>
            </w:tcMar>
            <w:vAlign w:val="center"/>
          </w:tcPr>
          <w:p>
            <w:pPr>
              <w:spacing w:after="0"/>
            </w:pPr>
            <w:r>
              <w:rPr>
                <w:rFonts w:ascii="Calibri" w:hAnsi="Calibri"/>
                <w:color w:val="17212B"/>
                <w:sz w:val="16"/>
              </w:rPr>
              <w:t>Cursor completion report + diff/commit + test evidence</w:t>
            </w:r>
          </w:p>
        </w:tc>
        <w:tc>
          <w:tcPr>
            <w:tcW w:type="dxa" w:w="3960"/>
            <w:tcMar>
              <w:top w:w="90" w:type="dxa"/>
              <w:start w:w="120" w:type="dxa"/>
              <w:bottom w:w="90" w:type="dxa"/>
              <w:end w:w="120" w:type="dxa"/>
            </w:tcMar>
            <w:vAlign w:val="center"/>
          </w:tcPr>
          <w:p>
            <w:pPr>
              <w:spacing w:after="0"/>
            </w:pPr>
            <w:r>
              <w:rPr>
                <w:rFonts w:ascii="Calibri" w:hAnsi="Calibri"/>
                <w:color w:val="17212B"/>
                <w:sz w:val="16"/>
              </w:rPr>
              <w:t>No next package until accepted or explicitly overlapped by PM</w:t>
            </w:r>
          </w:p>
        </w:tc>
      </w:tr>
      <w:tr>
        <w:trPr>
          <w:cantSplit/>
        </w:trPr>
        <w:tc>
          <w:tcPr>
            <w:tcW w:type="dxa" w:w="1800"/>
            <w:tcMar>
              <w:top w:w="90" w:type="dxa"/>
              <w:start w:w="120" w:type="dxa"/>
              <w:bottom w:w="90" w:type="dxa"/>
              <w:end w:w="120" w:type="dxa"/>
            </w:tcMar>
            <w:vAlign w:val="center"/>
            <w:shd w:fill="F8FAFB"/>
          </w:tcPr>
          <w:p>
            <w:pPr>
              <w:spacing w:after="0"/>
            </w:pPr>
            <w:r>
              <w:rPr>
                <w:rFonts w:ascii="Calibri" w:hAnsi="Calibri"/>
                <w:color w:val="17212B"/>
                <w:sz w:val="16"/>
              </w:rPr>
              <w:t>Daily during gates</w:t>
            </w:r>
          </w:p>
        </w:tc>
        <w:tc>
          <w:tcPr>
            <w:tcW w:type="dxa" w:w="3600"/>
            <w:tcMar>
              <w:top w:w="90" w:type="dxa"/>
              <w:start w:w="120" w:type="dxa"/>
              <w:bottom w:w="90" w:type="dxa"/>
              <w:end w:w="120" w:type="dxa"/>
            </w:tcMar>
            <w:vAlign w:val="center"/>
            <w:shd w:fill="F8FAFB"/>
          </w:tcPr>
          <w:p>
            <w:pPr>
              <w:spacing w:after="0"/>
            </w:pPr>
            <w:r>
              <w:rPr>
                <w:rFonts w:ascii="Calibri" w:hAnsi="Calibri"/>
                <w:color w:val="17212B"/>
                <w:sz w:val="16"/>
              </w:rPr>
              <w:t>Compact status: done / next / blockers / risks / decision needed</w:t>
            </w:r>
          </w:p>
        </w:tc>
        <w:tc>
          <w:tcPr>
            <w:tcW w:type="dxa" w:w="3960"/>
            <w:tcMar>
              <w:top w:w="90" w:type="dxa"/>
              <w:start w:w="120" w:type="dxa"/>
              <w:bottom w:w="90" w:type="dxa"/>
              <w:end w:w="120" w:type="dxa"/>
            </w:tcMar>
            <w:vAlign w:val="center"/>
            <w:shd w:fill="F8FAFB"/>
          </w:tcPr>
          <w:p>
            <w:pPr>
              <w:spacing w:after="0"/>
            </w:pPr>
            <w:r>
              <w:rPr>
                <w:rFonts w:ascii="Calibri" w:hAnsi="Calibri"/>
                <w:color w:val="17212B"/>
                <w:sz w:val="16"/>
              </w:rPr>
              <w:t>Report outcomes, not activity volume</w:t>
            </w:r>
          </w:p>
        </w:tc>
      </w:tr>
      <w:tr>
        <w:trPr>
          <w:cantSplit/>
        </w:trPr>
        <w:tc>
          <w:tcPr>
            <w:tcW w:type="dxa" w:w="1800"/>
            <w:tcMar>
              <w:top w:w="90" w:type="dxa"/>
              <w:start w:w="120" w:type="dxa"/>
              <w:bottom w:w="90" w:type="dxa"/>
              <w:end w:w="120" w:type="dxa"/>
            </w:tcMar>
            <w:vAlign w:val="center"/>
          </w:tcPr>
          <w:p>
            <w:pPr>
              <w:spacing w:after="0"/>
            </w:pPr>
            <w:r>
              <w:rPr>
                <w:rFonts w:ascii="Calibri" w:hAnsi="Calibri"/>
                <w:color w:val="17212B"/>
                <w:sz w:val="16"/>
              </w:rPr>
              <w:t>Every 2–3 days</w:t>
            </w:r>
          </w:p>
        </w:tc>
        <w:tc>
          <w:tcPr>
            <w:tcW w:type="dxa" w:w="3600"/>
            <w:tcMar>
              <w:top w:w="90" w:type="dxa"/>
              <w:start w:w="120" w:type="dxa"/>
              <w:bottom w:w="90" w:type="dxa"/>
              <w:end w:w="120" w:type="dxa"/>
            </w:tcMar>
            <w:vAlign w:val="center"/>
          </w:tcPr>
          <w:p>
            <w:pPr>
              <w:spacing w:after="0"/>
            </w:pPr>
            <w:r>
              <w:rPr>
                <w:rFonts w:ascii="Calibri" w:hAnsi="Calibri"/>
                <w:color w:val="17212B"/>
                <w:sz w:val="16"/>
              </w:rPr>
              <w:t>Risk and milestone review</w:t>
            </w:r>
          </w:p>
        </w:tc>
        <w:tc>
          <w:tcPr>
            <w:tcW w:type="dxa" w:w="3960"/>
            <w:tcMar>
              <w:top w:w="90" w:type="dxa"/>
              <w:start w:w="120" w:type="dxa"/>
              <w:bottom w:w="90" w:type="dxa"/>
              <w:end w:w="120" w:type="dxa"/>
            </w:tcMar>
            <w:vAlign w:val="center"/>
          </w:tcPr>
          <w:p>
            <w:pPr>
              <w:spacing w:after="0"/>
            </w:pPr>
            <w:r>
              <w:rPr>
                <w:rFonts w:ascii="Calibri" w:hAnsi="Calibri"/>
                <w:color w:val="17212B"/>
                <w:sz w:val="16"/>
              </w:rPr>
              <w:t>Reforecast dates; cut optional scope before mandatory controls</w:t>
            </w:r>
          </w:p>
        </w:tc>
      </w:tr>
      <w:tr>
        <w:trPr>
          <w:cantSplit/>
        </w:trPr>
        <w:tc>
          <w:tcPr>
            <w:tcW w:type="dxa" w:w="1800"/>
            <w:tcMar>
              <w:top w:w="90" w:type="dxa"/>
              <w:start w:w="120" w:type="dxa"/>
              <w:bottom w:w="90" w:type="dxa"/>
              <w:end w:w="120" w:type="dxa"/>
            </w:tcMar>
            <w:vAlign w:val="center"/>
            <w:shd w:fill="F8FAFB"/>
          </w:tcPr>
          <w:p>
            <w:pPr>
              <w:spacing w:after="0"/>
            </w:pPr>
            <w:r>
              <w:rPr>
                <w:rFonts w:ascii="Calibri" w:hAnsi="Calibri"/>
                <w:color w:val="17212B"/>
                <w:sz w:val="16"/>
              </w:rPr>
              <w:t>Before merge</w:t>
            </w:r>
          </w:p>
        </w:tc>
        <w:tc>
          <w:tcPr>
            <w:tcW w:type="dxa" w:w="3600"/>
            <w:tcMar>
              <w:top w:w="90" w:type="dxa"/>
              <w:start w:w="120" w:type="dxa"/>
              <w:bottom w:w="90" w:type="dxa"/>
              <w:end w:w="120" w:type="dxa"/>
            </w:tcMar>
            <w:vAlign w:val="center"/>
            <w:shd w:fill="F8FAFB"/>
          </w:tcPr>
          <w:p>
            <w:pPr>
              <w:spacing w:after="0"/>
            </w:pPr>
            <w:r>
              <w:rPr>
                <w:rFonts w:ascii="Calibri" w:hAnsi="Calibri"/>
                <w:color w:val="17212B"/>
                <w:sz w:val="16"/>
              </w:rPr>
              <w:t>PM technical/privacy review</w:t>
            </w:r>
          </w:p>
        </w:tc>
        <w:tc>
          <w:tcPr>
            <w:tcW w:type="dxa" w:w="3960"/>
            <w:tcMar>
              <w:top w:w="90" w:type="dxa"/>
              <w:start w:w="120" w:type="dxa"/>
              <w:bottom w:w="90" w:type="dxa"/>
              <w:end w:w="120" w:type="dxa"/>
            </w:tcMar>
            <w:vAlign w:val="center"/>
            <w:shd w:fill="F8FAFB"/>
          </w:tcPr>
          <w:p>
            <w:pPr>
              <w:spacing w:after="0"/>
            </w:pPr>
            <w:r>
              <w:rPr>
                <w:rFonts w:ascii="Calibri" w:hAnsi="Calibri"/>
                <w:color w:val="17212B"/>
                <w:sz w:val="16"/>
              </w:rPr>
              <w:t>No unresolved critical/high issue; acceptance trace complete</w:t>
            </w:r>
          </w:p>
        </w:tc>
      </w:tr>
      <w:tr>
        <w:trPr>
          <w:cantSplit/>
        </w:trPr>
        <w:tc>
          <w:tcPr>
            <w:tcW w:type="dxa" w:w="1800"/>
            <w:tcMar>
              <w:top w:w="90" w:type="dxa"/>
              <w:start w:w="120" w:type="dxa"/>
              <w:bottom w:w="90" w:type="dxa"/>
              <w:end w:w="120" w:type="dxa"/>
            </w:tcMar>
            <w:vAlign w:val="center"/>
          </w:tcPr>
          <w:p>
            <w:pPr>
              <w:spacing w:after="0"/>
            </w:pPr>
            <w:r>
              <w:rPr>
                <w:rFonts w:ascii="Calibri" w:hAnsi="Calibri"/>
                <w:color w:val="17212B"/>
                <w:sz w:val="16"/>
              </w:rPr>
              <w:t>Gate minus 72 hours</w:t>
            </w:r>
          </w:p>
        </w:tc>
        <w:tc>
          <w:tcPr>
            <w:tcW w:type="dxa" w:w="3600"/>
            <w:tcMar>
              <w:top w:w="90" w:type="dxa"/>
              <w:start w:w="120" w:type="dxa"/>
              <w:bottom w:w="90" w:type="dxa"/>
              <w:end w:w="120" w:type="dxa"/>
            </w:tcMar>
            <w:vAlign w:val="center"/>
          </w:tcPr>
          <w:p>
            <w:pPr>
              <w:spacing w:after="0"/>
            </w:pPr>
            <w:r>
              <w:rPr>
                <w:rFonts w:ascii="Calibri" w:hAnsi="Calibri"/>
                <w:color w:val="17212B"/>
                <w:sz w:val="16"/>
              </w:rPr>
              <w:t>Feature freeze</w:t>
            </w:r>
          </w:p>
        </w:tc>
        <w:tc>
          <w:tcPr>
            <w:tcW w:type="dxa" w:w="3960"/>
            <w:tcMar>
              <w:top w:w="90" w:type="dxa"/>
              <w:start w:w="120" w:type="dxa"/>
              <w:bottom w:w="90" w:type="dxa"/>
              <w:end w:w="120" w:type="dxa"/>
            </w:tcMar>
            <w:vAlign w:val="center"/>
          </w:tcPr>
          <w:p>
            <w:pPr>
              <w:spacing w:after="0"/>
            </w:pPr>
            <w:r>
              <w:rPr>
                <w:rFonts w:ascii="Calibri" w:hAnsi="Calibri"/>
                <w:color w:val="17212B"/>
                <w:sz w:val="16"/>
              </w:rPr>
              <w:t>Only release blockers, evidence, demo, and submission work</w:t>
            </w:r>
          </w:p>
        </w:tc>
      </w:tr>
      <w:tr>
        <w:trPr>
          <w:cantSplit/>
        </w:trPr>
        <w:tc>
          <w:tcPr>
            <w:tcW w:type="dxa" w:w="1800"/>
            <w:tcMar>
              <w:top w:w="90" w:type="dxa"/>
              <w:start w:w="120" w:type="dxa"/>
              <w:bottom w:w="90" w:type="dxa"/>
              <w:end w:w="120" w:type="dxa"/>
            </w:tcMar>
            <w:vAlign w:val="center"/>
            <w:shd w:fill="F8FAFB"/>
          </w:tcPr>
          <w:p>
            <w:pPr>
              <w:spacing w:after="0"/>
            </w:pPr>
            <w:r>
              <w:rPr>
                <w:rFonts w:ascii="Calibri" w:hAnsi="Calibri"/>
                <w:color w:val="17212B"/>
                <w:sz w:val="16"/>
              </w:rPr>
              <w:t>Gate minus 24 hours</w:t>
            </w:r>
          </w:p>
        </w:tc>
        <w:tc>
          <w:tcPr>
            <w:tcW w:type="dxa" w:w="3600"/>
            <w:tcMar>
              <w:top w:w="90" w:type="dxa"/>
              <w:start w:w="120" w:type="dxa"/>
              <w:bottom w:w="90" w:type="dxa"/>
              <w:end w:w="120" w:type="dxa"/>
            </w:tcMar>
            <w:vAlign w:val="center"/>
            <w:shd w:fill="F8FAFB"/>
          </w:tcPr>
          <w:p>
            <w:pPr>
              <w:spacing w:after="0"/>
            </w:pPr>
            <w:r>
              <w:rPr>
                <w:rFonts w:ascii="Calibri" w:hAnsi="Calibri"/>
                <w:color w:val="17212B"/>
                <w:sz w:val="16"/>
              </w:rPr>
              <w:t>Submission audit</w:t>
            </w:r>
          </w:p>
        </w:tc>
        <w:tc>
          <w:tcPr>
            <w:tcW w:type="dxa" w:w="3960"/>
            <w:tcMar>
              <w:top w:w="90" w:type="dxa"/>
              <w:start w:w="120" w:type="dxa"/>
              <w:bottom w:w="90" w:type="dxa"/>
              <w:end w:w="120" w:type="dxa"/>
            </w:tcMar>
            <w:vAlign w:val="center"/>
            <w:shd w:fill="F8FAFB"/>
          </w:tcPr>
          <w:p>
            <w:pPr>
              <w:spacing w:after="0"/>
            </w:pPr>
            <w:r>
              <w:rPr>
                <w:rFonts w:ascii="Calibri" w:hAnsi="Calibri"/>
                <w:color w:val="17212B"/>
                <w:sz w:val="16"/>
              </w:rPr>
              <w:t>Rules, links, credentials, video, deployment, backup recording</w:t>
            </w:r>
          </w:p>
        </w:tc>
      </w:tr>
    </w:tbl>
    <w:p>
      <w:pPr>
        <w:spacing w:after="20"/>
      </w:pPr>
    </w:p>
    <w:p>
      <w:r>
        <w:br w:type="page"/>
      </w:r>
    </w:p>
    <w:p>
      <w:pPr>
        <w:pStyle w:val="Heading1"/>
      </w:pPr>
      <w:r>
        <w:t>3. Recommended implementation baseline</w:t>
      </w: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60" w:type="dxa"/>
              <w:bottom w:w="130" w:type="dxa"/>
              <w:end w:w="160" w:type="dxa"/>
            </w:tcMar>
            <w:shd w:fill="F4F7F9"/>
          </w:tcPr>
          <w:p>
            <w:pPr>
              <w:spacing w:after="0"/>
            </w:pPr>
            <w:r>
              <w:rPr>
                <w:rFonts w:ascii="Calibri" w:hAnsi="Calibri"/>
                <w:b/>
                <w:color w:val="1C8C84"/>
                <w:sz w:val="17"/>
              </w:rPr>
              <w:t>STACK DECISION  Use Python for the canonical backend and both agent adapters; use typed JSON/OpenAPI contracts to connect the React web UI. Responsive web is the approved mobile surface. React Native / Expo / other native stacks are not selected in this change.</w:t>
            </w:r>
            <w:r>
              <w:rPr>
                <w:rFonts w:ascii="Calibri" w:hAnsi="Calibri"/>
                <w:b/>
                <w:color w:val="17212B"/>
                <w:sz w:val="20"/>
              </w:rPr>
            </w:r>
          </w:p>
        </w:tc>
      </w:tr>
    </w:tbl>
    <w:p>
      <w:pPr>
        <w:spacing w:after="20"/>
      </w:pPr>
    </w:p>
    <w:p>
      <w:pPr>
        <w:pStyle w:val="Heading2"/>
      </w:pPr>
      <w:r>
        <w:t>3.1 Default stack</w:t>
      </w:r>
    </w:p>
    <w:tbl>
      <w:tblPr>
        <w:tblStyle w:val="TableGrid"/>
        <w:tblW w:type="auto" w:w="0"/>
        <w:jc w:val="center"/>
        <w:tblLayout w:type="fixed"/>
        <w:tblLook w:firstColumn="1" w:firstRow="1" w:lastColumn="0" w:lastRow="0" w:noHBand="0" w:noVBand="1" w:val="04A0"/>
        <w:tblW w:w="9360" w:type="dxa"/>
        <w:tblInd w:w="120" w:type="dxa"/>
      </w:tblPr>
      <w:tblGrid>
        <w:gridCol w:w="1728"/>
        <w:gridCol w:w="3240"/>
        <w:gridCol w:w="4392"/>
      </w:tblGrid>
      <w:tr>
        <w:trPr>
          <w:tblHeader w:val="true"/>
          <w:cantSplit/>
        </w:trPr>
        <w:tc>
          <w:tcPr>
            <w:tcW w:type="dxa" w:w="1728"/>
            <w:tcMar>
              <w:top w:w="90" w:type="dxa"/>
              <w:start w:w="120" w:type="dxa"/>
              <w:bottom w:w="90" w:type="dxa"/>
              <w:end w:w="120" w:type="dxa"/>
            </w:tcMar>
            <w:shd w:fill="17324D"/>
            <w:vAlign w:val="center"/>
          </w:tcPr>
          <w:p>
            <w:pPr>
              <w:spacing w:after="0"/>
            </w:pPr>
            <w:r>
              <w:rPr>
                <w:rFonts w:ascii="Calibri" w:hAnsi="Calibri"/>
                <w:b/>
                <w:color w:val="FFFFFF"/>
                <w:sz w:val="15"/>
              </w:rPr>
              <w:t>Area</w:t>
            </w:r>
          </w:p>
        </w:tc>
        <w:tc>
          <w:tcPr>
            <w:tcW w:type="dxa" w:w="3240"/>
            <w:tcMar>
              <w:top w:w="90" w:type="dxa"/>
              <w:start w:w="120" w:type="dxa"/>
              <w:bottom w:w="90" w:type="dxa"/>
              <w:end w:w="120" w:type="dxa"/>
            </w:tcMar>
            <w:shd w:fill="17324D"/>
            <w:vAlign w:val="center"/>
          </w:tcPr>
          <w:p>
            <w:pPr>
              <w:spacing w:after="0"/>
            </w:pPr>
            <w:r>
              <w:rPr>
                <w:rFonts w:ascii="Calibri" w:hAnsi="Calibri"/>
                <w:b/>
                <w:color w:val="FFFFFF"/>
                <w:sz w:val="15"/>
              </w:rPr>
              <w:t>Default</w:t>
            </w:r>
          </w:p>
        </w:tc>
        <w:tc>
          <w:tcPr>
            <w:tcW w:type="dxa" w:w="4392"/>
            <w:tcMar>
              <w:top w:w="90" w:type="dxa"/>
              <w:start w:w="120" w:type="dxa"/>
              <w:bottom w:w="90" w:type="dxa"/>
              <w:end w:w="120" w:type="dxa"/>
            </w:tcMar>
            <w:shd w:fill="17324D"/>
            <w:vAlign w:val="center"/>
          </w:tcPr>
          <w:p>
            <w:pPr>
              <w:spacing w:after="0"/>
            </w:pPr>
            <w:r>
              <w:rPr>
                <w:rFonts w:ascii="Calibri" w:hAnsi="Calibri"/>
                <w:b/>
                <w:color w:val="FFFFFF"/>
                <w:sz w:val="15"/>
              </w:rPr>
              <w:t>Reason / constraint</w:t>
            </w:r>
          </w:p>
        </w:tc>
      </w:tr>
      <w:tr>
        <w:trPr>
          <w:cantSplit/>
        </w:trPr>
        <w:tc>
          <w:tcPr>
            <w:tcW w:type="dxa" w:w="1728"/>
            <w:tcMar>
              <w:top w:w="90" w:type="dxa"/>
              <w:start w:w="120" w:type="dxa"/>
              <w:bottom w:w="90" w:type="dxa"/>
              <w:end w:w="120" w:type="dxa"/>
            </w:tcMar>
            <w:vAlign w:val="center"/>
          </w:tcPr>
          <w:p>
            <w:pPr>
              <w:spacing w:after="0"/>
            </w:pPr>
            <w:r>
              <w:rPr>
                <w:rFonts w:ascii="Calibri" w:hAnsi="Calibri"/>
                <w:color w:val="17212B"/>
                <w:sz w:val="15"/>
              </w:rPr>
              <w:t>Backend</w:t>
            </w:r>
          </w:p>
        </w:tc>
        <w:tc>
          <w:tcPr>
            <w:tcW w:type="dxa" w:w="3240"/>
            <w:tcMar>
              <w:top w:w="90" w:type="dxa"/>
              <w:start w:w="120" w:type="dxa"/>
              <w:bottom w:w="90" w:type="dxa"/>
              <w:end w:w="120" w:type="dxa"/>
            </w:tcMar>
            <w:vAlign w:val="center"/>
          </w:tcPr>
          <w:p>
            <w:pPr>
              <w:spacing w:after="0"/>
            </w:pPr>
            <w:r>
              <w:rPr>
                <w:rFonts w:ascii="Calibri" w:hAnsi="Calibri"/>
                <w:color w:val="17212B"/>
                <w:sz w:val="15"/>
              </w:rPr>
              <w:t>Python 3.12, FastAPI, Pydantic v2</w:t>
            </w:r>
          </w:p>
        </w:tc>
        <w:tc>
          <w:tcPr>
            <w:tcW w:type="dxa" w:w="4392"/>
            <w:tcMar>
              <w:top w:w="90" w:type="dxa"/>
              <w:start w:w="120" w:type="dxa"/>
              <w:bottom w:w="90" w:type="dxa"/>
              <w:end w:w="120" w:type="dxa"/>
            </w:tcMar>
            <w:vAlign w:val="center"/>
          </w:tcPr>
          <w:p>
            <w:pPr>
              <w:spacing w:after="0"/>
            </w:pPr>
            <w:r>
              <w:rPr>
                <w:rFonts w:ascii="Calibri" w:hAnsi="Calibri"/>
                <w:color w:val="17212B"/>
                <w:sz w:val="15"/>
              </w:rPr>
              <w:t>Strong structured-domain support; both Google ADK and AWS Strands ecosystems; fast testability</w:t>
            </w:r>
          </w:p>
        </w:tc>
      </w:tr>
      <w:tr>
        <w:trPr>
          <w:cantSplit/>
        </w:trPr>
        <w:tc>
          <w:tcPr>
            <w:tcW w:type="dxa" w:w="1728"/>
            <w:tcMar>
              <w:top w:w="90" w:type="dxa"/>
              <w:start w:w="120" w:type="dxa"/>
              <w:bottom w:w="90" w:type="dxa"/>
              <w:end w:w="120" w:type="dxa"/>
            </w:tcMar>
            <w:vAlign w:val="center"/>
            <w:shd w:fill="F8FAFB"/>
          </w:tcPr>
          <w:p>
            <w:pPr>
              <w:spacing w:after="0"/>
            </w:pPr>
            <w:r>
              <w:rPr>
                <w:rFonts w:ascii="Calibri" w:hAnsi="Calibri"/>
                <w:color w:val="17212B"/>
                <w:sz w:val="15"/>
              </w:rPr>
              <w:t>Persistence</w:t>
            </w:r>
          </w:p>
        </w:tc>
        <w:tc>
          <w:tcPr>
            <w:tcW w:type="dxa" w:w="3240"/>
            <w:tcMar>
              <w:top w:w="90" w:type="dxa"/>
              <w:start w:w="120" w:type="dxa"/>
              <w:bottom w:w="90" w:type="dxa"/>
              <w:end w:w="120" w:type="dxa"/>
            </w:tcMar>
            <w:vAlign w:val="center"/>
            <w:shd w:fill="F8FAFB"/>
          </w:tcPr>
          <w:p>
            <w:pPr>
              <w:spacing w:after="0"/>
            </w:pPr>
            <w:r>
              <w:rPr>
                <w:rFonts w:ascii="Calibri" w:hAnsi="Calibri"/>
                <w:color w:val="17212B"/>
                <w:sz w:val="15"/>
              </w:rPr>
              <w:t>PostgreSQL locally; repository ports</w:t>
            </w:r>
          </w:p>
        </w:tc>
        <w:tc>
          <w:tcPr>
            <w:tcW w:type="dxa" w:w="4392"/>
            <w:tcMar>
              <w:top w:w="90" w:type="dxa"/>
              <w:start w:w="120" w:type="dxa"/>
              <w:bottom w:w="90" w:type="dxa"/>
              <w:end w:w="120" w:type="dxa"/>
            </w:tcMar>
            <w:vAlign w:val="center"/>
            <w:shd w:fill="F8FAFB"/>
          </w:tcPr>
          <w:p>
            <w:pPr>
              <w:spacing w:after="0"/>
            </w:pPr>
            <w:r>
              <w:rPr>
                <w:rFonts w:ascii="Calibri" w:hAnsi="Calibri"/>
                <w:color w:val="17212B"/>
                <w:sz w:val="15"/>
              </w:rPr>
              <w:t>Relational integrity for versions/approvals; cloud stores remain adapters</w:t>
            </w:r>
          </w:p>
        </w:tc>
      </w:tr>
      <w:tr>
        <w:trPr>
          <w:cantSplit/>
        </w:trPr>
        <w:tc>
          <w:tcPr>
            <w:tcW w:type="dxa" w:w="1728"/>
            <w:tcMar>
              <w:top w:w="90" w:type="dxa"/>
              <w:start w:w="120" w:type="dxa"/>
              <w:bottom w:w="90" w:type="dxa"/>
              <w:end w:w="120" w:type="dxa"/>
            </w:tcMar>
            <w:vAlign w:val="center"/>
          </w:tcPr>
          <w:p>
            <w:pPr>
              <w:spacing w:after="0"/>
            </w:pPr>
            <w:r>
              <w:rPr>
                <w:rFonts w:ascii="Calibri" w:hAnsi="Calibri"/>
                <w:color w:val="17212B"/>
                <w:sz w:val="15"/>
              </w:rPr>
              <w:t>Migrations</w:t>
            </w:r>
          </w:p>
        </w:tc>
        <w:tc>
          <w:tcPr>
            <w:tcW w:type="dxa" w:w="3240"/>
            <w:tcMar>
              <w:top w:w="90" w:type="dxa"/>
              <w:start w:w="120" w:type="dxa"/>
              <w:bottom w:w="90" w:type="dxa"/>
              <w:end w:w="120" w:type="dxa"/>
            </w:tcMar>
            <w:vAlign w:val="center"/>
          </w:tcPr>
          <w:p>
            <w:pPr>
              <w:spacing w:after="0"/>
            </w:pPr>
            <w:r>
              <w:rPr>
                <w:rFonts w:ascii="Calibri" w:hAnsi="Calibri"/>
                <w:color w:val="17212B"/>
                <w:sz w:val="15"/>
              </w:rPr>
              <w:t>Alembic</w:t>
            </w:r>
          </w:p>
        </w:tc>
        <w:tc>
          <w:tcPr>
            <w:tcW w:type="dxa" w:w="4392"/>
            <w:tcMar>
              <w:top w:w="90" w:type="dxa"/>
              <w:start w:w="120" w:type="dxa"/>
              <w:bottom w:w="90" w:type="dxa"/>
              <w:end w:w="120" w:type="dxa"/>
            </w:tcMar>
            <w:vAlign w:val="center"/>
          </w:tcPr>
          <w:p>
            <w:pPr>
              <w:spacing w:after="0"/>
            </w:pPr>
            <w:r>
              <w:rPr>
                <w:rFonts w:ascii="Calibri" w:hAnsi="Calibri"/>
                <w:color w:val="17212B"/>
                <w:sz w:val="15"/>
              </w:rPr>
              <w:t>Explicit, reviewable schema changes</w:t>
            </w:r>
          </w:p>
        </w:tc>
      </w:tr>
      <w:tr>
        <w:trPr>
          <w:cantSplit/>
        </w:trPr>
        <w:tc>
          <w:tcPr>
            <w:tcW w:type="dxa" w:w="1728"/>
            <w:tcMar>
              <w:top w:w="90" w:type="dxa"/>
              <w:start w:w="120" w:type="dxa"/>
              <w:bottom w:w="90" w:type="dxa"/>
              <w:end w:w="120" w:type="dxa"/>
            </w:tcMar>
            <w:vAlign w:val="center"/>
            <w:shd w:fill="F8FAFB"/>
          </w:tcPr>
          <w:p>
            <w:pPr>
              <w:spacing w:after="0"/>
            </w:pPr>
            <w:r>
              <w:rPr>
                <w:rFonts w:ascii="Calibri" w:hAnsi="Calibri"/>
                <w:color w:val="17212B"/>
                <w:sz w:val="15"/>
              </w:rPr>
              <w:t>Async work</w:t>
            </w:r>
          </w:p>
        </w:tc>
        <w:tc>
          <w:tcPr>
            <w:tcW w:type="dxa" w:w="3240"/>
            <w:tcMar>
              <w:top w:w="90" w:type="dxa"/>
              <w:start w:w="120" w:type="dxa"/>
              <w:bottom w:w="90" w:type="dxa"/>
              <w:end w:w="120" w:type="dxa"/>
            </w:tcMar>
            <w:vAlign w:val="center"/>
            <w:shd w:fill="F8FAFB"/>
          </w:tcPr>
          <w:p>
            <w:pPr>
              <w:spacing w:after="0"/>
            </w:pPr>
            <w:r>
              <w:rPr>
                <w:rFonts w:ascii="Calibri" w:hAnsi="Calibri"/>
                <w:color w:val="17212B"/>
                <w:sz w:val="15"/>
              </w:rPr>
              <w:t>Application JobQueue/EventBus ports; local in-process adapter first</w:t>
            </w:r>
          </w:p>
        </w:tc>
        <w:tc>
          <w:tcPr>
            <w:tcW w:type="dxa" w:w="4392"/>
            <w:tcMar>
              <w:top w:w="90" w:type="dxa"/>
              <w:start w:w="120" w:type="dxa"/>
              <w:bottom w:w="90" w:type="dxa"/>
              <w:end w:w="120" w:type="dxa"/>
            </w:tcMar>
            <w:vAlign w:val="center"/>
            <w:shd w:fill="F8FAFB"/>
          </w:tcPr>
          <w:p>
            <w:pPr>
              <w:spacing w:after="0"/>
            </w:pPr>
            <w:r>
              <w:rPr>
                <w:rFonts w:ascii="Calibri" w:hAnsi="Calibri"/>
                <w:color w:val="17212B"/>
                <w:sz w:val="15"/>
              </w:rPr>
              <w:t>Avoid choosing cloud queues inside core</w:t>
            </w:r>
          </w:p>
        </w:tc>
      </w:tr>
      <w:tr>
        <w:trPr>
          <w:cantSplit/>
        </w:trPr>
        <w:tc>
          <w:tcPr>
            <w:tcW w:type="dxa" w:w="1728"/>
            <w:tcMar>
              <w:top w:w="90" w:type="dxa"/>
              <w:start w:w="120" w:type="dxa"/>
              <w:bottom w:w="90" w:type="dxa"/>
              <w:end w:w="120" w:type="dxa"/>
            </w:tcMar>
            <w:vAlign w:val="center"/>
          </w:tcPr>
          <w:p>
            <w:pPr>
              <w:spacing w:after="0"/>
            </w:pPr>
            <w:r>
              <w:rPr>
                <w:rFonts w:ascii="Calibri" w:hAnsi="Calibri"/>
                <w:color w:val="17212B"/>
                <w:sz w:val="15"/>
              </w:rPr>
              <w:t>Web</w:t>
            </w:r>
          </w:p>
        </w:tc>
        <w:tc>
          <w:tcPr>
            <w:tcW w:type="dxa" w:w="3240"/>
            <w:tcMar>
              <w:top w:w="90" w:type="dxa"/>
              <w:start w:w="120" w:type="dxa"/>
              <w:bottom w:w="90" w:type="dxa"/>
              <w:end w:w="120" w:type="dxa"/>
            </w:tcMar>
            <w:vAlign w:val="center"/>
          </w:tcPr>
          <w:p>
            <w:pPr>
              <w:spacing w:after="0"/>
            </w:pPr>
            <w:r>
              <w:rPr>
                <w:rFonts w:ascii="Calibri" w:hAnsi="Calibri"/>
                <w:color w:val="17212B"/>
                <w:sz w:val="15"/>
              </w:rPr>
              <w:t>React + TypeScript; lightweight build tool selected by Cursor</w:t>
            </w:r>
          </w:p>
        </w:tc>
        <w:tc>
          <w:tcPr>
            <w:tcW w:type="dxa" w:w="4392"/>
            <w:tcMar>
              <w:top w:w="90" w:type="dxa"/>
              <w:start w:w="120" w:type="dxa"/>
              <w:bottom w:w="90" w:type="dxa"/>
              <w:end w:w="120" w:type="dxa"/>
            </w:tcMar>
            <w:vAlign w:val="center"/>
          </w:tcPr>
          <w:p>
            <w:pPr>
              <w:spacing w:after="0"/>
            </w:pPr>
            <w:r>
              <w:rPr>
                <w:rFonts w:ascii="Calibri" w:hAnsi="Calibri"/>
                <w:color w:val="17212B"/>
                <w:sz w:val="15"/>
              </w:rPr>
              <w:t>Decision-card UX; API-generated types</w:t>
            </w:r>
          </w:p>
        </w:tc>
      </w:tr>
      <w:tr>
        <w:trPr>
          <w:cantSplit/>
        </w:trPr>
        <w:tc>
          <w:tcPr>
            <w:tcW w:type="dxa" w:w="1728"/>
            <w:tcMar>
              <w:top w:w="90" w:type="dxa"/>
              <w:start w:w="120" w:type="dxa"/>
              <w:bottom w:w="90" w:type="dxa"/>
              <w:end w:w="120" w:type="dxa"/>
            </w:tcMar>
            <w:vAlign w:val="center"/>
            <w:shd w:fill="F8FAFB"/>
          </w:tcPr>
          <w:p>
            <w:pPr>
              <w:spacing w:after="0"/>
            </w:pPr>
            <w:r>
              <w:rPr>
                <w:rFonts w:ascii="Calibri" w:hAnsi="Calibri"/>
                <w:color w:val="17212B"/>
                <w:sz w:val="15"/>
              </w:rPr>
              <w:t>Mobile</w:t>
            </w:r>
          </w:p>
        </w:tc>
        <w:tc>
          <w:tcPr>
            <w:tcW w:type="dxa" w:w="3240"/>
            <w:tcMar>
              <w:top w:w="90" w:type="dxa"/>
              <w:start w:w="120" w:type="dxa"/>
              <w:bottom w:w="90" w:type="dxa"/>
              <w:end w:w="120" w:type="dxa"/>
            </w:tcMar>
            <w:vAlign w:val="center"/>
            <w:shd w:fill="F8FAFB"/>
          </w:tcPr>
          <w:p>
            <w:pPr>
              <w:spacing w:after="0"/>
            </w:pPr>
            <w:r>
              <w:rPr>
                <w:rFonts w:ascii="Calibri" w:hAnsi="Calibri"/>
                <w:color w:val="17212B"/>
                <w:sz w:val="15"/>
              </w:rPr>
              <w:t>Not selected. Responsive web is the mobile surface until a later native ADR is accepted.</w:t>
            </w:r>
          </w:p>
        </w:tc>
        <w:tc>
          <w:tcPr>
            <w:tcW w:type="dxa" w:w="4392"/>
            <w:tcMar>
              <w:top w:w="90" w:type="dxa"/>
              <w:start w:w="120" w:type="dxa"/>
              <w:bottom w:w="90" w:type="dxa"/>
              <w:end w:w="120" w:type="dxa"/>
            </w:tcMar>
            <w:vAlign w:val="center"/>
            <w:shd w:fill="F8FAFB"/>
          </w:tcPr>
          <w:p>
            <w:pPr>
              <w:spacing w:after="0"/>
            </w:pPr>
            <w:r>
              <w:rPr>
                <w:rFonts w:ascii="Calibri" w:hAnsi="Calibri"/>
                <w:color w:val="17212B"/>
                <w:sz w:val="15"/>
              </w:rPr>
              <w:t>Do not scaffold apps/mobile beyond the existing placeholder.</w:t>
            </w:r>
          </w:p>
        </w:tc>
      </w:tr>
      <w:tr>
        <w:trPr>
          <w:cantSplit/>
        </w:trPr>
        <w:tc>
          <w:tcPr>
            <w:tcW w:type="dxa" w:w="1728"/>
            <w:tcMar>
              <w:top w:w="90" w:type="dxa"/>
              <w:start w:w="120" w:type="dxa"/>
              <w:bottom w:w="90" w:type="dxa"/>
              <w:end w:w="120" w:type="dxa"/>
            </w:tcMar>
            <w:vAlign w:val="center"/>
          </w:tcPr>
          <w:p>
            <w:pPr>
              <w:spacing w:after="0"/>
            </w:pPr>
            <w:r>
              <w:rPr>
                <w:rFonts w:ascii="Calibri" w:hAnsi="Calibri"/>
                <w:color w:val="17212B"/>
                <w:sz w:val="15"/>
              </w:rPr>
              <w:t>Contracts</w:t>
            </w:r>
          </w:p>
        </w:tc>
        <w:tc>
          <w:tcPr>
            <w:tcW w:type="dxa" w:w="3240"/>
            <w:tcMar>
              <w:top w:w="90" w:type="dxa"/>
              <w:start w:w="120" w:type="dxa"/>
              <w:bottom w:w="90" w:type="dxa"/>
              <w:end w:w="120" w:type="dxa"/>
            </w:tcMar>
            <w:vAlign w:val="center"/>
          </w:tcPr>
          <w:p>
            <w:pPr>
              <w:spacing w:after="0"/>
            </w:pPr>
            <w:r>
              <w:rPr>
                <w:rFonts w:ascii="Calibri" w:hAnsi="Calibri"/>
                <w:color w:val="17212B"/>
                <w:sz w:val="15"/>
              </w:rPr>
              <w:t>JSON Schema 2020-12 + OpenAPI 3.1; generated Python/TypeScript types</w:t>
            </w:r>
          </w:p>
        </w:tc>
        <w:tc>
          <w:tcPr>
            <w:tcW w:type="dxa" w:w="4392"/>
            <w:tcMar>
              <w:top w:w="90" w:type="dxa"/>
              <w:start w:w="120" w:type="dxa"/>
              <w:bottom w:w="90" w:type="dxa"/>
              <w:end w:w="120" w:type="dxa"/>
            </w:tcMar>
            <w:vAlign w:val="center"/>
          </w:tcPr>
          <w:p>
            <w:pPr>
              <w:spacing w:after="0"/>
            </w:pPr>
            <w:r>
              <w:rPr>
                <w:rFonts w:ascii="Calibri" w:hAnsi="Calibri"/>
                <w:color w:val="17212B"/>
                <w:sz w:val="15"/>
              </w:rPr>
              <w:t>Canonical boundaries and adapter conformance</w:t>
            </w:r>
          </w:p>
        </w:tc>
      </w:tr>
      <w:tr>
        <w:trPr>
          <w:cantSplit/>
        </w:trPr>
        <w:tc>
          <w:tcPr>
            <w:tcW w:type="dxa" w:w="1728"/>
            <w:tcMar>
              <w:top w:w="90" w:type="dxa"/>
              <w:start w:w="120" w:type="dxa"/>
              <w:bottom w:w="90" w:type="dxa"/>
              <w:end w:w="120" w:type="dxa"/>
            </w:tcMar>
            <w:vAlign w:val="center"/>
            <w:shd w:fill="F8FAFB"/>
          </w:tcPr>
          <w:p>
            <w:pPr>
              <w:spacing w:after="0"/>
            </w:pPr>
            <w:r>
              <w:rPr>
                <w:rFonts w:ascii="Calibri" w:hAnsi="Calibri"/>
                <w:color w:val="17212B"/>
                <w:sz w:val="15"/>
              </w:rPr>
              <w:t>Testing</w:t>
            </w:r>
          </w:p>
        </w:tc>
        <w:tc>
          <w:tcPr>
            <w:tcW w:type="dxa" w:w="3240"/>
            <w:tcMar>
              <w:top w:w="90" w:type="dxa"/>
              <w:start w:w="120" w:type="dxa"/>
              <w:bottom w:w="90" w:type="dxa"/>
              <w:end w:w="120" w:type="dxa"/>
            </w:tcMar>
            <w:vAlign w:val="center"/>
            <w:shd w:fill="F8FAFB"/>
          </w:tcPr>
          <w:p>
            <w:pPr>
              <w:spacing w:after="0"/>
            </w:pPr>
            <w:r>
              <w:rPr>
                <w:rFonts w:ascii="Calibri" w:hAnsi="Calibri"/>
                <w:color w:val="17212B"/>
                <w:sz w:val="15"/>
              </w:rPr>
              <w:t>pytest, property-based tests where valuable, frontend unit/e2e tooling selected during scaffold</w:t>
            </w:r>
          </w:p>
        </w:tc>
        <w:tc>
          <w:tcPr>
            <w:tcW w:type="dxa" w:w="4392"/>
            <w:tcMar>
              <w:top w:w="90" w:type="dxa"/>
              <w:start w:w="120" w:type="dxa"/>
              <w:bottom w:w="90" w:type="dxa"/>
              <w:end w:w="120" w:type="dxa"/>
            </w:tcMar>
            <w:vAlign w:val="center"/>
            <w:shd w:fill="F8FAFB"/>
          </w:tcPr>
          <w:p>
            <w:pPr>
              <w:spacing w:after="0"/>
            </w:pPr>
            <w:r>
              <w:rPr>
                <w:rFonts w:ascii="Calibri" w:hAnsi="Calibri"/>
                <w:color w:val="17212B"/>
                <w:sz w:val="15"/>
              </w:rPr>
              <w:t>Deterministic domain emphasis</w:t>
            </w:r>
          </w:p>
        </w:tc>
      </w:tr>
      <w:tr>
        <w:trPr>
          <w:cantSplit/>
        </w:trPr>
        <w:tc>
          <w:tcPr>
            <w:tcW w:type="dxa" w:w="1728"/>
            <w:tcMar>
              <w:top w:w="90" w:type="dxa"/>
              <w:start w:w="120" w:type="dxa"/>
              <w:bottom w:w="90" w:type="dxa"/>
              <w:end w:w="120" w:type="dxa"/>
            </w:tcMar>
            <w:vAlign w:val="center"/>
          </w:tcPr>
          <w:p>
            <w:pPr>
              <w:spacing w:after="0"/>
            </w:pPr>
            <w:r>
              <w:rPr>
                <w:rFonts w:ascii="Calibri" w:hAnsi="Calibri"/>
                <w:color w:val="17212B"/>
                <w:sz w:val="15"/>
              </w:rPr>
              <w:t>Local tooling</w:t>
            </w:r>
          </w:p>
        </w:tc>
        <w:tc>
          <w:tcPr>
            <w:tcW w:type="dxa" w:w="3240"/>
            <w:tcMar>
              <w:top w:w="90" w:type="dxa"/>
              <w:start w:w="120" w:type="dxa"/>
              <w:bottom w:w="90" w:type="dxa"/>
              <w:end w:w="120" w:type="dxa"/>
            </w:tcMar>
            <w:vAlign w:val="center"/>
          </w:tcPr>
          <w:p>
            <w:pPr>
              <w:spacing w:after="0"/>
            </w:pPr>
            <w:r>
              <w:rPr>
                <w:rFonts w:ascii="Calibri" w:hAnsi="Calibri"/>
                <w:color w:val="17212B"/>
                <w:sz w:val="15"/>
              </w:rPr>
              <w:t>Docker Compose for PostgreSQL; task runner scripts</w:t>
            </w:r>
          </w:p>
        </w:tc>
        <w:tc>
          <w:tcPr>
            <w:tcW w:type="dxa" w:w="4392"/>
            <w:tcMar>
              <w:top w:w="90" w:type="dxa"/>
              <w:start w:w="120" w:type="dxa"/>
              <w:bottom w:w="90" w:type="dxa"/>
              <w:end w:w="120" w:type="dxa"/>
            </w:tcMar>
            <w:vAlign w:val="center"/>
          </w:tcPr>
          <w:p>
            <w:pPr>
              <w:spacing w:after="0"/>
            </w:pPr>
            <w:r>
              <w:rPr>
                <w:rFonts w:ascii="Calibri" w:hAnsi="Calibri"/>
                <w:color w:val="17212B"/>
                <w:sz w:val="15"/>
              </w:rPr>
              <w:t>One-command onboarding without cloud credentials</w:t>
            </w:r>
          </w:p>
        </w:tc>
      </w:tr>
      <w:tr>
        <w:trPr>
          <w:cantSplit/>
        </w:trPr>
        <w:tc>
          <w:tcPr>
            <w:tcW w:type="dxa" w:w="1728"/>
            <w:tcMar>
              <w:top w:w="90" w:type="dxa"/>
              <w:start w:w="120" w:type="dxa"/>
              <w:bottom w:w="90" w:type="dxa"/>
              <w:end w:w="120" w:type="dxa"/>
            </w:tcMar>
            <w:vAlign w:val="center"/>
            <w:shd w:fill="F8FAFB"/>
          </w:tcPr>
          <w:p>
            <w:pPr>
              <w:spacing w:after="0"/>
            </w:pPr>
            <w:r>
              <w:rPr>
                <w:rFonts w:ascii="Calibri" w:hAnsi="Calibri"/>
                <w:color w:val="17212B"/>
                <w:sz w:val="15"/>
              </w:rPr>
              <w:t>Telemetry</w:t>
            </w:r>
          </w:p>
        </w:tc>
        <w:tc>
          <w:tcPr>
            <w:tcW w:type="dxa" w:w="3240"/>
            <w:tcMar>
              <w:top w:w="90" w:type="dxa"/>
              <w:start w:w="120" w:type="dxa"/>
              <w:bottom w:w="90" w:type="dxa"/>
              <w:end w:w="120" w:type="dxa"/>
            </w:tcMar>
            <w:vAlign w:val="center"/>
            <w:shd w:fill="F8FAFB"/>
          </w:tcPr>
          <w:p>
            <w:pPr>
              <w:spacing w:after="0"/>
            </w:pPr>
            <w:r>
              <w:rPr>
                <w:rFonts w:ascii="Calibri" w:hAnsi="Calibri"/>
                <w:color w:val="17212B"/>
                <w:sz w:val="15"/>
              </w:rPr>
              <w:t>OpenTelemetry vocabulary from day one; local console/in-memory exporters initially</w:t>
            </w:r>
          </w:p>
        </w:tc>
        <w:tc>
          <w:tcPr>
            <w:tcW w:type="dxa" w:w="4392"/>
            <w:tcMar>
              <w:top w:w="90" w:type="dxa"/>
              <w:start w:w="120" w:type="dxa"/>
              <w:bottom w:w="90" w:type="dxa"/>
              <w:end w:w="120" w:type="dxa"/>
            </w:tcMar>
            <w:vAlign w:val="center"/>
            <w:shd w:fill="F8FAFB"/>
          </w:tcPr>
          <w:p>
            <w:pPr>
              <w:spacing w:after="0"/>
            </w:pPr>
            <w:r>
              <w:rPr>
                <w:rFonts w:ascii="Calibri" w:hAnsi="Calibri"/>
                <w:color w:val="17212B"/>
                <w:sz w:val="15"/>
              </w:rPr>
              <w:t>Provider-neutral traces and metrics</w:t>
            </w:r>
          </w:p>
        </w:tc>
      </w:tr>
      <w:tr>
        <w:trPr>
          <w:cantSplit/>
        </w:trPr>
        <w:tc>
          <w:tcPr>
            <w:tcW w:type="dxa" w:w="1728"/>
            <w:tcMar>
              <w:top w:w="90" w:type="dxa"/>
              <w:start w:w="120" w:type="dxa"/>
              <w:bottom w:w="90" w:type="dxa"/>
              <w:end w:w="120" w:type="dxa"/>
            </w:tcMar>
            <w:vAlign w:val="center"/>
          </w:tcPr>
          <w:p>
            <w:pPr>
              <w:spacing w:after="0"/>
            </w:pPr>
            <w:r>
              <w:rPr>
                <w:rFonts w:ascii="Calibri" w:hAnsi="Calibri"/>
                <w:color w:val="17212B"/>
                <w:sz w:val="15"/>
              </w:rPr>
              <w:t>Packaging</w:t>
            </w:r>
          </w:p>
        </w:tc>
        <w:tc>
          <w:tcPr>
            <w:tcW w:type="dxa" w:w="3240"/>
            <w:tcMar>
              <w:top w:w="90" w:type="dxa"/>
              <w:start w:w="120" w:type="dxa"/>
              <w:bottom w:w="90" w:type="dxa"/>
              <w:end w:w="120" w:type="dxa"/>
            </w:tcMar>
            <w:vAlign w:val="center"/>
          </w:tcPr>
          <w:p>
            <w:pPr>
              <w:spacing w:after="0"/>
            </w:pPr>
            <w:r>
              <w:rPr>
                <w:rFonts w:ascii="Calibri" w:hAnsi="Calibri"/>
                <w:color w:val="17212B"/>
                <w:sz w:val="15"/>
              </w:rPr>
              <w:t>Monorepo; Python and TypeScript workspaces</w:t>
            </w:r>
          </w:p>
        </w:tc>
        <w:tc>
          <w:tcPr>
            <w:tcW w:type="dxa" w:w="4392"/>
            <w:tcMar>
              <w:top w:w="90" w:type="dxa"/>
              <w:start w:w="120" w:type="dxa"/>
              <w:bottom w:w="90" w:type="dxa"/>
              <w:end w:w="120" w:type="dxa"/>
            </w:tcMar>
            <w:vAlign w:val="center"/>
          </w:tcPr>
          <w:p>
            <w:pPr>
              <w:spacing w:after="0"/>
            </w:pPr>
            <w:r>
              <w:rPr>
                <w:rFonts w:ascii="Calibri" w:hAnsi="Calibri"/>
                <w:color w:val="17212B"/>
                <w:sz w:val="15"/>
              </w:rPr>
              <w:t>One backlog, shared contracts, coordinated releases</w:t>
            </w:r>
          </w:p>
        </w:tc>
      </w:tr>
    </w:tbl>
    <w:p>
      <w:pPr>
        <w:spacing w:after="20"/>
      </w:pPr>
    </w:p>
    <w:p>
      <w:pPr>
        <w:pStyle w:val="Heading2"/>
      </w:pPr>
      <w:r>
        <w:t>3.2 Repository target</w:t>
      </w:r>
    </w:p>
    <w:p>
      <w:pPr>
        <w:pStyle w:val="CodeBlock"/>
        <w:shd w:fill="EDF3F6"/>
        <w:keepLines/>
      </w:pPr>
      <w:r>
        <w:rPr>
          <w:rFonts w:ascii="Consolas" w:hAnsi="Consolas"/>
          <w:color w:val="17212B"/>
          <w:sz w:val="15"/>
        </w:rPr>
        <w:t>itaa/</w:t>
        <w:br/>
        <w:t xml:space="preserve">  apps/</w:t>
        <w:br/>
        <w:t xml:space="preserve">    api/                  FastAPI composition root and HTTP routes</w:t>
        <w:br/>
        <w:t xml:space="preserve">    web/                  React intent/decision experience</w:t>
        <w:br/>
        <w:t xml:space="preserve">    mobile/               placeholder only; native stack not selected</w:t>
        <w:br/>
        <w:t xml:space="preserve">    worker/               async orchestration composition root</w:t>
        <w:br/>
        <w:t xml:space="preserve">    supplier-simulator/   isolated demo supplier process/harness</w:t>
        <w:br/>
        <w:t xml:space="preserve">  packages/</w:t>
        <w:br/>
        <w:t xml:space="preserve">    domain/               entities, values, state machines, events — no I/O</w:t>
        <w:br/>
        <w:t xml:space="preserve">    application/          use cases and ports</w:t>
        <w:br/>
        <w:t xml:space="preserve">    contracts/            schemas, OpenAPI, generated types</w:t>
        <w:br/>
        <w:t xml:space="preserve">    policy/               deterministic disclosure and guardrails</w:t>
        <w:br/>
        <w:t xml:space="preserve">    ranking/              normalization and scoring</w:t>
        <w:br/>
        <w:t xml:space="preserve">    observability/        canonical audit/telemetry vocabulary</w:t>
        <w:br/>
        <w:t xml:space="preserve">  adapters/</w:t>
        <w:br/>
        <w:t xml:space="preserve">    local/ google/ aws/ research/ revenuecat/ transaction_sim/</w:t>
        <w:br/>
        <w:t xml:space="preserve">  tests/ fixtures/ contract/ evals/ e2e/ security/</w:t>
        <w:br/>
        <w:t xml:space="preserve">  infra/ google/ aws/</w:t>
        <w:br/>
        <w:t xml:space="preserve">  docs/ adr/ threat-model/ runbooks/ submissions/</w:t>
        <w:br/>
        <w:t xml:space="preserve">  scripts/</w:t>
      </w:r>
    </w:p>
    <w:p>
      <w:pPr>
        <w:pStyle w:val="Heading2"/>
      </w:pPr>
      <w:r>
        <w:t>3.3 Dependency rules</w:t>
      </w:r>
    </w:p>
    <w:p>
      <w:pPr>
        <w:pStyle w:val="CodeBlock"/>
        <w:shd w:fill="EDF3F6"/>
        <w:keepLines/>
      </w:pPr>
      <w:r>
        <w:rPr>
          <w:rFonts w:ascii="Consolas" w:hAnsi="Consolas"/>
          <w:color w:val="17212B"/>
          <w:sz w:val="15"/>
        </w:rPr>
        <w:t>apps/adapters  ──▶ application  ──▶ domain</w:t>
        <w:br/>
        <w:t>policy/ranking ────────────────▶ domain</w:t>
        <w:br/>
        <w:t>contracts may generate types, but generated transport models are mapped at boundaries.</w:t>
        <w:br/>
        <w:br/>
        <w:t>Forbidden:</w:t>
        <w:br/>
        <w:t>domain → FastAPI / database / ADK / Strands / Bedrock / Gemini / RevenueCat</w:t>
        <w:br/>
        <w:t>supplier simulator → buyer repository or competitor offer repository</w:t>
        <w:br/>
        <w:t>model output → direct state transition, approval, score, or transaction call</w:t>
      </w:r>
    </w:p>
    <w:p>
      <w:pPr>
        <w:pStyle w:val="Heading2"/>
      </w:pPr>
      <w:r>
        <w:t>3.4 Early decision gates owned by Product Owner</w:t>
      </w:r>
    </w:p>
    <w:tbl>
      <w:tblPr>
        <w:tblStyle w:val="TableGrid"/>
        <w:tblW w:type="auto" w:w="0"/>
        <w:jc w:val="center"/>
        <w:tblLayout w:type="fixed"/>
        <w:tblLook w:firstColumn="1" w:firstRow="1" w:lastColumn="0" w:lastRow="0" w:noHBand="0" w:noVBand="1" w:val="04A0"/>
        <w:tblW w:w="9360" w:type="dxa"/>
        <w:tblInd w:w="120" w:type="dxa"/>
      </w:tblPr>
      <w:tblGrid>
        <w:gridCol w:w="2448"/>
        <w:gridCol w:w="1080"/>
        <w:gridCol w:w="3240"/>
        <w:gridCol w:w="2592"/>
      </w:tblGrid>
      <w:tr>
        <w:trPr>
          <w:tblHeader w:val="true"/>
          <w:cantSplit/>
        </w:trPr>
        <w:tc>
          <w:tcPr>
            <w:tcW w:type="dxa" w:w="2448"/>
            <w:tcMar>
              <w:top w:w="90" w:type="dxa"/>
              <w:start w:w="120" w:type="dxa"/>
              <w:bottom w:w="90" w:type="dxa"/>
              <w:end w:w="120" w:type="dxa"/>
            </w:tcMar>
            <w:shd w:fill="17324D"/>
            <w:vAlign w:val="center"/>
          </w:tcPr>
          <w:p>
            <w:pPr>
              <w:spacing w:after="0"/>
            </w:pPr>
            <w:r>
              <w:rPr>
                <w:rFonts w:ascii="Calibri" w:hAnsi="Calibri"/>
                <w:b/>
                <w:color w:val="FFFFFF"/>
                <w:sz w:val="15"/>
              </w:rPr>
              <w:t>Decision</w:t>
            </w:r>
          </w:p>
        </w:tc>
        <w:tc>
          <w:tcPr>
            <w:tcW w:type="dxa" w:w="1080"/>
            <w:tcMar>
              <w:top w:w="90" w:type="dxa"/>
              <w:start w:w="120" w:type="dxa"/>
              <w:bottom w:w="90" w:type="dxa"/>
              <w:end w:w="120" w:type="dxa"/>
            </w:tcMar>
            <w:shd w:fill="17324D"/>
            <w:vAlign w:val="center"/>
          </w:tcPr>
          <w:p>
            <w:pPr>
              <w:spacing w:after="0"/>
            </w:pPr>
            <w:r>
              <w:rPr>
                <w:rFonts w:ascii="Calibri" w:hAnsi="Calibri"/>
                <w:b/>
                <w:color w:val="FFFFFF"/>
                <w:sz w:val="15"/>
              </w:rPr>
              <w:t>Due</w:t>
            </w:r>
          </w:p>
        </w:tc>
        <w:tc>
          <w:tcPr>
            <w:tcW w:type="dxa" w:w="3240"/>
            <w:tcMar>
              <w:top w:w="90" w:type="dxa"/>
              <w:start w:w="120" w:type="dxa"/>
              <w:bottom w:w="90" w:type="dxa"/>
              <w:end w:w="120" w:type="dxa"/>
            </w:tcMar>
            <w:shd w:fill="17324D"/>
            <w:vAlign w:val="center"/>
          </w:tcPr>
          <w:p>
            <w:pPr>
              <w:spacing w:after="0"/>
            </w:pPr>
            <w:r>
              <w:rPr>
                <w:rFonts w:ascii="Calibri" w:hAnsi="Calibri"/>
                <w:b/>
                <w:color w:val="FFFFFF"/>
                <w:sz w:val="15"/>
              </w:rPr>
              <w:t>Default if undecided</w:t>
            </w:r>
          </w:p>
        </w:tc>
        <w:tc>
          <w:tcPr>
            <w:tcW w:type="dxa" w:w="2592"/>
            <w:tcMar>
              <w:top w:w="90" w:type="dxa"/>
              <w:start w:w="120" w:type="dxa"/>
              <w:bottom w:w="90" w:type="dxa"/>
              <w:end w:w="120" w:type="dxa"/>
            </w:tcMar>
            <w:shd w:fill="17324D"/>
            <w:vAlign w:val="center"/>
          </w:tcPr>
          <w:p>
            <w:pPr>
              <w:spacing w:after="0"/>
            </w:pPr>
            <w:r>
              <w:rPr>
                <w:rFonts w:ascii="Calibri" w:hAnsi="Calibri"/>
                <w:b/>
                <w:color w:val="FFFFFF"/>
                <w:sz w:val="15"/>
              </w:rPr>
              <w:t>Why it matters</w:t>
            </w:r>
          </w:p>
        </w:tc>
      </w:tr>
      <w:tr>
        <w:trPr>
          <w:cantSplit/>
        </w:trPr>
        <w:tc>
          <w:tcPr>
            <w:tcW w:type="dxa" w:w="2448"/>
            <w:tcMar>
              <w:top w:w="90" w:type="dxa"/>
              <w:start w:w="120" w:type="dxa"/>
              <w:bottom w:w="90" w:type="dxa"/>
              <w:end w:w="120" w:type="dxa"/>
            </w:tcMar>
            <w:vAlign w:val="center"/>
          </w:tcPr>
          <w:p>
            <w:pPr>
              <w:spacing w:after="0"/>
            </w:pPr>
            <w:r>
              <w:rPr>
                <w:rFonts w:ascii="Calibri" w:hAnsi="Calibri"/>
                <w:color w:val="17212B"/>
                <w:sz w:val="15"/>
              </w:rPr>
              <w:t>Primary mobile release store/account</w:t>
            </w:r>
          </w:p>
        </w:tc>
        <w:tc>
          <w:tcPr>
            <w:tcW w:type="dxa" w:w="1080"/>
            <w:tcMar>
              <w:top w:w="90" w:type="dxa"/>
              <w:start w:w="120" w:type="dxa"/>
              <w:bottom w:w="90" w:type="dxa"/>
              <w:end w:w="120" w:type="dxa"/>
            </w:tcMar>
            <w:vAlign w:val="center"/>
          </w:tcPr>
          <w:p>
            <w:pPr>
              <w:spacing w:after="0"/>
            </w:pPr>
            <w:r>
              <w:rPr>
                <w:rFonts w:ascii="Calibri" w:hAnsi="Calibri"/>
                <w:color w:val="17212B"/>
                <w:sz w:val="15"/>
              </w:rPr>
              <w:t>Aug 17</w:t>
            </w:r>
          </w:p>
        </w:tc>
        <w:tc>
          <w:tcPr>
            <w:tcW w:type="dxa" w:w="3240"/>
            <w:tcMar>
              <w:top w:w="90" w:type="dxa"/>
              <w:start w:w="120" w:type="dxa"/>
              <w:bottom w:w="90" w:type="dxa"/>
              <w:end w:w="120" w:type="dxa"/>
            </w:tcMar>
            <w:vAlign w:val="center"/>
          </w:tcPr>
          <w:p>
            <w:pPr>
              <w:spacing w:after="0"/>
            </w:pPr>
            <w:r>
              <w:rPr>
                <w:rFonts w:ascii="Calibri" w:hAnsi="Calibri"/>
                <w:color w:val="17212B"/>
                <w:sz w:val="15"/>
              </w:rPr>
              <w:t>Choose the developer account with confirmed eligibility and shortest approval path</w:t>
            </w:r>
          </w:p>
        </w:tc>
        <w:tc>
          <w:tcPr>
            <w:tcW w:type="dxa" w:w="2592"/>
            <w:tcMar>
              <w:top w:w="90" w:type="dxa"/>
              <w:start w:w="120" w:type="dxa"/>
              <w:bottom w:w="90" w:type="dxa"/>
              <w:end w:w="120" w:type="dxa"/>
            </w:tcMar>
            <w:vAlign w:val="center"/>
          </w:tcPr>
          <w:p>
            <w:pPr>
              <w:spacing w:after="0"/>
            </w:pPr>
            <w:r>
              <w:rPr>
                <w:rFonts w:ascii="Calibri" w:hAnsi="Calibri"/>
                <w:color w:val="17212B"/>
                <w:sz w:val="15"/>
              </w:rPr>
              <w:t>Store setup/review can dominate G3</w:t>
            </w:r>
          </w:p>
        </w:tc>
      </w:tr>
      <w:tr>
        <w:trPr>
          <w:cantSplit/>
        </w:trPr>
        <w:tc>
          <w:tcPr>
            <w:tcW w:type="dxa" w:w="2448"/>
            <w:tcMar>
              <w:top w:w="90" w:type="dxa"/>
              <w:start w:w="120" w:type="dxa"/>
              <w:bottom w:w="90" w:type="dxa"/>
              <w:end w:w="120" w:type="dxa"/>
            </w:tcMar>
            <w:vAlign w:val="center"/>
            <w:shd w:fill="F8FAFB"/>
          </w:tcPr>
          <w:p>
            <w:pPr>
              <w:spacing w:after="0"/>
            </w:pPr>
            <w:r>
              <w:rPr>
                <w:rFonts w:ascii="Calibri" w:hAnsi="Calibri"/>
                <w:color w:val="17212B"/>
                <w:sz w:val="15"/>
              </w:rPr>
              <w:t>Google Cloud project, billing, region, quotas</w:t>
            </w:r>
          </w:p>
        </w:tc>
        <w:tc>
          <w:tcPr>
            <w:tcW w:type="dxa" w:w="1080"/>
            <w:tcMar>
              <w:top w:w="90" w:type="dxa"/>
              <w:start w:w="120" w:type="dxa"/>
              <w:bottom w:w="90" w:type="dxa"/>
              <w:end w:w="120" w:type="dxa"/>
            </w:tcMar>
            <w:vAlign w:val="center"/>
            <w:shd w:fill="F8FAFB"/>
          </w:tcPr>
          <w:p>
            <w:pPr>
              <w:spacing w:after="0"/>
            </w:pPr>
            <w:r>
              <w:rPr>
                <w:rFonts w:ascii="Calibri" w:hAnsi="Calibri"/>
                <w:color w:val="17212B"/>
                <w:sz w:val="15"/>
              </w:rPr>
              <w:t>Aug 18</w:t>
            </w:r>
          </w:p>
        </w:tc>
        <w:tc>
          <w:tcPr>
            <w:tcW w:type="dxa" w:w="3240"/>
            <w:tcMar>
              <w:top w:w="90" w:type="dxa"/>
              <w:start w:w="120" w:type="dxa"/>
              <w:bottom w:w="90" w:type="dxa"/>
              <w:end w:w="120" w:type="dxa"/>
            </w:tcMar>
            <w:vAlign w:val="center"/>
            <w:shd w:fill="F8FAFB"/>
          </w:tcPr>
          <w:p>
            <w:pPr>
              <w:spacing w:after="0"/>
            </w:pPr>
            <w:r>
              <w:rPr>
                <w:rFonts w:ascii="Calibri" w:hAnsi="Calibri"/>
                <w:color w:val="17212B"/>
                <w:sz w:val="15"/>
              </w:rPr>
              <w:t>Create isolated dev project; no production data</w:t>
            </w:r>
          </w:p>
        </w:tc>
        <w:tc>
          <w:tcPr>
            <w:tcW w:type="dxa" w:w="2592"/>
            <w:tcMar>
              <w:top w:w="90" w:type="dxa"/>
              <w:start w:w="120" w:type="dxa"/>
              <w:bottom w:w="90" w:type="dxa"/>
              <w:end w:w="120" w:type="dxa"/>
            </w:tcMar>
            <w:vAlign w:val="center"/>
            <w:shd w:fill="F8FAFB"/>
          </w:tcPr>
          <w:p>
            <w:pPr>
              <w:spacing w:after="0"/>
            </w:pPr>
            <w:r>
              <w:rPr>
                <w:rFonts w:ascii="Calibri" w:hAnsi="Calibri"/>
                <w:color w:val="17212B"/>
                <w:sz w:val="15"/>
              </w:rPr>
              <w:t>G1 deployment and model access</w:t>
            </w:r>
          </w:p>
        </w:tc>
      </w:tr>
      <w:tr>
        <w:trPr>
          <w:cantSplit/>
        </w:trPr>
        <w:tc>
          <w:tcPr>
            <w:tcW w:type="dxa" w:w="2448"/>
            <w:tcMar>
              <w:top w:w="90" w:type="dxa"/>
              <w:start w:w="120" w:type="dxa"/>
              <w:bottom w:w="90" w:type="dxa"/>
              <w:end w:w="120" w:type="dxa"/>
            </w:tcMar>
            <w:vAlign w:val="center"/>
          </w:tcPr>
          <w:p>
            <w:pPr>
              <w:spacing w:after="0"/>
            </w:pPr>
            <w:r>
              <w:rPr>
                <w:rFonts w:ascii="Calibri" w:hAnsi="Calibri"/>
                <w:color w:val="17212B"/>
                <w:sz w:val="15"/>
              </w:rPr>
              <w:t>AWS account, region, Bedrock model and AgentCore availability</w:t>
            </w:r>
          </w:p>
        </w:tc>
        <w:tc>
          <w:tcPr>
            <w:tcW w:type="dxa" w:w="1080"/>
            <w:tcMar>
              <w:top w:w="90" w:type="dxa"/>
              <w:start w:w="120" w:type="dxa"/>
              <w:bottom w:w="90" w:type="dxa"/>
              <w:end w:w="120" w:type="dxa"/>
            </w:tcMar>
            <w:vAlign w:val="center"/>
          </w:tcPr>
          <w:p>
            <w:pPr>
              <w:spacing w:after="0"/>
            </w:pPr>
            <w:r>
              <w:rPr>
                <w:rFonts w:ascii="Calibri" w:hAnsi="Calibri"/>
                <w:color w:val="17212B"/>
                <w:sz w:val="15"/>
              </w:rPr>
              <w:t>Aug 20</w:t>
            </w:r>
          </w:p>
        </w:tc>
        <w:tc>
          <w:tcPr>
            <w:tcW w:type="dxa" w:w="3240"/>
            <w:tcMar>
              <w:top w:w="90" w:type="dxa"/>
              <w:start w:w="120" w:type="dxa"/>
              <w:bottom w:w="90" w:type="dxa"/>
              <w:end w:w="120" w:type="dxa"/>
            </w:tcMar>
            <w:vAlign w:val="center"/>
          </w:tcPr>
          <w:p>
            <w:pPr>
              <w:spacing w:after="0"/>
            </w:pPr>
            <w:r>
              <w:rPr>
                <w:rFonts w:ascii="Calibri" w:hAnsi="Calibri"/>
                <w:color w:val="17212B"/>
                <w:sz w:val="15"/>
              </w:rPr>
              <w:t>Validate one eligible region and fallback runtime</w:t>
            </w:r>
          </w:p>
        </w:tc>
        <w:tc>
          <w:tcPr>
            <w:tcW w:type="dxa" w:w="2592"/>
            <w:tcMar>
              <w:top w:w="90" w:type="dxa"/>
              <w:start w:w="120" w:type="dxa"/>
              <w:bottom w:w="90" w:type="dxa"/>
              <w:end w:w="120" w:type="dxa"/>
            </w:tcMar>
            <w:vAlign w:val="center"/>
          </w:tcPr>
          <w:p>
            <w:pPr>
              <w:spacing w:after="0"/>
            </w:pPr>
            <w:r>
              <w:rPr>
                <w:rFonts w:ascii="Calibri" w:hAnsi="Calibri"/>
                <w:color w:val="17212B"/>
                <w:sz w:val="15"/>
              </w:rPr>
              <w:t>G2 access/quotas</w:t>
            </w:r>
          </w:p>
        </w:tc>
      </w:tr>
      <w:tr>
        <w:trPr>
          <w:cantSplit/>
        </w:trPr>
        <w:tc>
          <w:tcPr>
            <w:tcW w:type="dxa" w:w="2448"/>
            <w:tcMar>
              <w:top w:w="90" w:type="dxa"/>
              <w:start w:w="120" w:type="dxa"/>
              <w:bottom w:w="90" w:type="dxa"/>
              <w:end w:w="120" w:type="dxa"/>
            </w:tcMar>
            <w:vAlign w:val="center"/>
            <w:shd w:fill="F8FAFB"/>
          </w:tcPr>
          <w:p>
            <w:pPr>
              <w:spacing w:after="0"/>
            </w:pPr>
            <w:r>
              <w:rPr>
                <w:rFonts w:ascii="Calibri" w:hAnsi="Calibri"/>
                <w:color w:val="17212B"/>
                <w:sz w:val="15"/>
              </w:rPr>
              <w:t>Public repository vs. private during build</w:t>
            </w:r>
          </w:p>
        </w:tc>
        <w:tc>
          <w:tcPr>
            <w:tcW w:type="dxa" w:w="1080"/>
            <w:tcMar>
              <w:top w:w="90" w:type="dxa"/>
              <w:start w:w="120" w:type="dxa"/>
              <w:bottom w:w="90" w:type="dxa"/>
              <w:end w:w="120" w:type="dxa"/>
            </w:tcMar>
            <w:vAlign w:val="center"/>
            <w:shd w:fill="F8FAFB"/>
          </w:tcPr>
          <w:p>
            <w:pPr>
              <w:spacing w:after="0"/>
            </w:pPr>
            <w:r>
              <w:rPr>
                <w:rFonts w:ascii="Calibri" w:hAnsi="Calibri"/>
                <w:color w:val="17212B"/>
                <w:sz w:val="15"/>
              </w:rPr>
              <w:t>Aug 20</w:t>
            </w:r>
          </w:p>
        </w:tc>
        <w:tc>
          <w:tcPr>
            <w:tcW w:type="dxa" w:w="3240"/>
            <w:tcMar>
              <w:top w:w="90" w:type="dxa"/>
              <w:start w:w="120" w:type="dxa"/>
              <w:bottom w:w="90" w:type="dxa"/>
              <w:end w:w="120" w:type="dxa"/>
            </w:tcMar>
            <w:vAlign w:val="center"/>
            <w:shd w:fill="F8FAFB"/>
          </w:tcPr>
          <w:p>
            <w:pPr>
              <w:spacing w:after="0"/>
            </w:pPr>
            <w:r>
              <w:rPr>
                <w:rFonts w:ascii="Calibri" w:hAnsi="Calibri"/>
                <w:color w:val="17212B"/>
                <w:sz w:val="15"/>
              </w:rPr>
              <w:t>Private build; publish sanitized submission repository if required</w:t>
            </w:r>
          </w:p>
        </w:tc>
        <w:tc>
          <w:tcPr>
            <w:tcW w:type="dxa" w:w="2592"/>
            <w:tcMar>
              <w:top w:w="90" w:type="dxa"/>
              <w:start w:w="120" w:type="dxa"/>
              <w:bottom w:w="90" w:type="dxa"/>
              <w:end w:w="120" w:type="dxa"/>
            </w:tcMar>
            <w:vAlign w:val="center"/>
            <w:shd w:fill="F8FAFB"/>
          </w:tcPr>
          <w:p>
            <w:pPr>
              <w:spacing w:after="0"/>
            </w:pPr>
            <w:r>
              <w:rPr>
                <w:rFonts w:ascii="Calibri" w:hAnsi="Calibri"/>
                <w:color w:val="17212B"/>
                <w:sz w:val="15"/>
              </w:rPr>
              <w:t>License, secrets, competition evidence</w:t>
            </w:r>
          </w:p>
        </w:tc>
      </w:tr>
      <w:tr>
        <w:trPr>
          <w:cantSplit/>
        </w:trPr>
        <w:tc>
          <w:tcPr>
            <w:tcW w:type="dxa" w:w="2448"/>
            <w:tcMar>
              <w:top w:w="90" w:type="dxa"/>
              <w:start w:w="120" w:type="dxa"/>
              <w:bottom w:w="90" w:type="dxa"/>
              <w:end w:w="120" w:type="dxa"/>
            </w:tcMar>
            <w:vAlign w:val="center"/>
          </w:tcPr>
          <w:p>
            <w:pPr>
              <w:spacing w:after="0"/>
            </w:pPr>
            <w:r>
              <w:rPr>
                <w:rFonts w:ascii="Calibri" w:hAnsi="Calibri"/>
                <w:color w:val="17212B"/>
                <w:sz w:val="15"/>
              </w:rPr>
              <w:t>Initial Pro entitlement/product naming</w:t>
            </w:r>
          </w:p>
        </w:tc>
        <w:tc>
          <w:tcPr>
            <w:tcW w:type="dxa" w:w="1080"/>
            <w:tcMar>
              <w:top w:w="90" w:type="dxa"/>
              <w:start w:w="120" w:type="dxa"/>
              <w:bottom w:w="90" w:type="dxa"/>
              <w:end w:w="120" w:type="dxa"/>
            </w:tcMar>
            <w:vAlign w:val="center"/>
          </w:tcPr>
          <w:p>
            <w:pPr>
              <w:spacing w:after="0"/>
            </w:pPr>
            <w:r>
              <w:rPr>
                <w:rFonts w:ascii="Calibri" w:hAnsi="Calibri"/>
                <w:color w:val="17212B"/>
                <w:sz w:val="15"/>
              </w:rPr>
              <w:t>Sep 10</w:t>
            </w:r>
          </w:p>
        </w:tc>
        <w:tc>
          <w:tcPr>
            <w:tcW w:type="dxa" w:w="3240"/>
            <w:tcMar>
              <w:top w:w="90" w:type="dxa"/>
              <w:start w:w="120" w:type="dxa"/>
              <w:bottom w:w="90" w:type="dxa"/>
              <w:end w:w="120" w:type="dxa"/>
            </w:tcMar>
            <w:vAlign w:val="center"/>
          </w:tcPr>
          <w:p>
            <w:pPr>
              <w:spacing w:after="0"/>
            </w:pPr>
            <w:r>
              <w:rPr>
                <w:rFonts w:ascii="Calibri" w:hAnsi="Calibri"/>
                <w:color w:val="17212B"/>
                <w:sz w:val="15"/>
              </w:rPr>
              <w:t>`pro`; price not locked until paywall test</w:t>
            </w:r>
          </w:p>
        </w:tc>
        <w:tc>
          <w:tcPr>
            <w:tcW w:type="dxa" w:w="2592"/>
            <w:tcMar>
              <w:top w:w="90" w:type="dxa"/>
              <w:start w:w="120" w:type="dxa"/>
              <w:bottom w:w="90" w:type="dxa"/>
              <w:end w:w="120" w:type="dxa"/>
            </w:tcMar>
            <w:vAlign w:val="center"/>
          </w:tcPr>
          <w:p>
            <w:pPr>
              <w:spacing w:after="0"/>
            </w:pPr>
            <w:r>
              <w:rPr>
                <w:rFonts w:ascii="Calibri" w:hAnsi="Calibri"/>
                <w:color w:val="17212B"/>
                <w:sz w:val="15"/>
              </w:rPr>
              <w:t>RevenueCat/store configuration</w:t>
            </w:r>
          </w:p>
        </w:tc>
      </w:tr>
    </w:tbl>
    <w:p>
      <w:pPr>
        <w:spacing w:after="20"/>
      </w:pPr>
    </w:p>
    <w:p>
      <w:r>
        <w:br w:type="page"/>
      </w:r>
    </w:p>
    <w:p>
      <w:pPr>
        <w:pStyle w:val="Heading1"/>
      </w:pPr>
      <w:r>
        <w:t>4. Work-package roadmap</w:t>
      </w:r>
    </w:p>
    <w:tbl>
      <w:tblPr>
        <w:tblStyle w:val="TableGrid"/>
        <w:tblW w:type="auto" w:w="0"/>
        <w:jc w:val="center"/>
        <w:tblLayout w:type="fixed"/>
        <w:tblLook w:firstColumn="1" w:firstRow="1" w:lastColumn="0" w:lastRow="0" w:noHBand="0" w:noVBand="1" w:val="04A0"/>
        <w:tblW w:w="9360" w:type="dxa"/>
        <w:tblInd w:w="120" w:type="dxa"/>
      </w:tblPr>
      <w:tblGrid>
        <w:gridCol w:w="893"/>
        <w:gridCol w:w="1296"/>
        <w:gridCol w:w="3960"/>
        <w:gridCol w:w="1224"/>
        <w:gridCol w:w="1987"/>
      </w:tblGrid>
      <w:tr>
        <w:trPr>
          <w:tblHeader w:val="true"/>
          <w:cantSplit/>
        </w:trPr>
        <w:tc>
          <w:tcPr>
            <w:tcW w:type="dxa" w:w="893"/>
            <w:tcMar>
              <w:top w:w="90" w:type="dxa"/>
              <w:start w:w="120" w:type="dxa"/>
              <w:bottom w:w="90" w:type="dxa"/>
              <w:end w:w="120" w:type="dxa"/>
            </w:tcMar>
            <w:shd w:fill="17324D"/>
            <w:vAlign w:val="center"/>
          </w:tcPr>
          <w:p>
            <w:pPr>
              <w:spacing w:after="0"/>
            </w:pPr>
            <w:r>
              <w:rPr>
                <w:rFonts w:ascii="Calibri" w:hAnsi="Calibri"/>
                <w:b/>
                <w:color w:val="FFFFFF"/>
                <w:sz w:val="14"/>
              </w:rPr>
              <w:t>WP</w:t>
            </w:r>
          </w:p>
        </w:tc>
        <w:tc>
          <w:tcPr>
            <w:tcW w:type="dxa" w:w="1296"/>
            <w:tcMar>
              <w:top w:w="90" w:type="dxa"/>
              <w:start w:w="120" w:type="dxa"/>
              <w:bottom w:w="90" w:type="dxa"/>
              <w:end w:w="120" w:type="dxa"/>
            </w:tcMar>
            <w:shd w:fill="17324D"/>
            <w:vAlign w:val="center"/>
          </w:tcPr>
          <w:p>
            <w:pPr>
              <w:spacing w:after="0"/>
            </w:pPr>
            <w:r>
              <w:rPr>
                <w:rFonts w:ascii="Calibri" w:hAnsi="Calibri"/>
                <w:b/>
                <w:color w:val="FFFFFF"/>
                <w:sz w:val="14"/>
              </w:rPr>
              <w:t>Window</w:t>
            </w:r>
          </w:p>
        </w:tc>
        <w:tc>
          <w:tcPr>
            <w:tcW w:type="dxa" w:w="3960"/>
            <w:tcMar>
              <w:top w:w="90" w:type="dxa"/>
              <w:start w:w="120" w:type="dxa"/>
              <w:bottom w:w="90" w:type="dxa"/>
              <w:end w:w="120" w:type="dxa"/>
            </w:tcMar>
            <w:shd w:fill="17324D"/>
            <w:vAlign w:val="center"/>
          </w:tcPr>
          <w:p>
            <w:pPr>
              <w:spacing w:after="0"/>
            </w:pPr>
            <w:r>
              <w:rPr>
                <w:rFonts w:ascii="Calibri" w:hAnsi="Calibri"/>
                <w:b/>
                <w:color w:val="FFFFFF"/>
                <w:sz w:val="14"/>
              </w:rPr>
              <w:t>Outcome</w:t>
            </w:r>
          </w:p>
        </w:tc>
        <w:tc>
          <w:tcPr>
            <w:tcW w:type="dxa" w:w="1224"/>
            <w:tcMar>
              <w:top w:w="90" w:type="dxa"/>
              <w:start w:w="120" w:type="dxa"/>
              <w:bottom w:w="90" w:type="dxa"/>
              <w:end w:w="120" w:type="dxa"/>
            </w:tcMar>
            <w:shd w:fill="17324D"/>
            <w:vAlign w:val="center"/>
          </w:tcPr>
          <w:p>
            <w:pPr>
              <w:spacing w:after="0"/>
            </w:pPr>
            <w:r>
              <w:rPr>
                <w:rFonts w:ascii="Calibri" w:hAnsi="Calibri"/>
                <w:b/>
                <w:color w:val="FFFFFF"/>
                <w:sz w:val="14"/>
              </w:rPr>
              <w:t>Depends</w:t>
            </w:r>
          </w:p>
        </w:tc>
        <w:tc>
          <w:tcPr>
            <w:tcW w:type="dxa" w:w="1987"/>
            <w:tcMar>
              <w:top w:w="90" w:type="dxa"/>
              <w:start w:w="120" w:type="dxa"/>
              <w:bottom w:w="90" w:type="dxa"/>
              <w:end w:w="120" w:type="dxa"/>
            </w:tcMar>
            <w:shd w:fill="17324D"/>
            <w:vAlign w:val="center"/>
          </w:tcPr>
          <w:p>
            <w:pPr>
              <w:spacing w:after="0"/>
            </w:pPr>
            <w:r>
              <w:rPr>
                <w:rFonts w:ascii="Calibri" w:hAnsi="Calibri"/>
                <w:b/>
                <w:color w:val="FFFFFF"/>
                <w:sz w:val="14"/>
              </w:rPr>
              <w:t>Gate</w:t>
            </w:r>
          </w:p>
        </w:tc>
      </w:tr>
      <w:tr>
        <w:trPr>
          <w:cantSplit/>
        </w:trPr>
        <w:tc>
          <w:tcPr>
            <w:tcW w:type="dxa" w:w="893"/>
            <w:tcMar>
              <w:top w:w="90" w:type="dxa"/>
              <w:start w:w="120" w:type="dxa"/>
              <w:bottom w:w="90" w:type="dxa"/>
              <w:end w:w="120" w:type="dxa"/>
            </w:tcMar>
            <w:vAlign w:val="center"/>
          </w:tcPr>
          <w:p>
            <w:pPr>
              <w:spacing w:after="0"/>
            </w:pPr>
            <w:r>
              <w:rPr>
                <w:rFonts w:ascii="Calibri" w:hAnsi="Calibri"/>
                <w:color w:val="17212B"/>
                <w:sz w:val="14"/>
              </w:rPr>
              <w:t>WP-00</w:t>
            </w:r>
          </w:p>
        </w:tc>
        <w:tc>
          <w:tcPr>
            <w:tcW w:type="dxa" w:w="1296"/>
            <w:tcMar>
              <w:top w:w="90" w:type="dxa"/>
              <w:start w:w="120" w:type="dxa"/>
              <w:bottom w:w="90" w:type="dxa"/>
              <w:end w:w="120" w:type="dxa"/>
            </w:tcMar>
            <w:vAlign w:val="center"/>
          </w:tcPr>
          <w:p>
            <w:pPr>
              <w:spacing w:after="0"/>
            </w:pPr>
            <w:r>
              <w:rPr>
                <w:rFonts w:ascii="Calibri" w:hAnsi="Calibri"/>
                <w:color w:val="17212B"/>
                <w:sz w:val="14"/>
              </w:rPr>
              <w:t>Aug 15</w:t>
            </w:r>
          </w:p>
        </w:tc>
        <w:tc>
          <w:tcPr>
            <w:tcW w:type="dxa" w:w="3960"/>
            <w:tcMar>
              <w:top w:w="90" w:type="dxa"/>
              <w:start w:w="120" w:type="dxa"/>
              <w:bottom w:w="90" w:type="dxa"/>
              <w:end w:w="120" w:type="dxa"/>
            </w:tcMar>
            <w:vAlign w:val="center"/>
          </w:tcPr>
          <w:p>
            <w:pPr>
              <w:spacing w:after="0"/>
            </w:pPr>
            <w:r>
              <w:rPr>
                <w:rFonts w:ascii="Calibri" w:hAnsi="Calibri"/>
                <w:color w:val="17212B"/>
                <w:sz w:val="14"/>
              </w:rPr>
              <w:t>Project controls, account checklist, source-of-truth links</w:t>
            </w:r>
          </w:p>
        </w:tc>
        <w:tc>
          <w:tcPr>
            <w:tcW w:type="dxa" w:w="1224"/>
            <w:tcMar>
              <w:top w:w="90" w:type="dxa"/>
              <w:start w:w="120" w:type="dxa"/>
              <w:bottom w:w="90" w:type="dxa"/>
              <w:end w:w="120" w:type="dxa"/>
            </w:tcMar>
            <w:vAlign w:val="center"/>
          </w:tcPr>
          <w:p>
            <w:pPr>
              <w:spacing w:after="0"/>
            </w:pPr>
            <w:r>
              <w:rPr>
                <w:rFonts w:ascii="Calibri" w:hAnsi="Calibri"/>
                <w:color w:val="17212B"/>
                <w:sz w:val="14"/>
              </w:rPr>
              <w:t>—</w:t>
            </w:r>
          </w:p>
        </w:tc>
        <w:tc>
          <w:tcPr>
            <w:tcW w:type="dxa" w:w="1987"/>
            <w:tcMar>
              <w:top w:w="90" w:type="dxa"/>
              <w:start w:w="120" w:type="dxa"/>
              <w:bottom w:w="90" w:type="dxa"/>
              <w:end w:w="120" w:type="dxa"/>
            </w:tcMar>
            <w:vAlign w:val="center"/>
          </w:tcPr>
          <w:p>
            <w:pPr>
              <w:spacing w:after="0"/>
            </w:pPr>
            <w:r>
              <w:rPr>
                <w:rFonts w:ascii="Calibri" w:hAnsi="Calibri"/>
                <w:color w:val="17212B"/>
                <w:sz w:val="14"/>
              </w:rPr>
              <w:t>G0</w:t>
            </w:r>
          </w:p>
        </w:tc>
      </w:tr>
      <w:tr>
        <w:trPr>
          <w:cantSplit/>
        </w:trPr>
        <w:tc>
          <w:tcPr>
            <w:tcW w:type="dxa" w:w="893"/>
            <w:tcMar>
              <w:top w:w="90" w:type="dxa"/>
              <w:start w:w="120" w:type="dxa"/>
              <w:bottom w:w="90" w:type="dxa"/>
              <w:end w:w="120" w:type="dxa"/>
            </w:tcMar>
            <w:vAlign w:val="center"/>
            <w:shd w:fill="F8FAFB"/>
          </w:tcPr>
          <w:p>
            <w:pPr>
              <w:spacing w:after="0"/>
            </w:pPr>
            <w:r>
              <w:rPr>
                <w:rFonts w:ascii="Calibri" w:hAnsi="Calibri"/>
                <w:color w:val="17212B"/>
                <w:sz w:val="14"/>
              </w:rPr>
              <w:t>WP-01</w:t>
            </w:r>
          </w:p>
        </w:tc>
        <w:tc>
          <w:tcPr>
            <w:tcW w:type="dxa" w:w="1296"/>
            <w:tcMar>
              <w:top w:w="90" w:type="dxa"/>
              <w:start w:w="120" w:type="dxa"/>
              <w:bottom w:w="90" w:type="dxa"/>
              <w:end w:w="120" w:type="dxa"/>
            </w:tcMar>
            <w:vAlign w:val="center"/>
            <w:shd w:fill="F8FAFB"/>
          </w:tcPr>
          <w:p>
            <w:pPr>
              <w:spacing w:after="0"/>
            </w:pPr>
            <w:r>
              <w:rPr>
                <w:rFonts w:ascii="Calibri" w:hAnsi="Calibri"/>
                <w:color w:val="17212B"/>
                <w:sz w:val="14"/>
              </w:rPr>
              <w:t>Aug 15</w:t>
            </w:r>
          </w:p>
        </w:tc>
        <w:tc>
          <w:tcPr>
            <w:tcW w:type="dxa" w:w="3960"/>
            <w:tcMar>
              <w:top w:w="90" w:type="dxa"/>
              <w:start w:w="120" w:type="dxa"/>
              <w:bottom w:w="90" w:type="dxa"/>
              <w:end w:w="120" w:type="dxa"/>
            </w:tcMar>
            <w:vAlign w:val="center"/>
            <w:shd w:fill="F8FAFB"/>
          </w:tcPr>
          <w:p>
            <w:pPr>
              <w:spacing w:after="0"/>
            </w:pPr>
            <w:r>
              <w:rPr>
                <w:rFonts w:ascii="Calibri" w:hAnsi="Calibri"/>
                <w:color w:val="17212B"/>
                <w:sz w:val="14"/>
              </w:rPr>
              <w:t>Monorepo scaffold, local environment, CI baseline</w:t>
            </w:r>
          </w:p>
        </w:tc>
        <w:tc>
          <w:tcPr>
            <w:tcW w:type="dxa" w:w="1224"/>
            <w:tcMar>
              <w:top w:w="90" w:type="dxa"/>
              <w:start w:w="120" w:type="dxa"/>
              <w:bottom w:w="90" w:type="dxa"/>
              <w:end w:w="120" w:type="dxa"/>
            </w:tcMar>
            <w:vAlign w:val="center"/>
            <w:shd w:fill="F8FAFB"/>
          </w:tcPr>
          <w:p>
            <w:pPr>
              <w:spacing w:after="0"/>
            </w:pPr>
            <w:r>
              <w:rPr>
                <w:rFonts w:ascii="Calibri" w:hAnsi="Calibri"/>
                <w:color w:val="17212B"/>
                <w:sz w:val="14"/>
              </w:rPr>
              <w:t>WP-00</w:t>
            </w:r>
          </w:p>
        </w:tc>
        <w:tc>
          <w:tcPr>
            <w:tcW w:type="dxa" w:w="1987"/>
            <w:tcMar>
              <w:top w:w="90" w:type="dxa"/>
              <w:start w:w="120" w:type="dxa"/>
              <w:bottom w:w="90" w:type="dxa"/>
              <w:end w:w="120" w:type="dxa"/>
            </w:tcMar>
            <w:vAlign w:val="center"/>
            <w:shd w:fill="F8FAFB"/>
          </w:tcPr>
          <w:p>
            <w:pPr>
              <w:spacing w:after="0"/>
            </w:pPr>
            <w:r>
              <w:rPr>
                <w:rFonts w:ascii="Calibri" w:hAnsi="Calibri"/>
                <w:color w:val="17212B"/>
                <w:sz w:val="14"/>
              </w:rPr>
              <w:t>G0</w:t>
            </w:r>
          </w:p>
        </w:tc>
      </w:tr>
      <w:tr>
        <w:trPr>
          <w:cantSplit/>
        </w:trPr>
        <w:tc>
          <w:tcPr>
            <w:tcW w:type="dxa" w:w="893"/>
            <w:tcMar>
              <w:top w:w="90" w:type="dxa"/>
              <w:start w:w="120" w:type="dxa"/>
              <w:bottom w:w="90" w:type="dxa"/>
              <w:end w:w="120" w:type="dxa"/>
            </w:tcMar>
            <w:vAlign w:val="center"/>
          </w:tcPr>
          <w:p>
            <w:pPr>
              <w:spacing w:after="0"/>
            </w:pPr>
            <w:r>
              <w:rPr>
                <w:rFonts w:ascii="Calibri" w:hAnsi="Calibri"/>
                <w:color w:val="17212B"/>
                <w:sz w:val="14"/>
              </w:rPr>
              <w:t>WP-02</w:t>
            </w:r>
          </w:p>
        </w:tc>
        <w:tc>
          <w:tcPr>
            <w:tcW w:type="dxa" w:w="1296"/>
            <w:tcMar>
              <w:top w:w="90" w:type="dxa"/>
              <w:start w:w="120" w:type="dxa"/>
              <w:bottom w:w="90" w:type="dxa"/>
              <w:end w:w="120" w:type="dxa"/>
            </w:tcMar>
            <w:vAlign w:val="center"/>
          </w:tcPr>
          <w:p>
            <w:pPr>
              <w:spacing w:after="0"/>
            </w:pPr>
            <w:r>
              <w:rPr>
                <w:rFonts w:ascii="Calibri" w:hAnsi="Calibri"/>
                <w:color w:val="17212B"/>
                <w:sz w:val="14"/>
              </w:rPr>
              <w:t>Aug 15–16</w:t>
            </w:r>
          </w:p>
        </w:tc>
        <w:tc>
          <w:tcPr>
            <w:tcW w:type="dxa" w:w="3960"/>
            <w:tcMar>
              <w:top w:w="90" w:type="dxa"/>
              <w:start w:w="120" w:type="dxa"/>
              <w:bottom w:w="90" w:type="dxa"/>
              <w:end w:w="120" w:type="dxa"/>
            </w:tcMar>
            <w:vAlign w:val="center"/>
          </w:tcPr>
          <w:p>
            <w:pPr>
              <w:spacing w:after="0"/>
            </w:pPr>
            <w:r>
              <w:rPr>
                <w:rFonts w:ascii="Calibri" w:hAnsi="Calibri"/>
                <w:color w:val="17212B"/>
                <w:sz w:val="14"/>
              </w:rPr>
              <w:t>Canonical contracts and generated types</w:t>
            </w:r>
          </w:p>
        </w:tc>
        <w:tc>
          <w:tcPr>
            <w:tcW w:type="dxa" w:w="1224"/>
            <w:tcMar>
              <w:top w:w="90" w:type="dxa"/>
              <w:start w:w="120" w:type="dxa"/>
              <w:bottom w:w="90" w:type="dxa"/>
              <w:end w:w="120" w:type="dxa"/>
            </w:tcMar>
            <w:vAlign w:val="center"/>
          </w:tcPr>
          <w:p>
            <w:pPr>
              <w:spacing w:after="0"/>
            </w:pPr>
            <w:r>
              <w:rPr>
                <w:rFonts w:ascii="Calibri" w:hAnsi="Calibri"/>
                <w:color w:val="17212B"/>
                <w:sz w:val="14"/>
              </w:rPr>
              <w:t>WP-01</w:t>
            </w:r>
          </w:p>
        </w:tc>
        <w:tc>
          <w:tcPr>
            <w:tcW w:type="dxa" w:w="1987"/>
            <w:tcMar>
              <w:top w:w="90" w:type="dxa"/>
              <w:start w:w="120" w:type="dxa"/>
              <w:bottom w:w="90" w:type="dxa"/>
              <w:end w:w="120" w:type="dxa"/>
            </w:tcMar>
            <w:vAlign w:val="center"/>
          </w:tcPr>
          <w:p>
            <w:pPr>
              <w:spacing w:after="0"/>
            </w:pPr>
            <w:r>
              <w:rPr>
                <w:rFonts w:ascii="Calibri" w:hAnsi="Calibri"/>
                <w:color w:val="17212B"/>
                <w:sz w:val="14"/>
              </w:rPr>
              <w:t>G0</w:t>
            </w:r>
          </w:p>
        </w:tc>
      </w:tr>
      <w:tr>
        <w:trPr>
          <w:cantSplit/>
        </w:trPr>
        <w:tc>
          <w:tcPr>
            <w:tcW w:type="dxa" w:w="893"/>
            <w:tcMar>
              <w:top w:w="90" w:type="dxa"/>
              <w:start w:w="120" w:type="dxa"/>
              <w:bottom w:w="90" w:type="dxa"/>
              <w:end w:w="120" w:type="dxa"/>
            </w:tcMar>
            <w:vAlign w:val="center"/>
            <w:shd w:fill="F8FAFB"/>
          </w:tcPr>
          <w:p>
            <w:pPr>
              <w:spacing w:after="0"/>
            </w:pPr>
            <w:r>
              <w:rPr>
                <w:rFonts w:ascii="Calibri" w:hAnsi="Calibri"/>
                <w:color w:val="17212B"/>
                <w:sz w:val="14"/>
              </w:rPr>
              <w:t>WP-03</w:t>
            </w:r>
          </w:p>
        </w:tc>
        <w:tc>
          <w:tcPr>
            <w:tcW w:type="dxa" w:w="1296"/>
            <w:tcMar>
              <w:top w:w="90" w:type="dxa"/>
              <w:start w:w="120" w:type="dxa"/>
              <w:bottom w:w="90" w:type="dxa"/>
              <w:end w:w="120" w:type="dxa"/>
            </w:tcMar>
            <w:vAlign w:val="center"/>
            <w:shd w:fill="F8FAFB"/>
          </w:tcPr>
          <w:p>
            <w:pPr>
              <w:spacing w:after="0"/>
            </w:pPr>
            <w:r>
              <w:rPr>
                <w:rFonts w:ascii="Calibri" w:hAnsi="Calibri"/>
                <w:color w:val="17212B"/>
                <w:sz w:val="14"/>
              </w:rPr>
              <w:t>Aug 16</w:t>
            </w:r>
          </w:p>
        </w:tc>
        <w:tc>
          <w:tcPr>
            <w:tcW w:type="dxa" w:w="3960"/>
            <w:tcMar>
              <w:top w:w="90" w:type="dxa"/>
              <w:start w:w="120" w:type="dxa"/>
              <w:bottom w:w="90" w:type="dxa"/>
              <w:end w:w="120" w:type="dxa"/>
            </w:tcMar>
            <w:vAlign w:val="center"/>
            <w:shd w:fill="F8FAFB"/>
          </w:tcPr>
          <w:p>
            <w:pPr>
              <w:spacing w:after="0"/>
            </w:pPr>
            <w:r>
              <w:rPr>
                <w:rFonts w:ascii="Calibri" w:hAnsi="Calibri"/>
                <w:color w:val="17212B"/>
                <w:sz w:val="14"/>
              </w:rPr>
              <w:t>Domain entities, value objects, state machines</w:t>
            </w:r>
          </w:p>
        </w:tc>
        <w:tc>
          <w:tcPr>
            <w:tcW w:type="dxa" w:w="1224"/>
            <w:tcMar>
              <w:top w:w="90" w:type="dxa"/>
              <w:start w:w="120" w:type="dxa"/>
              <w:bottom w:w="90" w:type="dxa"/>
              <w:end w:w="120" w:type="dxa"/>
            </w:tcMar>
            <w:vAlign w:val="center"/>
            <w:shd w:fill="F8FAFB"/>
          </w:tcPr>
          <w:p>
            <w:pPr>
              <w:spacing w:after="0"/>
            </w:pPr>
            <w:r>
              <w:rPr>
                <w:rFonts w:ascii="Calibri" w:hAnsi="Calibri"/>
                <w:color w:val="17212B"/>
                <w:sz w:val="14"/>
              </w:rPr>
              <w:t>WP-02</w:t>
            </w:r>
          </w:p>
        </w:tc>
        <w:tc>
          <w:tcPr>
            <w:tcW w:type="dxa" w:w="1987"/>
            <w:tcMar>
              <w:top w:w="90" w:type="dxa"/>
              <w:start w:w="120" w:type="dxa"/>
              <w:bottom w:w="90" w:type="dxa"/>
              <w:end w:w="120" w:type="dxa"/>
            </w:tcMar>
            <w:vAlign w:val="center"/>
            <w:shd w:fill="F8FAFB"/>
          </w:tcPr>
          <w:p>
            <w:pPr>
              <w:spacing w:after="0"/>
            </w:pPr>
            <w:r>
              <w:rPr>
                <w:rFonts w:ascii="Calibri" w:hAnsi="Calibri"/>
                <w:color w:val="17212B"/>
                <w:sz w:val="14"/>
              </w:rPr>
              <w:t>G0</w:t>
            </w:r>
          </w:p>
        </w:tc>
      </w:tr>
      <w:tr>
        <w:trPr>
          <w:cantSplit/>
        </w:trPr>
        <w:tc>
          <w:tcPr>
            <w:tcW w:type="dxa" w:w="893"/>
            <w:tcMar>
              <w:top w:w="90" w:type="dxa"/>
              <w:start w:w="120" w:type="dxa"/>
              <w:bottom w:w="90" w:type="dxa"/>
              <w:end w:w="120" w:type="dxa"/>
            </w:tcMar>
            <w:vAlign w:val="center"/>
          </w:tcPr>
          <w:p>
            <w:pPr>
              <w:spacing w:after="0"/>
            </w:pPr>
            <w:r>
              <w:rPr>
                <w:rFonts w:ascii="Calibri" w:hAnsi="Calibri"/>
                <w:color w:val="17212B"/>
                <w:sz w:val="14"/>
              </w:rPr>
              <w:t>WP-04</w:t>
            </w:r>
          </w:p>
        </w:tc>
        <w:tc>
          <w:tcPr>
            <w:tcW w:type="dxa" w:w="1296"/>
            <w:tcMar>
              <w:top w:w="90" w:type="dxa"/>
              <w:start w:w="120" w:type="dxa"/>
              <w:bottom w:w="90" w:type="dxa"/>
              <w:end w:w="120" w:type="dxa"/>
            </w:tcMar>
            <w:vAlign w:val="center"/>
          </w:tcPr>
          <w:p>
            <w:pPr>
              <w:spacing w:after="0"/>
            </w:pPr>
            <w:r>
              <w:rPr>
                <w:rFonts w:ascii="Calibri" w:hAnsi="Calibri"/>
                <w:color w:val="17212B"/>
                <w:sz w:val="14"/>
              </w:rPr>
              <w:t>Aug 16–17</w:t>
            </w:r>
          </w:p>
        </w:tc>
        <w:tc>
          <w:tcPr>
            <w:tcW w:type="dxa" w:w="3960"/>
            <w:tcMar>
              <w:top w:w="90" w:type="dxa"/>
              <w:start w:w="120" w:type="dxa"/>
              <w:bottom w:w="90" w:type="dxa"/>
              <w:end w:w="120" w:type="dxa"/>
            </w:tcMar>
            <w:vAlign w:val="center"/>
          </w:tcPr>
          <w:p>
            <w:pPr>
              <w:spacing w:after="0"/>
            </w:pPr>
            <w:r>
              <w:rPr>
                <w:rFonts w:ascii="Calibri" w:hAnsi="Calibri"/>
                <w:color w:val="17212B"/>
                <w:sz w:val="14"/>
              </w:rPr>
              <w:t>Policy, isolation primitives, approvals, idempotency, audit</w:t>
            </w:r>
          </w:p>
        </w:tc>
        <w:tc>
          <w:tcPr>
            <w:tcW w:type="dxa" w:w="1224"/>
            <w:tcMar>
              <w:top w:w="90" w:type="dxa"/>
              <w:start w:w="120" w:type="dxa"/>
              <w:bottom w:w="90" w:type="dxa"/>
              <w:end w:w="120" w:type="dxa"/>
            </w:tcMar>
            <w:vAlign w:val="center"/>
          </w:tcPr>
          <w:p>
            <w:pPr>
              <w:spacing w:after="0"/>
            </w:pPr>
            <w:r>
              <w:rPr>
                <w:rFonts w:ascii="Calibri" w:hAnsi="Calibri"/>
                <w:color w:val="17212B"/>
                <w:sz w:val="14"/>
              </w:rPr>
              <w:t>WP-03</w:t>
            </w:r>
          </w:p>
        </w:tc>
        <w:tc>
          <w:tcPr>
            <w:tcW w:type="dxa" w:w="1987"/>
            <w:tcMar>
              <w:top w:w="90" w:type="dxa"/>
              <w:start w:w="120" w:type="dxa"/>
              <w:bottom w:w="90" w:type="dxa"/>
              <w:end w:w="120" w:type="dxa"/>
            </w:tcMar>
            <w:vAlign w:val="center"/>
          </w:tcPr>
          <w:p>
            <w:pPr>
              <w:spacing w:after="0"/>
            </w:pPr>
            <w:r>
              <w:rPr>
                <w:rFonts w:ascii="Calibri" w:hAnsi="Calibri"/>
                <w:color w:val="17212B"/>
                <w:sz w:val="14"/>
              </w:rPr>
              <w:t>G0</w:t>
            </w:r>
          </w:p>
        </w:tc>
      </w:tr>
      <w:tr>
        <w:trPr>
          <w:cantSplit/>
        </w:trPr>
        <w:tc>
          <w:tcPr>
            <w:tcW w:type="dxa" w:w="893"/>
            <w:tcMar>
              <w:top w:w="90" w:type="dxa"/>
              <w:start w:w="120" w:type="dxa"/>
              <w:bottom w:w="90" w:type="dxa"/>
              <w:end w:w="120" w:type="dxa"/>
            </w:tcMar>
            <w:vAlign w:val="center"/>
            <w:shd w:fill="F8FAFB"/>
          </w:tcPr>
          <w:p>
            <w:pPr>
              <w:spacing w:after="0"/>
            </w:pPr>
            <w:r>
              <w:rPr>
                <w:rFonts w:ascii="Calibri" w:hAnsi="Calibri"/>
                <w:color w:val="17212B"/>
                <w:sz w:val="14"/>
              </w:rPr>
              <w:t>WP-05</w:t>
            </w:r>
          </w:p>
        </w:tc>
        <w:tc>
          <w:tcPr>
            <w:tcW w:type="dxa" w:w="1296"/>
            <w:tcMar>
              <w:top w:w="90" w:type="dxa"/>
              <w:start w:w="120" w:type="dxa"/>
              <w:bottom w:w="90" w:type="dxa"/>
              <w:end w:w="120" w:type="dxa"/>
            </w:tcMar>
            <w:vAlign w:val="center"/>
            <w:shd w:fill="F8FAFB"/>
          </w:tcPr>
          <w:p>
            <w:pPr>
              <w:spacing w:after="0"/>
            </w:pPr>
            <w:r>
              <w:rPr>
                <w:rFonts w:ascii="Calibri" w:hAnsi="Calibri"/>
                <w:color w:val="17212B"/>
                <w:sz w:val="14"/>
              </w:rPr>
              <w:t>Aug 17–19</w:t>
            </w:r>
          </w:p>
        </w:tc>
        <w:tc>
          <w:tcPr>
            <w:tcW w:type="dxa" w:w="3960"/>
            <w:tcMar>
              <w:top w:w="90" w:type="dxa"/>
              <w:start w:w="120" w:type="dxa"/>
              <w:bottom w:w="90" w:type="dxa"/>
              <w:end w:w="120" w:type="dxa"/>
            </w:tcMar>
            <w:vAlign w:val="center"/>
            <w:shd w:fill="F8FAFB"/>
          </w:tcPr>
          <w:p>
            <w:pPr>
              <w:spacing w:after="0"/>
            </w:pPr>
            <w:r>
              <w:rPr>
                <w:rFonts w:ascii="Calibri" w:hAnsi="Calibri"/>
                <w:color w:val="17212B"/>
                <w:sz w:val="14"/>
              </w:rPr>
              <w:t>Three supplier simulators, validation, ranking, explanation facts</w:t>
            </w:r>
          </w:p>
        </w:tc>
        <w:tc>
          <w:tcPr>
            <w:tcW w:type="dxa" w:w="1224"/>
            <w:tcMar>
              <w:top w:w="90" w:type="dxa"/>
              <w:start w:w="120" w:type="dxa"/>
              <w:bottom w:w="90" w:type="dxa"/>
              <w:end w:w="120" w:type="dxa"/>
            </w:tcMar>
            <w:vAlign w:val="center"/>
            <w:shd w:fill="F8FAFB"/>
          </w:tcPr>
          <w:p>
            <w:pPr>
              <w:spacing w:after="0"/>
            </w:pPr>
            <w:r>
              <w:rPr>
                <w:rFonts w:ascii="Calibri" w:hAnsi="Calibri"/>
                <w:color w:val="17212B"/>
                <w:sz w:val="14"/>
              </w:rPr>
              <w:t>WP-04</w:t>
            </w:r>
          </w:p>
        </w:tc>
        <w:tc>
          <w:tcPr>
            <w:tcW w:type="dxa" w:w="1987"/>
            <w:tcMar>
              <w:top w:w="90" w:type="dxa"/>
              <w:start w:w="120" w:type="dxa"/>
              <w:bottom w:w="90" w:type="dxa"/>
              <w:end w:w="120" w:type="dxa"/>
            </w:tcMar>
            <w:vAlign w:val="center"/>
            <w:shd w:fill="F8FAFB"/>
          </w:tcPr>
          <w:p>
            <w:pPr>
              <w:spacing w:after="0"/>
            </w:pPr>
            <w:r>
              <w:rPr>
                <w:rFonts w:ascii="Calibri" w:hAnsi="Calibri"/>
                <w:color w:val="17212B"/>
                <w:sz w:val="14"/>
              </w:rPr>
              <w:t>G1</w:t>
            </w:r>
          </w:p>
        </w:tc>
      </w:tr>
      <w:tr>
        <w:trPr>
          <w:cantSplit/>
        </w:trPr>
        <w:tc>
          <w:tcPr>
            <w:tcW w:type="dxa" w:w="893"/>
            <w:tcMar>
              <w:top w:w="90" w:type="dxa"/>
              <w:start w:w="120" w:type="dxa"/>
              <w:bottom w:w="90" w:type="dxa"/>
              <w:end w:w="120" w:type="dxa"/>
            </w:tcMar>
            <w:vAlign w:val="center"/>
          </w:tcPr>
          <w:p>
            <w:pPr>
              <w:spacing w:after="0"/>
            </w:pPr>
            <w:r>
              <w:rPr>
                <w:rFonts w:ascii="Calibri" w:hAnsi="Calibri"/>
                <w:color w:val="17212B"/>
                <w:sz w:val="14"/>
              </w:rPr>
              <w:t>WP-06</w:t>
            </w:r>
          </w:p>
        </w:tc>
        <w:tc>
          <w:tcPr>
            <w:tcW w:type="dxa" w:w="1296"/>
            <w:tcMar>
              <w:top w:w="90" w:type="dxa"/>
              <w:start w:w="120" w:type="dxa"/>
              <w:bottom w:w="90" w:type="dxa"/>
              <w:end w:w="120" w:type="dxa"/>
            </w:tcMar>
            <w:vAlign w:val="center"/>
          </w:tcPr>
          <w:p>
            <w:pPr>
              <w:spacing w:after="0"/>
            </w:pPr>
            <w:r>
              <w:rPr>
                <w:rFonts w:ascii="Calibri" w:hAnsi="Calibri"/>
                <w:color w:val="17212B"/>
                <w:sz w:val="14"/>
              </w:rPr>
              <w:t>Aug 19–22</w:t>
            </w:r>
          </w:p>
        </w:tc>
        <w:tc>
          <w:tcPr>
            <w:tcW w:type="dxa" w:w="3960"/>
            <w:tcMar>
              <w:top w:w="90" w:type="dxa"/>
              <w:start w:w="120" w:type="dxa"/>
              <w:bottom w:w="90" w:type="dxa"/>
              <w:end w:w="120" w:type="dxa"/>
            </w:tcMar>
            <w:vAlign w:val="center"/>
          </w:tcPr>
          <w:p>
            <w:pPr>
              <w:spacing w:after="0"/>
            </w:pPr>
            <w:r>
              <w:rPr>
                <w:rFonts w:ascii="Calibri" w:hAnsi="Calibri"/>
                <w:color w:val="17212B"/>
                <w:sz w:val="14"/>
              </w:rPr>
              <w:t>FastAPI use cases and local end-to-end golden path</w:t>
            </w:r>
          </w:p>
        </w:tc>
        <w:tc>
          <w:tcPr>
            <w:tcW w:type="dxa" w:w="1224"/>
            <w:tcMar>
              <w:top w:w="90" w:type="dxa"/>
              <w:start w:w="120" w:type="dxa"/>
              <w:bottom w:w="90" w:type="dxa"/>
              <w:end w:w="120" w:type="dxa"/>
            </w:tcMar>
            <w:vAlign w:val="center"/>
          </w:tcPr>
          <w:p>
            <w:pPr>
              <w:spacing w:after="0"/>
            </w:pPr>
            <w:r>
              <w:rPr>
                <w:rFonts w:ascii="Calibri" w:hAnsi="Calibri"/>
                <w:color w:val="17212B"/>
                <w:sz w:val="14"/>
              </w:rPr>
              <w:t>WP-05</w:t>
            </w:r>
          </w:p>
        </w:tc>
        <w:tc>
          <w:tcPr>
            <w:tcW w:type="dxa" w:w="1987"/>
            <w:tcMar>
              <w:top w:w="90" w:type="dxa"/>
              <w:start w:w="120" w:type="dxa"/>
              <w:bottom w:w="90" w:type="dxa"/>
              <w:end w:w="120" w:type="dxa"/>
            </w:tcMar>
            <w:vAlign w:val="center"/>
          </w:tcPr>
          <w:p>
            <w:pPr>
              <w:spacing w:after="0"/>
            </w:pPr>
            <w:r>
              <w:rPr>
                <w:rFonts w:ascii="Calibri" w:hAnsi="Calibri"/>
                <w:color w:val="17212B"/>
                <w:sz w:val="14"/>
              </w:rPr>
              <w:t>G1</w:t>
            </w:r>
          </w:p>
        </w:tc>
      </w:tr>
      <w:tr>
        <w:trPr>
          <w:cantSplit/>
        </w:trPr>
        <w:tc>
          <w:tcPr>
            <w:tcW w:type="dxa" w:w="893"/>
            <w:tcMar>
              <w:top w:w="90" w:type="dxa"/>
              <w:start w:w="120" w:type="dxa"/>
              <w:bottom w:w="90" w:type="dxa"/>
              <w:end w:w="120" w:type="dxa"/>
            </w:tcMar>
            <w:vAlign w:val="center"/>
            <w:shd w:fill="F8FAFB"/>
          </w:tcPr>
          <w:p>
            <w:pPr>
              <w:spacing w:after="0"/>
            </w:pPr>
            <w:r>
              <w:rPr>
                <w:rFonts w:ascii="Calibri" w:hAnsi="Calibri"/>
                <w:color w:val="17212B"/>
                <w:sz w:val="14"/>
              </w:rPr>
              <w:t>WP-07</w:t>
            </w:r>
          </w:p>
        </w:tc>
        <w:tc>
          <w:tcPr>
            <w:tcW w:type="dxa" w:w="1296"/>
            <w:tcMar>
              <w:top w:w="90" w:type="dxa"/>
              <w:start w:w="120" w:type="dxa"/>
              <w:bottom w:w="90" w:type="dxa"/>
              <w:end w:w="120" w:type="dxa"/>
            </w:tcMar>
            <w:vAlign w:val="center"/>
            <w:shd w:fill="F8FAFB"/>
          </w:tcPr>
          <w:p>
            <w:pPr>
              <w:spacing w:after="0"/>
            </w:pPr>
            <w:r>
              <w:rPr>
                <w:rFonts w:ascii="Calibri" w:hAnsi="Calibri"/>
                <w:color w:val="17212B"/>
                <w:sz w:val="14"/>
              </w:rPr>
              <w:t>Aug 22–25</w:t>
            </w:r>
          </w:p>
        </w:tc>
        <w:tc>
          <w:tcPr>
            <w:tcW w:type="dxa" w:w="3960"/>
            <w:tcMar>
              <w:top w:w="90" w:type="dxa"/>
              <w:start w:w="120" w:type="dxa"/>
              <w:bottom w:w="90" w:type="dxa"/>
              <w:end w:w="120" w:type="dxa"/>
            </w:tcMar>
            <w:vAlign w:val="center"/>
            <w:shd w:fill="F8FAFB"/>
          </w:tcPr>
          <w:p>
            <w:pPr>
              <w:spacing w:after="0"/>
            </w:pPr>
            <w:r>
              <w:rPr>
                <w:rFonts w:ascii="Calibri" w:hAnsi="Calibri"/>
                <w:color w:val="17212B"/>
                <w:sz w:val="14"/>
              </w:rPr>
              <w:t>Web decision experience and progress events</w:t>
            </w:r>
          </w:p>
        </w:tc>
        <w:tc>
          <w:tcPr>
            <w:tcW w:type="dxa" w:w="1224"/>
            <w:tcMar>
              <w:top w:w="90" w:type="dxa"/>
              <w:start w:w="120" w:type="dxa"/>
              <w:bottom w:w="90" w:type="dxa"/>
              <w:end w:w="120" w:type="dxa"/>
            </w:tcMar>
            <w:vAlign w:val="center"/>
            <w:shd w:fill="F8FAFB"/>
          </w:tcPr>
          <w:p>
            <w:pPr>
              <w:spacing w:after="0"/>
            </w:pPr>
            <w:r>
              <w:rPr>
                <w:rFonts w:ascii="Calibri" w:hAnsi="Calibri"/>
                <w:color w:val="17212B"/>
                <w:sz w:val="14"/>
              </w:rPr>
              <w:t>WP-06</w:t>
            </w:r>
          </w:p>
        </w:tc>
        <w:tc>
          <w:tcPr>
            <w:tcW w:type="dxa" w:w="1987"/>
            <w:tcMar>
              <w:top w:w="90" w:type="dxa"/>
              <w:start w:w="120" w:type="dxa"/>
              <w:bottom w:w="90" w:type="dxa"/>
              <w:end w:w="120" w:type="dxa"/>
            </w:tcMar>
            <w:vAlign w:val="center"/>
            <w:shd w:fill="F8FAFB"/>
          </w:tcPr>
          <w:p>
            <w:pPr>
              <w:spacing w:after="0"/>
            </w:pPr>
            <w:r>
              <w:rPr>
                <w:rFonts w:ascii="Calibri" w:hAnsi="Calibri"/>
                <w:color w:val="17212B"/>
                <w:sz w:val="14"/>
              </w:rPr>
              <w:t>G1</w:t>
            </w:r>
          </w:p>
        </w:tc>
      </w:tr>
      <w:tr>
        <w:trPr>
          <w:cantSplit/>
        </w:trPr>
        <w:tc>
          <w:tcPr>
            <w:tcW w:type="dxa" w:w="893"/>
            <w:tcMar>
              <w:top w:w="90" w:type="dxa"/>
              <w:start w:w="120" w:type="dxa"/>
              <w:bottom w:w="90" w:type="dxa"/>
              <w:end w:w="120" w:type="dxa"/>
            </w:tcMar>
            <w:vAlign w:val="center"/>
          </w:tcPr>
          <w:p>
            <w:pPr>
              <w:spacing w:after="0"/>
            </w:pPr>
            <w:r>
              <w:rPr>
                <w:rFonts w:ascii="Calibri" w:hAnsi="Calibri"/>
                <w:color w:val="17212B"/>
                <w:sz w:val="14"/>
              </w:rPr>
              <w:t>WP-08</w:t>
            </w:r>
          </w:p>
        </w:tc>
        <w:tc>
          <w:tcPr>
            <w:tcW w:type="dxa" w:w="1296"/>
            <w:tcMar>
              <w:top w:w="90" w:type="dxa"/>
              <w:start w:w="120" w:type="dxa"/>
              <w:bottom w:w="90" w:type="dxa"/>
              <w:end w:w="120" w:type="dxa"/>
            </w:tcMar>
            <w:vAlign w:val="center"/>
          </w:tcPr>
          <w:p>
            <w:pPr>
              <w:spacing w:after="0"/>
            </w:pPr>
            <w:r>
              <w:rPr>
                <w:rFonts w:ascii="Calibri" w:hAnsi="Calibri"/>
                <w:color w:val="17212B"/>
                <w:sz w:val="14"/>
              </w:rPr>
              <w:t>Aug 25–28</w:t>
            </w:r>
          </w:p>
        </w:tc>
        <w:tc>
          <w:tcPr>
            <w:tcW w:type="dxa" w:w="3960"/>
            <w:tcMar>
              <w:top w:w="90" w:type="dxa"/>
              <w:start w:w="120" w:type="dxa"/>
              <w:bottom w:w="90" w:type="dxa"/>
              <w:end w:w="120" w:type="dxa"/>
            </w:tcMar>
            <w:vAlign w:val="center"/>
          </w:tcPr>
          <w:p>
            <w:pPr>
              <w:spacing w:after="0"/>
            </w:pPr>
            <w:r>
              <w:rPr>
                <w:rFonts w:ascii="Calibri" w:hAnsi="Calibri"/>
                <w:color w:val="17212B"/>
                <w:sz w:val="14"/>
              </w:rPr>
              <w:t>Google ADK/Gemini/Cloud adapter and deployment</w:t>
            </w:r>
          </w:p>
        </w:tc>
        <w:tc>
          <w:tcPr>
            <w:tcW w:type="dxa" w:w="1224"/>
            <w:tcMar>
              <w:top w:w="90" w:type="dxa"/>
              <w:start w:w="120" w:type="dxa"/>
              <w:bottom w:w="90" w:type="dxa"/>
              <w:end w:w="120" w:type="dxa"/>
            </w:tcMar>
            <w:vAlign w:val="center"/>
          </w:tcPr>
          <w:p>
            <w:pPr>
              <w:spacing w:after="0"/>
            </w:pPr>
            <w:r>
              <w:rPr>
                <w:rFonts w:ascii="Calibri" w:hAnsi="Calibri"/>
                <w:color w:val="17212B"/>
                <w:sz w:val="14"/>
              </w:rPr>
              <w:t>WP-06</w:t>
            </w:r>
          </w:p>
        </w:tc>
        <w:tc>
          <w:tcPr>
            <w:tcW w:type="dxa" w:w="1987"/>
            <w:tcMar>
              <w:top w:w="90" w:type="dxa"/>
              <w:start w:w="120" w:type="dxa"/>
              <w:bottom w:w="90" w:type="dxa"/>
              <w:end w:w="120" w:type="dxa"/>
            </w:tcMar>
            <w:vAlign w:val="center"/>
          </w:tcPr>
          <w:p>
            <w:pPr>
              <w:spacing w:after="0"/>
            </w:pPr>
            <w:r>
              <w:rPr>
                <w:rFonts w:ascii="Calibri" w:hAnsi="Calibri"/>
                <w:color w:val="17212B"/>
                <w:sz w:val="14"/>
              </w:rPr>
              <w:t>G1</w:t>
            </w:r>
          </w:p>
        </w:tc>
      </w:tr>
      <w:tr>
        <w:trPr>
          <w:cantSplit/>
        </w:trPr>
        <w:tc>
          <w:tcPr>
            <w:tcW w:type="dxa" w:w="893"/>
            <w:tcMar>
              <w:top w:w="90" w:type="dxa"/>
              <w:start w:w="120" w:type="dxa"/>
              <w:bottom w:w="90" w:type="dxa"/>
              <w:end w:w="120" w:type="dxa"/>
            </w:tcMar>
            <w:vAlign w:val="center"/>
            <w:shd w:fill="F8FAFB"/>
          </w:tcPr>
          <w:p>
            <w:pPr>
              <w:spacing w:after="0"/>
            </w:pPr>
            <w:r>
              <w:rPr>
                <w:rFonts w:ascii="Calibri" w:hAnsi="Calibri"/>
                <w:color w:val="17212B"/>
                <w:sz w:val="14"/>
              </w:rPr>
              <w:t>WP-09</w:t>
            </w:r>
          </w:p>
        </w:tc>
        <w:tc>
          <w:tcPr>
            <w:tcW w:type="dxa" w:w="1296"/>
            <w:tcMar>
              <w:top w:w="90" w:type="dxa"/>
              <w:start w:w="120" w:type="dxa"/>
              <w:bottom w:w="90" w:type="dxa"/>
              <w:end w:w="120" w:type="dxa"/>
            </w:tcMar>
            <w:vAlign w:val="center"/>
            <w:shd w:fill="F8FAFB"/>
          </w:tcPr>
          <w:p>
            <w:pPr>
              <w:spacing w:after="0"/>
            </w:pPr>
            <w:r>
              <w:rPr>
                <w:rFonts w:ascii="Calibri" w:hAnsi="Calibri"/>
                <w:color w:val="17212B"/>
                <w:sz w:val="14"/>
              </w:rPr>
              <w:t>Aug 28–31</w:t>
            </w:r>
          </w:p>
        </w:tc>
        <w:tc>
          <w:tcPr>
            <w:tcW w:type="dxa" w:w="3960"/>
            <w:tcMar>
              <w:top w:w="90" w:type="dxa"/>
              <w:start w:w="120" w:type="dxa"/>
              <w:bottom w:w="90" w:type="dxa"/>
              <w:end w:w="120" w:type="dxa"/>
            </w:tcMar>
            <w:vAlign w:val="center"/>
            <w:shd w:fill="F8FAFB"/>
          </w:tcPr>
          <w:p>
            <w:pPr>
              <w:spacing w:after="0"/>
            </w:pPr>
            <w:r>
              <w:rPr>
                <w:rFonts w:ascii="Calibri" w:hAnsi="Calibri"/>
                <w:color w:val="17212B"/>
                <w:sz w:val="14"/>
              </w:rPr>
              <w:t>G1 hardening, evals, demo, submission</w:t>
            </w:r>
          </w:p>
        </w:tc>
        <w:tc>
          <w:tcPr>
            <w:tcW w:type="dxa" w:w="1224"/>
            <w:tcMar>
              <w:top w:w="90" w:type="dxa"/>
              <w:start w:w="120" w:type="dxa"/>
              <w:bottom w:w="90" w:type="dxa"/>
              <w:end w:w="120" w:type="dxa"/>
            </w:tcMar>
            <w:vAlign w:val="center"/>
            <w:shd w:fill="F8FAFB"/>
          </w:tcPr>
          <w:p>
            <w:pPr>
              <w:spacing w:after="0"/>
            </w:pPr>
            <w:r>
              <w:rPr>
                <w:rFonts w:ascii="Calibri" w:hAnsi="Calibri"/>
                <w:color w:val="17212B"/>
                <w:sz w:val="14"/>
              </w:rPr>
              <w:t>WP-07/08</w:t>
            </w:r>
          </w:p>
        </w:tc>
        <w:tc>
          <w:tcPr>
            <w:tcW w:type="dxa" w:w="1987"/>
            <w:tcMar>
              <w:top w:w="90" w:type="dxa"/>
              <w:start w:w="120" w:type="dxa"/>
              <w:bottom w:w="90" w:type="dxa"/>
              <w:end w:w="120" w:type="dxa"/>
            </w:tcMar>
            <w:vAlign w:val="center"/>
            <w:shd w:fill="F8FAFB"/>
          </w:tcPr>
          <w:p>
            <w:pPr>
              <w:spacing w:after="0"/>
            </w:pPr>
            <w:r>
              <w:rPr>
                <w:rFonts w:ascii="Calibri" w:hAnsi="Calibri"/>
                <w:color w:val="17212B"/>
                <w:sz w:val="14"/>
              </w:rPr>
              <w:t>G1</w:t>
            </w:r>
          </w:p>
        </w:tc>
      </w:tr>
      <w:tr>
        <w:trPr>
          <w:cantSplit/>
        </w:trPr>
        <w:tc>
          <w:tcPr>
            <w:tcW w:type="dxa" w:w="893"/>
            <w:tcMar>
              <w:top w:w="90" w:type="dxa"/>
              <w:start w:w="120" w:type="dxa"/>
              <w:bottom w:w="90" w:type="dxa"/>
              <w:end w:w="120" w:type="dxa"/>
            </w:tcMar>
            <w:vAlign w:val="center"/>
          </w:tcPr>
          <w:p>
            <w:pPr>
              <w:spacing w:after="0"/>
            </w:pPr>
            <w:r>
              <w:rPr>
                <w:rFonts w:ascii="Calibri" w:hAnsi="Calibri"/>
                <w:color w:val="17212B"/>
                <w:sz w:val="14"/>
              </w:rPr>
              <w:t>WP-10</w:t>
            </w:r>
          </w:p>
        </w:tc>
        <w:tc>
          <w:tcPr>
            <w:tcW w:type="dxa" w:w="1296"/>
            <w:tcMar>
              <w:top w:w="90" w:type="dxa"/>
              <w:start w:w="120" w:type="dxa"/>
              <w:bottom w:w="90" w:type="dxa"/>
              <w:end w:w="120" w:type="dxa"/>
            </w:tcMar>
            <w:vAlign w:val="center"/>
          </w:tcPr>
          <w:p>
            <w:pPr>
              <w:spacing w:after="0"/>
            </w:pPr>
            <w:r>
              <w:rPr>
                <w:rFonts w:ascii="Calibri" w:hAnsi="Calibri"/>
                <w:color w:val="17212B"/>
                <w:sz w:val="14"/>
              </w:rPr>
              <w:t>Sep 1–6</w:t>
            </w:r>
          </w:p>
        </w:tc>
        <w:tc>
          <w:tcPr>
            <w:tcW w:type="dxa" w:w="3960"/>
            <w:tcMar>
              <w:top w:w="90" w:type="dxa"/>
              <w:start w:w="120" w:type="dxa"/>
              <w:bottom w:w="90" w:type="dxa"/>
              <w:end w:w="120" w:type="dxa"/>
            </w:tcMar>
            <w:vAlign w:val="center"/>
          </w:tcPr>
          <w:p>
            <w:pPr>
              <w:spacing w:after="0"/>
            </w:pPr>
            <w:r>
              <w:rPr>
                <w:rFonts w:ascii="Calibri" w:hAnsi="Calibri"/>
                <w:color w:val="17212B"/>
                <w:sz w:val="14"/>
              </w:rPr>
              <w:t>AWS Strands/Bedrock/AgentCore adapter</w:t>
            </w:r>
          </w:p>
        </w:tc>
        <w:tc>
          <w:tcPr>
            <w:tcW w:type="dxa" w:w="1224"/>
            <w:tcMar>
              <w:top w:w="90" w:type="dxa"/>
              <w:start w:w="120" w:type="dxa"/>
              <w:bottom w:w="90" w:type="dxa"/>
              <w:end w:w="120" w:type="dxa"/>
            </w:tcMar>
            <w:vAlign w:val="center"/>
          </w:tcPr>
          <w:p>
            <w:pPr>
              <w:spacing w:after="0"/>
            </w:pPr>
            <w:r>
              <w:rPr>
                <w:rFonts w:ascii="Calibri" w:hAnsi="Calibri"/>
                <w:color w:val="17212B"/>
                <w:sz w:val="14"/>
              </w:rPr>
              <w:t>WP-06</w:t>
            </w:r>
          </w:p>
        </w:tc>
        <w:tc>
          <w:tcPr>
            <w:tcW w:type="dxa" w:w="1987"/>
            <w:tcMar>
              <w:top w:w="90" w:type="dxa"/>
              <w:start w:w="120" w:type="dxa"/>
              <w:bottom w:w="90" w:type="dxa"/>
              <w:end w:w="120" w:type="dxa"/>
            </w:tcMar>
            <w:vAlign w:val="center"/>
          </w:tcPr>
          <w:p>
            <w:pPr>
              <w:spacing w:after="0"/>
            </w:pPr>
            <w:r>
              <w:rPr>
                <w:rFonts w:ascii="Calibri" w:hAnsi="Calibri"/>
                <w:color w:val="17212B"/>
                <w:sz w:val="14"/>
              </w:rPr>
              <w:t>G2</w:t>
            </w:r>
          </w:p>
        </w:tc>
      </w:tr>
      <w:tr>
        <w:trPr>
          <w:cantSplit/>
        </w:trPr>
        <w:tc>
          <w:tcPr>
            <w:tcW w:type="dxa" w:w="893"/>
            <w:tcMar>
              <w:top w:w="90" w:type="dxa"/>
              <w:start w:w="120" w:type="dxa"/>
              <w:bottom w:w="90" w:type="dxa"/>
              <w:end w:w="120" w:type="dxa"/>
            </w:tcMar>
            <w:vAlign w:val="center"/>
            <w:shd w:fill="F8FAFB"/>
          </w:tcPr>
          <w:p>
            <w:pPr>
              <w:spacing w:after="0"/>
            </w:pPr>
            <w:r>
              <w:rPr>
                <w:rFonts w:ascii="Calibri" w:hAnsi="Calibri"/>
                <w:color w:val="17212B"/>
                <w:sz w:val="14"/>
              </w:rPr>
              <w:t>WP-11</w:t>
            </w:r>
          </w:p>
        </w:tc>
        <w:tc>
          <w:tcPr>
            <w:tcW w:type="dxa" w:w="1296"/>
            <w:tcMar>
              <w:top w:w="90" w:type="dxa"/>
              <w:start w:w="120" w:type="dxa"/>
              <w:bottom w:w="90" w:type="dxa"/>
              <w:end w:w="120" w:type="dxa"/>
            </w:tcMar>
            <w:vAlign w:val="center"/>
            <w:shd w:fill="F8FAFB"/>
          </w:tcPr>
          <w:p>
            <w:pPr>
              <w:spacing w:after="0"/>
            </w:pPr>
            <w:r>
              <w:rPr>
                <w:rFonts w:ascii="Calibri" w:hAnsi="Calibri"/>
                <w:color w:val="17212B"/>
                <w:sz w:val="14"/>
              </w:rPr>
              <w:t>Sep 6–10</w:t>
            </w:r>
          </w:p>
        </w:tc>
        <w:tc>
          <w:tcPr>
            <w:tcW w:type="dxa" w:w="3960"/>
            <w:tcMar>
              <w:top w:w="90" w:type="dxa"/>
              <w:start w:w="120" w:type="dxa"/>
              <w:bottom w:w="90" w:type="dxa"/>
              <w:end w:w="120" w:type="dxa"/>
            </w:tcMar>
            <w:vAlign w:val="center"/>
            <w:shd w:fill="F8FAFB"/>
          </w:tcPr>
          <w:p>
            <w:pPr>
              <w:spacing w:after="0"/>
            </w:pPr>
            <w:r>
              <w:rPr>
                <w:rFonts w:ascii="Calibri" w:hAnsi="Calibri"/>
                <w:color w:val="17212B"/>
                <w:sz w:val="14"/>
              </w:rPr>
              <w:t>Durability, failure recovery, counteroffer, observability</w:t>
            </w:r>
          </w:p>
        </w:tc>
        <w:tc>
          <w:tcPr>
            <w:tcW w:type="dxa" w:w="1224"/>
            <w:tcMar>
              <w:top w:w="90" w:type="dxa"/>
              <w:start w:w="120" w:type="dxa"/>
              <w:bottom w:w="90" w:type="dxa"/>
              <w:end w:w="120" w:type="dxa"/>
            </w:tcMar>
            <w:vAlign w:val="center"/>
            <w:shd w:fill="F8FAFB"/>
          </w:tcPr>
          <w:p>
            <w:pPr>
              <w:spacing w:after="0"/>
            </w:pPr>
            <w:r>
              <w:rPr>
                <w:rFonts w:ascii="Calibri" w:hAnsi="Calibri"/>
                <w:color w:val="17212B"/>
                <w:sz w:val="14"/>
              </w:rPr>
              <w:t>WP-10</w:t>
            </w:r>
          </w:p>
        </w:tc>
        <w:tc>
          <w:tcPr>
            <w:tcW w:type="dxa" w:w="1987"/>
            <w:tcMar>
              <w:top w:w="90" w:type="dxa"/>
              <w:start w:w="120" w:type="dxa"/>
              <w:bottom w:w="90" w:type="dxa"/>
              <w:end w:w="120" w:type="dxa"/>
            </w:tcMar>
            <w:vAlign w:val="center"/>
            <w:shd w:fill="F8FAFB"/>
          </w:tcPr>
          <w:p>
            <w:pPr>
              <w:spacing w:after="0"/>
            </w:pPr>
            <w:r>
              <w:rPr>
                <w:rFonts w:ascii="Calibri" w:hAnsi="Calibri"/>
                <w:color w:val="17212B"/>
                <w:sz w:val="14"/>
              </w:rPr>
              <w:t>G2</w:t>
            </w:r>
          </w:p>
        </w:tc>
      </w:tr>
      <w:tr>
        <w:trPr>
          <w:cantSplit/>
        </w:trPr>
        <w:tc>
          <w:tcPr>
            <w:tcW w:type="dxa" w:w="893"/>
            <w:tcMar>
              <w:top w:w="90" w:type="dxa"/>
              <w:start w:w="120" w:type="dxa"/>
              <w:bottom w:w="90" w:type="dxa"/>
              <w:end w:w="120" w:type="dxa"/>
            </w:tcMar>
            <w:vAlign w:val="center"/>
          </w:tcPr>
          <w:p>
            <w:pPr>
              <w:spacing w:after="0"/>
            </w:pPr>
            <w:r>
              <w:rPr>
                <w:rFonts w:ascii="Calibri" w:hAnsi="Calibri"/>
                <w:color w:val="17212B"/>
                <w:sz w:val="14"/>
              </w:rPr>
              <w:t>WP-12</w:t>
            </w:r>
          </w:p>
        </w:tc>
        <w:tc>
          <w:tcPr>
            <w:tcW w:type="dxa" w:w="1296"/>
            <w:tcMar>
              <w:top w:w="90" w:type="dxa"/>
              <w:start w:w="120" w:type="dxa"/>
              <w:bottom w:w="90" w:type="dxa"/>
              <w:end w:w="120" w:type="dxa"/>
            </w:tcMar>
            <w:vAlign w:val="center"/>
          </w:tcPr>
          <w:p>
            <w:pPr>
              <w:spacing w:after="0"/>
            </w:pPr>
            <w:r>
              <w:rPr>
                <w:rFonts w:ascii="Calibri" w:hAnsi="Calibri"/>
                <w:color w:val="17212B"/>
                <w:sz w:val="14"/>
              </w:rPr>
              <w:t>Sep 10–14</w:t>
            </w:r>
          </w:p>
        </w:tc>
        <w:tc>
          <w:tcPr>
            <w:tcW w:type="dxa" w:w="3960"/>
            <w:tcMar>
              <w:top w:w="90" w:type="dxa"/>
              <w:start w:w="120" w:type="dxa"/>
              <w:bottom w:w="90" w:type="dxa"/>
              <w:end w:w="120" w:type="dxa"/>
            </w:tcMar>
            <w:vAlign w:val="center"/>
          </w:tcPr>
          <w:p>
            <w:pPr>
              <w:spacing w:after="0"/>
            </w:pPr>
            <w:r>
              <w:rPr>
                <w:rFonts w:ascii="Calibri" w:hAnsi="Calibri"/>
                <w:color w:val="17212B"/>
                <w:sz w:val="14"/>
              </w:rPr>
              <w:t>G2 evidence, video, deployment, submission</w:t>
            </w:r>
          </w:p>
        </w:tc>
        <w:tc>
          <w:tcPr>
            <w:tcW w:type="dxa" w:w="1224"/>
            <w:tcMar>
              <w:top w:w="90" w:type="dxa"/>
              <w:start w:w="120" w:type="dxa"/>
              <w:bottom w:w="90" w:type="dxa"/>
              <w:end w:w="120" w:type="dxa"/>
            </w:tcMar>
            <w:vAlign w:val="center"/>
          </w:tcPr>
          <w:p>
            <w:pPr>
              <w:spacing w:after="0"/>
            </w:pPr>
            <w:r>
              <w:rPr>
                <w:rFonts w:ascii="Calibri" w:hAnsi="Calibri"/>
                <w:color w:val="17212B"/>
                <w:sz w:val="14"/>
              </w:rPr>
              <w:t>WP-11</w:t>
            </w:r>
          </w:p>
        </w:tc>
        <w:tc>
          <w:tcPr>
            <w:tcW w:type="dxa" w:w="1987"/>
            <w:tcMar>
              <w:top w:w="90" w:type="dxa"/>
              <w:start w:w="120" w:type="dxa"/>
              <w:bottom w:w="90" w:type="dxa"/>
              <w:end w:w="120" w:type="dxa"/>
            </w:tcMar>
            <w:vAlign w:val="center"/>
          </w:tcPr>
          <w:p>
            <w:pPr>
              <w:spacing w:after="0"/>
            </w:pPr>
            <w:r>
              <w:rPr>
                <w:rFonts w:ascii="Calibri" w:hAnsi="Calibri"/>
                <w:color w:val="17212B"/>
                <w:sz w:val="14"/>
              </w:rPr>
              <w:t>G2</w:t>
            </w:r>
          </w:p>
        </w:tc>
      </w:tr>
      <w:tr>
        <w:trPr>
          <w:cantSplit/>
        </w:trPr>
        <w:tc>
          <w:tcPr>
            <w:tcW w:type="dxa" w:w="893"/>
            <w:tcMar>
              <w:top w:w="90" w:type="dxa"/>
              <w:start w:w="120" w:type="dxa"/>
              <w:bottom w:w="90" w:type="dxa"/>
              <w:end w:w="120" w:type="dxa"/>
            </w:tcMar>
            <w:vAlign w:val="center"/>
            <w:shd w:fill="F8FAFB"/>
          </w:tcPr>
          <w:p>
            <w:pPr>
              <w:spacing w:after="0"/>
            </w:pPr>
            <w:r>
              <w:rPr>
                <w:rFonts w:ascii="Calibri" w:hAnsi="Calibri"/>
                <w:color w:val="17212B"/>
                <w:sz w:val="14"/>
              </w:rPr>
              <w:t>WP-13</w:t>
            </w:r>
          </w:p>
        </w:tc>
        <w:tc>
          <w:tcPr>
            <w:tcW w:type="dxa" w:w="1296"/>
            <w:tcMar>
              <w:top w:w="90" w:type="dxa"/>
              <w:start w:w="120" w:type="dxa"/>
              <w:bottom w:w="90" w:type="dxa"/>
              <w:end w:w="120" w:type="dxa"/>
            </w:tcMar>
            <w:vAlign w:val="center"/>
            <w:shd w:fill="F8FAFB"/>
          </w:tcPr>
          <w:p>
            <w:pPr>
              <w:spacing w:after="0"/>
            </w:pPr>
            <w:r>
              <w:rPr>
                <w:rFonts w:ascii="Calibri" w:hAnsi="Calibri"/>
                <w:color w:val="17212B"/>
                <w:sz w:val="14"/>
              </w:rPr>
              <w:t>Sep 1–12</w:t>
            </w:r>
          </w:p>
        </w:tc>
        <w:tc>
          <w:tcPr>
            <w:tcW w:type="dxa" w:w="3960"/>
            <w:tcMar>
              <w:top w:w="90" w:type="dxa"/>
              <w:start w:w="120" w:type="dxa"/>
              <w:bottom w:w="90" w:type="dxa"/>
              <w:end w:w="120" w:type="dxa"/>
            </w:tcMar>
            <w:vAlign w:val="center"/>
            <w:shd w:fill="F8FAFB"/>
          </w:tcPr>
          <w:p>
            <w:pPr>
              <w:spacing w:after="0"/>
            </w:pPr>
            <w:r>
              <w:rPr>
                <w:rFonts w:ascii="Calibri" w:hAnsi="Calibri"/>
                <w:color w:val="17212B"/>
                <w:sz w:val="14"/>
              </w:rPr>
              <w:t>Responsive web mobile surface; native shell not selected; Share to ReservEdge remains later G3 (historical/internal label Share-to-ITAA)</w:t>
            </w:r>
          </w:p>
        </w:tc>
        <w:tc>
          <w:tcPr>
            <w:tcW w:type="dxa" w:w="1224"/>
            <w:tcMar>
              <w:top w:w="90" w:type="dxa"/>
              <w:start w:w="120" w:type="dxa"/>
              <w:bottom w:w="90" w:type="dxa"/>
              <w:end w:w="120" w:type="dxa"/>
            </w:tcMar>
            <w:vAlign w:val="center"/>
            <w:shd w:fill="F8FAFB"/>
          </w:tcPr>
          <w:p>
            <w:pPr>
              <w:spacing w:after="0"/>
            </w:pPr>
            <w:r>
              <w:rPr>
                <w:rFonts w:ascii="Calibri" w:hAnsi="Calibri"/>
                <w:color w:val="17212B"/>
                <w:sz w:val="14"/>
              </w:rPr>
              <w:t>WP-06</w:t>
            </w:r>
          </w:p>
        </w:tc>
        <w:tc>
          <w:tcPr>
            <w:tcW w:type="dxa" w:w="1987"/>
            <w:tcMar>
              <w:top w:w="90" w:type="dxa"/>
              <w:start w:w="120" w:type="dxa"/>
              <w:bottom w:w="90" w:type="dxa"/>
              <w:end w:w="120" w:type="dxa"/>
            </w:tcMar>
            <w:vAlign w:val="center"/>
            <w:shd w:fill="F8FAFB"/>
          </w:tcPr>
          <w:p>
            <w:pPr>
              <w:spacing w:after="0"/>
            </w:pPr>
            <w:r>
              <w:rPr>
                <w:rFonts w:ascii="Calibri" w:hAnsi="Calibri"/>
                <w:color w:val="17212B"/>
                <w:sz w:val="14"/>
              </w:rPr>
              <w:t>G3</w:t>
            </w:r>
          </w:p>
        </w:tc>
      </w:tr>
      <w:tr>
        <w:trPr>
          <w:cantSplit/>
        </w:trPr>
        <w:tc>
          <w:tcPr>
            <w:tcW w:type="dxa" w:w="893"/>
            <w:tcMar>
              <w:top w:w="90" w:type="dxa"/>
              <w:start w:w="120" w:type="dxa"/>
              <w:bottom w:w="90" w:type="dxa"/>
              <w:end w:w="120" w:type="dxa"/>
            </w:tcMar>
            <w:vAlign w:val="center"/>
          </w:tcPr>
          <w:p>
            <w:pPr>
              <w:spacing w:after="0"/>
            </w:pPr>
            <w:r>
              <w:rPr>
                <w:rFonts w:ascii="Calibri" w:hAnsi="Calibri"/>
                <w:color w:val="17212B"/>
                <w:sz w:val="14"/>
              </w:rPr>
              <w:t>WP-14</w:t>
            </w:r>
          </w:p>
        </w:tc>
        <w:tc>
          <w:tcPr>
            <w:tcW w:type="dxa" w:w="1296"/>
            <w:tcMar>
              <w:top w:w="90" w:type="dxa"/>
              <w:start w:w="120" w:type="dxa"/>
              <w:bottom w:w="90" w:type="dxa"/>
              <w:end w:w="120" w:type="dxa"/>
            </w:tcMar>
            <w:vAlign w:val="center"/>
          </w:tcPr>
          <w:p>
            <w:pPr>
              <w:spacing w:after="0"/>
            </w:pPr>
            <w:r>
              <w:rPr>
                <w:rFonts w:ascii="Calibri" w:hAnsi="Calibri"/>
                <w:color w:val="17212B"/>
                <w:sz w:val="14"/>
              </w:rPr>
              <w:t>Sep 12–20</w:t>
            </w:r>
          </w:p>
        </w:tc>
        <w:tc>
          <w:tcPr>
            <w:tcW w:type="dxa" w:w="3960"/>
            <w:tcMar>
              <w:top w:w="90" w:type="dxa"/>
              <w:start w:w="120" w:type="dxa"/>
              <w:bottom w:w="90" w:type="dxa"/>
              <w:end w:w="120" w:type="dxa"/>
            </w:tcMar>
            <w:vAlign w:val="center"/>
          </w:tcPr>
          <w:p>
            <w:pPr>
              <w:spacing w:after="0"/>
            </w:pPr>
            <w:r>
              <w:rPr>
                <w:rFonts w:ascii="Calibri" w:hAnsi="Calibri"/>
                <w:color w:val="17212B"/>
                <w:sz w:val="14"/>
              </w:rPr>
              <w:t>Decision/approval UX, notifications, RevenueCat, store candidate</w:t>
            </w:r>
          </w:p>
        </w:tc>
        <w:tc>
          <w:tcPr>
            <w:tcW w:type="dxa" w:w="1224"/>
            <w:tcMar>
              <w:top w:w="90" w:type="dxa"/>
              <w:start w:w="120" w:type="dxa"/>
              <w:bottom w:w="90" w:type="dxa"/>
              <w:end w:w="120" w:type="dxa"/>
            </w:tcMar>
            <w:vAlign w:val="center"/>
          </w:tcPr>
          <w:p>
            <w:pPr>
              <w:spacing w:after="0"/>
            </w:pPr>
            <w:r>
              <w:rPr>
                <w:rFonts w:ascii="Calibri" w:hAnsi="Calibri"/>
                <w:color w:val="17212B"/>
                <w:sz w:val="14"/>
              </w:rPr>
              <w:t>WP-13</w:t>
            </w:r>
          </w:p>
        </w:tc>
        <w:tc>
          <w:tcPr>
            <w:tcW w:type="dxa" w:w="1987"/>
            <w:tcMar>
              <w:top w:w="90" w:type="dxa"/>
              <w:start w:w="120" w:type="dxa"/>
              <w:bottom w:w="90" w:type="dxa"/>
              <w:end w:w="120" w:type="dxa"/>
            </w:tcMar>
            <w:vAlign w:val="center"/>
          </w:tcPr>
          <w:p>
            <w:pPr>
              <w:spacing w:after="0"/>
            </w:pPr>
            <w:r>
              <w:rPr>
                <w:rFonts w:ascii="Calibri" w:hAnsi="Calibri"/>
                <w:color w:val="17212B"/>
                <w:sz w:val="14"/>
              </w:rPr>
              <w:t>G3</w:t>
            </w:r>
          </w:p>
        </w:tc>
      </w:tr>
      <w:tr>
        <w:trPr>
          <w:cantSplit/>
        </w:trPr>
        <w:tc>
          <w:tcPr>
            <w:tcW w:type="dxa" w:w="893"/>
            <w:tcMar>
              <w:top w:w="90" w:type="dxa"/>
              <w:start w:w="120" w:type="dxa"/>
              <w:bottom w:w="90" w:type="dxa"/>
              <w:end w:w="120" w:type="dxa"/>
            </w:tcMar>
            <w:vAlign w:val="center"/>
            <w:shd w:fill="F8FAFB"/>
          </w:tcPr>
          <w:p>
            <w:pPr>
              <w:spacing w:after="0"/>
            </w:pPr>
            <w:r>
              <w:rPr>
                <w:rFonts w:ascii="Calibri" w:hAnsi="Calibri"/>
                <w:color w:val="17212B"/>
                <w:sz w:val="14"/>
              </w:rPr>
              <w:t>WP-15</w:t>
            </w:r>
          </w:p>
        </w:tc>
        <w:tc>
          <w:tcPr>
            <w:tcW w:type="dxa" w:w="1296"/>
            <w:tcMar>
              <w:top w:w="90" w:type="dxa"/>
              <w:start w:w="120" w:type="dxa"/>
              <w:bottom w:w="90" w:type="dxa"/>
              <w:end w:w="120" w:type="dxa"/>
            </w:tcMar>
            <w:vAlign w:val="center"/>
            <w:shd w:fill="F8FAFB"/>
          </w:tcPr>
          <w:p>
            <w:pPr>
              <w:spacing w:after="0"/>
            </w:pPr>
            <w:r>
              <w:rPr>
                <w:rFonts w:ascii="Calibri" w:hAnsi="Calibri"/>
                <w:color w:val="17212B"/>
                <w:sz w:val="14"/>
              </w:rPr>
              <w:t>Sep 20–30</w:t>
            </w:r>
          </w:p>
        </w:tc>
        <w:tc>
          <w:tcPr>
            <w:tcW w:type="dxa" w:w="3960"/>
            <w:tcMar>
              <w:top w:w="90" w:type="dxa"/>
              <w:start w:w="120" w:type="dxa"/>
              <w:bottom w:w="90" w:type="dxa"/>
              <w:end w:w="120" w:type="dxa"/>
            </w:tcMar>
            <w:vAlign w:val="center"/>
            <w:shd w:fill="F8FAFB"/>
          </w:tcPr>
          <w:p>
            <w:pPr>
              <w:spacing w:after="0"/>
            </w:pPr>
            <w:r>
              <w:rPr>
                <w:rFonts w:ascii="Calibri" w:hAnsi="Calibri"/>
                <w:color w:val="17212B"/>
                <w:sz w:val="14"/>
              </w:rPr>
              <w:t>Public release, fixes, evidence, Shipaton submission</w:t>
            </w:r>
          </w:p>
        </w:tc>
        <w:tc>
          <w:tcPr>
            <w:tcW w:type="dxa" w:w="1224"/>
            <w:tcMar>
              <w:top w:w="90" w:type="dxa"/>
              <w:start w:w="120" w:type="dxa"/>
              <w:bottom w:w="90" w:type="dxa"/>
              <w:end w:w="120" w:type="dxa"/>
            </w:tcMar>
            <w:vAlign w:val="center"/>
            <w:shd w:fill="F8FAFB"/>
          </w:tcPr>
          <w:p>
            <w:pPr>
              <w:spacing w:after="0"/>
            </w:pPr>
            <w:r>
              <w:rPr>
                <w:rFonts w:ascii="Calibri" w:hAnsi="Calibri"/>
                <w:color w:val="17212B"/>
                <w:sz w:val="14"/>
              </w:rPr>
              <w:t>WP-14</w:t>
            </w:r>
          </w:p>
        </w:tc>
        <w:tc>
          <w:tcPr>
            <w:tcW w:type="dxa" w:w="1987"/>
            <w:tcMar>
              <w:top w:w="90" w:type="dxa"/>
              <w:start w:w="120" w:type="dxa"/>
              <w:bottom w:w="90" w:type="dxa"/>
              <w:end w:w="120" w:type="dxa"/>
            </w:tcMar>
            <w:vAlign w:val="center"/>
            <w:shd w:fill="F8FAFB"/>
          </w:tcPr>
          <w:p>
            <w:pPr>
              <w:spacing w:after="0"/>
            </w:pPr>
            <w:r>
              <w:rPr>
                <w:rFonts w:ascii="Calibri" w:hAnsi="Calibri"/>
                <w:color w:val="17212B"/>
                <w:sz w:val="14"/>
              </w:rPr>
              <w:t>G3</w:t>
            </w:r>
          </w:p>
        </w:tc>
      </w:tr>
    </w:tbl>
    <w:p>
      <w:pPr>
        <w:spacing w:after="20"/>
      </w:pPr>
    </w:p>
    <w:p>
      <w:pPr>
        <w:pStyle w:val="Heading2"/>
      </w:pPr>
      <w:r>
        <w:t>4.1 Parallelization policy</w:t>
      </w:r>
    </w:p>
    <w:p>
      <w:r>
        <w:t>Native mobile shell work MUST NOT overlap until a separate Product Owner-approved native ADR exists. Responsive web at 320 / 390 / 410 is the mobile surface. Google and AWS adapter work must not fork domain code. Intent-first feature work belongs to COMP-G1-06 after activation, not to this kickoff restatement of completed foundation packages.</w:t>
      </w:r>
    </w:p>
    <w:p>
      <w:pPr>
        <w:pStyle w:val="Heading2"/>
      </w:pPr>
      <w:r>
        <w:t>4.2 Scope-cut order</w:t>
      </w:r>
    </w:p>
    <w:p>
      <w:pPr>
        <w:pStyle w:val="ListBullet"/>
      </w:pPr>
      <w:r>
        <w:t>Cut first: rich animations, secondary research provider, annual plan, advanced notification journeys.</w:t>
      </w:r>
    </w:p>
    <w:p>
      <w:pPr>
        <w:pStyle w:val="ListBullet"/>
      </w:pPr>
      <w:r>
        <w:t>Cut next: counteroffer round, long-term memory adapter, sophisticated supplier bundles.</w:t>
      </w:r>
    </w:p>
    <w:p>
      <w:pPr>
        <w:pStyle w:val="ListBullet"/>
      </w:pPr>
      <w:r>
        <w:t>Never cut: disclosure preview/hash binding, supplier isolation, deterministic policy/ranking, separate final approval, audit linkage, simulation labels, competition eligibility requirements.</w:t>
      </w:r>
    </w:p>
    <w:p>
      <w:pPr>
        <w:pStyle w:val="Heading1"/>
      </w:pPr>
      <w:r>
        <w:t>5. Foundation Sprint backlog — Aug 15–17</w:t>
      </w: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60" w:type="dxa"/>
              <w:bottom w:w="130" w:type="dxa"/>
              <w:end w:w="160" w:type="dxa"/>
            </w:tcMar>
            <w:shd w:fill="F4F7F9"/>
          </w:tcPr>
          <w:p>
            <w:pPr>
              <w:spacing w:after="0"/>
            </w:pPr>
            <w:r>
              <w:rPr>
                <w:rFonts w:ascii="Calibri" w:hAnsi="Calibri"/>
                <w:b/>
                <w:color w:val="1C8C84"/>
                <w:sz w:val="17"/>
              </w:rPr>
              <w:t xml:space="preserve">SPRINT OUTCOME  </w:t>
            </w:r>
            <w:r>
              <w:rPr>
                <w:rFonts w:ascii="Calibri" w:hAnsi="Calibri"/>
                <w:b/>
                <w:color w:val="17212B"/>
                <w:sz w:val="20"/>
              </w:rPr>
              <w:t>Tag `g0-foundation` only after WP-01 through WP-04 pass the Gate G0 acceptance suite. No agent framework or cloud SDK is required in this sprint.</w:t>
            </w:r>
          </w:p>
        </w:tc>
      </w:tr>
    </w:tbl>
    <w:p>
      <w:pPr>
        <w:spacing w:after="20"/>
      </w:pPr>
    </w:p>
    <w:p>
      <w:pPr>
        <w:pStyle w:val="Heading2"/>
      </w:pPr>
      <w:r>
        <w:t>5.1 WP-00 — Project controls</w:t>
      </w:r>
    </w:p>
    <w:p>
      <w:pPr>
        <w:pStyle w:val="Ticket"/>
      </w:pPr>
      <w:r>
        <w:rPr>
          <w:rFonts w:ascii="Calibri" w:hAnsi="Calibri"/>
          <w:b/>
          <w:color w:val="1C8C84"/>
          <w:sz w:val="19"/>
        </w:rPr>
        <w:t xml:space="preserve">ITAA-001  </w:t>
      </w:r>
      <w:r>
        <w:rPr>
          <w:rFonts w:ascii="Calibri" w:hAnsi="Calibri"/>
          <w:b/>
          <w:color w:val="17212B"/>
          <w:sz w:val="19"/>
        </w:rPr>
        <w:t xml:space="preserve">Record source-of-truth — </w:t>
      </w:r>
      <w:r>
        <w:t>Create README links to approved specification, kickoff pack, ADR index, and requirements traceability.</w:t>
      </w:r>
      <w:r>
        <w:rPr>
          <w:rFonts w:ascii="Calibri" w:hAnsi="Calibri"/>
          <w:color w:val="5B6875"/>
          <w:sz w:val="17"/>
        </w:rPr>
        <w:t xml:space="preserve">  Acceptance: A new contributor can identify normative documents and current gate.  Dependency: —</w:t>
      </w:r>
    </w:p>
    <w:p>
      <w:pPr>
        <w:pStyle w:val="Ticket"/>
      </w:pPr>
      <w:r>
        <w:rPr>
          <w:rFonts w:ascii="Calibri" w:hAnsi="Calibri"/>
          <w:b/>
          <w:color w:val="1C8C84"/>
          <w:sz w:val="19"/>
        </w:rPr>
        <w:t xml:space="preserve">ITAA-002  </w:t>
      </w:r>
      <w:r>
        <w:rPr>
          <w:rFonts w:ascii="Calibri" w:hAnsi="Calibri"/>
          <w:b/>
          <w:color w:val="17212B"/>
          <w:sz w:val="19"/>
        </w:rPr>
        <w:t xml:space="preserve">Create decision records — </w:t>
      </w:r>
      <w:r>
        <w:t>Add ADR-0001 stack, ADR-0002 cloud-neutral boundaries, ADR-0003 simulation boundary.</w:t>
      </w:r>
      <w:r>
        <w:rPr>
          <w:rFonts w:ascii="Calibri" w:hAnsi="Calibri"/>
          <w:color w:val="5B6875"/>
          <w:sz w:val="17"/>
        </w:rPr>
        <w:t xml:space="preserve">  Acceptance: Each records status, context, decision, consequences, and date.  Dependency: ITAA-001</w:t>
      </w:r>
    </w:p>
    <w:p>
      <w:pPr>
        <w:pStyle w:val="Ticket"/>
      </w:pPr>
      <w:r>
        <w:rPr>
          <w:rFonts w:ascii="Calibri" w:hAnsi="Calibri"/>
          <w:b/>
          <w:color w:val="1C8C84"/>
          <w:sz w:val="19"/>
        </w:rPr>
        <w:t xml:space="preserve">ITAA-003  </w:t>
      </w:r>
      <w:r>
        <w:rPr>
          <w:rFonts w:ascii="Calibri" w:hAnsi="Calibri"/>
          <w:b/>
          <w:color w:val="17212B"/>
          <w:sz w:val="19"/>
        </w:rPr>
        <w:t xml:space="preserve">Create account readiness checklist — </w:t>
      </w:r>
      <w:r>
        <w:t>Track Google, AWS, Git hosting, mobile developer account, RevenueCat, and demo-domain readiness without storing secrets.</w:t>
      </w:r>
      <w:r>
        <w:rPr>
          <w:rFonts w:ascii="Calibri" w:hAnsi="Calibri"/>
          <w:color w:val="5B6875"/>
          <w:sz w:val="17"/>
        </w:rPr>
        <w:t xml:space="preserve">  Acceptance: Owner/status/blocker/due date present.  Dependency: ITAA-001</w:t>
      </w:r>
    </w:p>
    <w:p>
      <w:pPr>
        <w:pStyle w:val="Heading2"/>
      </w:pPr>
      <w:r>
        <w:t>5.2 WP-01 — Repository foundation</w:t>
      </w:r>
    </w:p>
    <w:p>
      <w:pPr>
        <w:pStyle w:val="Ticket"/>
      </w:pPr>
      <w:r>
        <w:rPr>
          <w:rFonts w:ascii="Calibri" w:hAnsi="Calibri"/>
          <w:b/>
          <w:color w:val="1C8C84"/>
          <w:sz w:val="19"/>
        </w:rPr>
        <w:t xml:space="preserve">ITAA-010  </w:t>
      </w:r>
      <w:r>
        <w:rPr>
          <w:rFonts w:ascii="Calibri" w:hAnsi="Calibri"/>
          <w:b/>
          <w:color w:val="17212B"/>
          <w:sz w:val="19"/>
        </w:rPr>
        <w:t xml:space="preserve">Scaffold monorepo — </w:t>
      </w:r>
      <w:r>
        <w:t>Create the approved directories, Python package/workspace, TypeScript workspace placeholder, root task commands, editor settings, and license placeholder.</w:t>
      </w:r>
      <w:r>
        <w:rPr>
          <w:rFonts w:ascii="Calibri" w:hAnsi="Calibri"/>
          <w:color w:val="5B6875"/>
          <w:sz w:val="17"/>
        </w:rPr>
        <w:t xml:space="preserve">  Acceptance: Fresh clone setup and test command documented; no provider SDK in core.  Dependency: —</w:t>
      </w:r>
    </w:p>
    <w:p>
      <w:pPr>
        <w:pStyle w:val="Ticket"/>
      </w:pPr>
      <w:r>
        <w:rPr>
          <w:rFonts w:ascii="Calibri" w:hAnsi="Calibri"/>
          <w:b/>
          <w:color w:val="1C8C84"/>
          <w:sz w:val="19"/>
        </w:rPr>
        <w:t xml:space="preserve">ITAA-011  </w:t>
      </w:r>
      <w:r>
        <w:rPr>
          <w:rFonts w:ascii="Calibri" w:hAnsi="Calibri"/>
          <w:b/>
          <w:color w:val="17212B"/>
          <w:sz w:val="19"/>
        </w:rPr>
        <w:t xml:space="preserve">Local environment — </w:t>
      </w:r>
      <w:r>
        <w:t>Provide PostgreSQL container, example environment file with non-secret names, health check, and deterministic seed configuration.</w:t>
      </w:r>
      <w:r>
        <w:rPr>
          <w:rFonts w:ascii="Calibri" w:hAnsi="Calibri"/>
          <w:color w:val="5B6875"/>
          <w:sz w:val="17"/>
        </w:rPr>
        <w:t xml:space="preserve">  Acceptance: One documented command starts dependencies and health check passes.  Dependency: ITAA-010</w:t>
      </w:r>
    </w:p>
    <w:p>
      <w:pPr>
        <w:pStyle w:val="Ticket"/>
      </w:pPr>
      <w:r>
        <w:rPr>
          <w:rFonts w:ascii="Calibri" w:hAnsi="Calibri"/>
          <w:b/>
          <w:color w:val="1C8C84"/>
          <w:sz w:val="19"/>
        </w:rPr>
        <w:t xml:space="preserve">ITAA-012  </w:t>
      </w:r>
      <w:r>
        <w:rPr>
          <w:rFonts w:ascii="Calibri" w:hAnsi="Calibri"/>
          <w:b/>
          <w:color w:val="17212B"/>
          <w:sz w:val="19"/>
        </w:rPr>
        <w:t xml:space="preserve">CI baseline — </w:t>
      </w:r>
      <w:r>
        <w:t>Run format, lint, type check, unit tests, contract validation, dependency/secret scan.</w:t>
      </w:r>
      <w:r>
        <w:rPr>
          <w:rFonts w:ascii="Calibri" w:hAnsi="Calibri"/>
          <w:color w:val="5B6875"/>
          <w:sz w:val="17"/>
        </w:rPr>
        <w:t xml:space="preserve">  Acceptance: CI config exists and passes on clean scaffold.  Dependency: ITAA-010</w:t>
      </w:r>
    </w:p>
    <w:p>
      <w:pPr>
        <w:pStyle w:val="Ticket"/>
      </w:pPr>
      <w:r>
        <w:rPr>
          <w:rFonts w:ascii="Calibri" w:hAnsi="Calibri"/>
          <w:b/>
          <w:color w:val="1C8C84"/>
          <w:sz w:val="19"/>
        </w:rPr>
        <w:t xml:space="preserve">ITAA-013  </w:t>
      </w:r>
      <w:r>
        <w:rPr>
          <w:rFonts w:ascii="Calibri" w:hAnsi="Calibri"/>
          <w:b/>
          <w:color w:val="17212B"/>
          <w:sz w:val="19"/>
        </w:rPr>
        <w:t xml:space="preserve">Quality configuration — </w:t>
      </w:r>
      <w:r>
        <w:t>Enable strict typing, coverage reporting, warnings-as-errors for tests, and test markers.</w:t>
      </w:r>
      <w:r>
        <w:rPr>
          <w:rFonts w:ascii="Calibri" w:hAnsi="Calibri"/>
          <w:color w:val="5B6875"/>
          <w:sz w:val="17"/>
        </w:rPr>
        <w:t xml:space="preserve">  Acceptance: Intentional failing test blocks CI.  Dependency: ITAA-012</w:t>
      </w:r>
    </w:p>
    <w:p>
      <w:pPr>
        <w:pStyle w:val="Heading2"/>
      </w:pPr>
      <w:r>
        <w:t>5.3 WP-02 — Canonical contracts</w:t>
      </w:r>
    </w:p>
    <w:p>
      <w:pPr>
        <w:pStyle w:val="Ticket"/>
      </w:pPr>
      <w:r>
        <w:rPr>
          <w:rFonts w:ascii="Calibri" w:hAnsi="Calibri"/>
          <w:b/>
          <w:color w:val="1C8C84"/>
          <w:sz w:val="19"/>
        </w:rPr>
        <w:t xml:space="preserve">ITAA-020  </w:t>
      </w:r>
      <w:r>
        <w:rPr>
          <w:rFonts w:ascii="Calibri" w:hAnsi="Calibri"/>
          <w:b/>
          <w:color w:val="17212B"/>
          <w:sz w:val="19"/>
        </w:rPr>
        <w:t xml:space="preserve">Contract conventions — </w:t>
      </w:r>
      <w:r>
        <w:t>Implement version/id/time/money rules and schema registry.</w:t>
      </w:r>
      <w:r>
        <w:rPr>
          <w:rFonts w:ascii="Calibri" w:hAnsi="Calibri"/>
          <w:color w:val="5B6875"/>
          <w:sz w:val="17"/>
        </w:rPr>
        <w:t xml:space="preserve">  Acceptance: UTC, integer minor units, opaque IDs, schema versions enforced.  Dependency: ITAA-010</w:t>
      </w:r>
    </w:p>
    <w:p>
      <w:pPr>
        <w:pStyle w:val="Ticket"/>
      </w:pPr>
      <w:r>
        <w:rPr>
          <w:rFonts w:ascii="Calibri" w:hAnsi="Calibri"/>
          <w:b/>
          <w:color w:val="1C8C84"/>
          <w:sz w:val="19"/>
        </w:rPr>
        <w:t xml:space="preserve">ITAA-021  </w:t>
      </w:r>
      <w:r>
        <w:rPr>
          <w:rFonts w:ascii="Calibri" w:hAnsi="Calibri"/>
          <w:b/>
          <w:color w:val="17212B"/>
          <w:sz w:val="19"/>
        </w:rPr>
        <w:t xml:space="preserve">Purchase Intent schema — </w:t>
      </w:r>
      <w:r>
        <w:t>Implement canonical minimized PurchaseIntent and disclosure metadata.</w:t>
      </w:r>
      <w:r>
        <w:rPr>
          <w:rFonts w:ascii="Calibri" w:hAnsi="Calibri"/>
          <w:color w:val="5B6875"/>
          <w:sz w:val="17"/>
        </w:rPr>
        <w:t xml:space="preserve">  Acceptance: Valid fixture passes; direct identifiers/raw context fixture fails.  Dependency: ITAA-020</w:t>
      </w:r>
    </w:p>
    <w:p>
      <w:pPr>
        <w:pStyle w:val="Ticket"/>
      </w:pPr>
      <w:r>
        <w:rPr>
          <w:rFonts w:ascii="Calibri" w:hAnsi="Calibri"/>
          <w:b/>
          <w:color w:val="1C8C84"/>
          <w:sz w:val="19"/>
        </w:rPr>
        <w:t xml:space="preserve">ITAA-022  </w:t>
      </w:r>
      <w:r>
        <w:rPr>
          <w:rFonts w:ascii="Calibri" w:hAnsi="Calibri"/>
          <w:b/>
          <w:color w:val="17212B"/>
          <w:sz w:val="19"/>
        </w:rPr>
        <w:t xml:space="preserve">Offer family schemas — </w:t>
      </w:r>
      <w:r>
        <w:t>Implement Offer and CounterOffer with multidimensional terms, evidence, validity, simulation, and signature fields.</w:t>
      </w:r>
      <w:r>
        <w:rPr>
          <w:rFonts w:ascii="Calibri" w:hAnsi="Calibri"/>
          <w:color w:val="5B6875"/>
          <w:sz w:val="17"/>
        </w:rPr>
        <w:t xml:space="preserve">  Acceptance: Valid and invalid fixtures cover money totals, expiry, currency, parent version.  Dependency: ITAA-020</w:t>
      </w:r>
    </w:p>
    <w:p>
      <w:pPr>
        <w:pStyle w:val="Ticket"/>
      </w:pPr>
      <w:r>
        <w:rPr>
          <w:rFonts w:ascii="Calibri" w:hAnsi="Calibri"/>
          <w:b/>
          <w:color w:val="1C8C84"/>
          <w:sz w:val="19"/>
        </w:rPr>
        <w:t xml:space="preserve">ITAA-023  </w:t>
      </w:r>
      <w:r>
        <w:rPr>
          <w:rFonts w:ascii="Calibri" w:hAnsi="Calibri"/>
          <w:b/>
          <w:color w:val="17212B"/>
          <w:sz w:val="19"/>
        </w:rPr>
        <w:t xml:space="preserve">Acceptance/authorization schemas — </w:t>
      </w:r>
      <w:r>
        <w:t>Implement Acceptance and TransactionAuthorization with hashes, approval IDs, mode and idempotency.</w:t>
      </w:r>
      <w:r>
        <w:rPr>
          <w:rFonts w:ascii="Calibri" w:hAnsi="Calibri"/>
          <w:color w:val="5B6875"/>
          <w:sz w:val="17"/>
        </w:rPr>
        <w:t xml:space="preserve">  Acceptance: Non-SIMULATED mode is rejected by MVP profile.  Dependency: ITAA-020</w:t>
      </w:r>
    </w:p>
    <w:p>
      <w:pPr>
        <w:pStyle w:val="Ticket"/>
      </w:pPr>
      <w:r>
        <w:rPr>
          <w:rFonts w:ascii="Calibri" w:hAnsi="Calibri"/>
          <w:b/>
          <w:color w:val="1C8C84"/>
          <w:sz w:val="19"/>
        </w:rPr>
        <w:t xml:space="preserve">ITAA-024  </w:t>
      </w:r>
      <w:r>
        <w:rPr>
          <w:rFonts w:ascii="Calibri" w:hAnsi="Calibri"/>
          <w:b/>
          <w:color w:val="17212B"/>
          <w:sz w:val="19"/>
        </w:rPr>
        <w:t xml:space="preserve">Generate language types — </w:t>
      </w:r>
      <w:r>
        <w:t>Generate or validate Python and TypeScript representations without duplicating hand-maintained semantics.</w:t>
      </w:r>
      <w:r>
        <w:rPr>
          <w:rFonts w:ascii="Calibri" w:hAnsi="Calibri"/>
          <w:color w:val="5B6875"/>
          <w:sz w:val="17"/>
        </w:rPr>
        <w:t xml:space="preserve">  Acceptance: Drift check fails when generated output differs.  Dependency: ITAA-021/22/23</w:t>
      </w:r>
    </w:p>
    <w:p>
      <w:pPr>
        <w:pStyle w:val="Heading2"/>
      </w:pPr>
      <w:r>
        <w:t>5.4 WP-03 — Domain and state machines</w:t>
      </w:r>
    </w:p>
    <w:p>
      <w:pPr>
        <w:pStyle w:val="Ticket"/>
      </w:pPr>
      <w:r>
        <w:rPr>
          <w:rFonts w:ascii="Calibri" w:hAnsi="Calibri"/>
          <w:b/>
          <w:color w:val="1C8C84"/>
          <w:sz w:val="19"/>
        </w:rPr>
        <w:t xml:space="preserve">ITAA-030  </w:t>
      </w:r>
      <w:r>
        <w:rPr>
          <w:rFonts w:ascii="Calibri" w:hAnsi="Calibri"/>
          <w:b/>
          <w:color w:val="17212B"/>
          <w:sz w:val="19"/>
        </w:rPr>
        <w:t xml:space="preserve">Value objects — </w:t>
      </w:r>
      <w:r>
        <w:t>Implement Money, TimeWindow, Version, PayloadHash, opaque identifiers, AirportCode.</w:t>
      </w:r>
      <w:r>
        <w:rPr>
          <w:rFonts w:ascii="Calibri" w:hAnsi="Calibri"/>
          <w:color w:val="5B6875"/>
          <w:sz w:val="17"/>
        </w:rPr>
        <w:t xml:space="preserve">  Acceptance: Unit/property tests cover invalid values and equality/serialization.  Dependency: ITAA-024</w:t>
      </w:r>
    </w:p>
    <w:p>
      <w:pPr>
        <w:pStyle w:val="Ticket"/>
      </w:pPr>
      <w:r>
        <w:rPr>
          <w:rFonts w:ascii="Calibri" w:hAnsi="Calibri"/>
          <w:b/>
          <w:color w:val="1C8C84"/>
          <w:sz w:val="19"/>
        </w:rPr>
        <w:t xml:space="preserve">ITAA-031  </w:t>
      </w:r>
      <w:r>
        <w:rPr>
          <w:rFonts w:ascii="Calibri" w:hAnsi="Calibri"/>
          <w:b/>
          <w:color w:val="17212B"/>
          <w:sz w:val="19"/>
        </w:rPr>
        <w:t xml:space="preserve">Core aggregates — </w:t>
      </w:r>
      <w:r>
        <w:t>Implement Requirement, PurchaseIntent, Offer, Acceptance, AuthorizationReceipt.</w:t>
      </w:r>
      <w:r>
        <w:rPr>
          <w:rFonts w:ascii="Calibri" w:hAnsi="Calibri"/>
          <w:color w:val="5B6875"/>
          <w:sz w:val="17"/>
        </w:rPr>
        <w:t xml:space="preserve">  Acceptance: Aggregates reject invariant violations before persistence.  Dependency: ITAA-030</w:t>
      </w:r>
    </w:p>
    <w:p>
      <w:pPr>
        <w:pStyle w:val="Ticket"/>
      </w:pPr>
      <w:r>
        <w:rPr>
          <w:rFonts w:ascii="Calibri" w:hAnsi="Calibri"/>
          <w:b/>
          <w:color w:val="1C8C84"/>
          <w:sz w:val="19"/>
        </w:rPr>
        <w:t xml:space="preserve">ITAA-032  </w:t>
      </w:r>
      <w:r>
        <w:rPr>
          <w:rFonts w:ascii="Calibri" w:hAnsi="Calibri"/>
          <w:b/>
          <w:color w:val="17212B"/>
          <w:sz w:val="19"/>
        </w:rPr>
        <w:t xml:space="preserve">Purchase Intent state machine — </w:t>
      </w:r>
      <w:r>
        <w:t>Implement all allowed transitions and reasoned invalid-transition errors.</w:t>
      </w:r>
      <w:r>
        <w:rPr>
          <w:rFonts w:ascii="Calibri" w:hAnsi="Calibri"/>
          <w:color w:val="5B6875"/>
          <w:sz w:val="17"/>
        </w:rPr>
        <w:t xml:space="preserve">  Acceptance: Transition matrix test is exhaustive.  Dependency: ITAA-031</w:t>
      </w:r>
    </w:p>
    <w:p>
      <w:pPr>
        <w:pStyle w:val="Ticket"/>
      </w:pPr>
      <w:r>
        <w:rPr>
          <w:rFonts w:ascii="Calibri" w:hAnsi="Calibri"/>
          <w:b/>
          <w:color w:val="1C8C84"/>
          <w:sz w:val="19"/>
        </w:rPr>
        <w:t xml:space="preserve">ITAA-033  </w:t>
      </w:r>
      <w:r>
        <w:rPr>
          <w:rFonts w:ascii="Calibri" w:hAnsi="Calibri"/>
          <w:b/>
          <w:color w:val="17212B"/>
          <w:sz w:val="19"/>
        </w:rPr>
        <w:t xml:space="preserve">Offer/transaction state machines — </w:t>
      </w:r>
      <w:r>
        <w:t>Implement invitation-through-acceptance and simulated authorization flow.</w:t>
      </w:r>
      <w:r>
        <w:rPr>
          <w:rFonts w:ascii="Calibri" w:hAnsi="Calibri"/>
          <w:color w:val="5B6875"/>
          <w:sz w:val="17"/>
        </w:rPr>
        <w:t xml:space="preserve">  Acceptance: Expiry, decline, rejection, duplicate and wrong-version tests pass.  Dependency: ITAA-031</w:t>
      </w:r>
    </w:p>
    <w:p>
      <w:pPr>
        <w:pStyle w:val="Ticket"/>
      </w:pPr>
      <w:r>
        <w:rPr>
          <w:rFonts w:ascii="Calibri" w:hAnsi="Calibri"/>
          <w:b/>
          <w:color w:val="1C8C84"/>
          <w:sz w:val="19"/>
        </w:rPr>
        <w:t xml:space="preserve">ITAA-034  </w:t>
      </w:r>
      <w:r>
        <w:rPr>
          <w:rFonts w:ascii="Calibri" w:hAnsi="Calibri"/>
          <w:b/>
          <w:color w:val="17212B"/>
          <w:sz w:val="19"/>
        </w:rPr>
        <w:t xml:space="preserve">Domain events — </w:t>
      </w:r>
      <w:r>
        <w:t>Emit typed events for every accepted transition.</w:t>
      </w:r>
      <w:r>
        <w:rPr>
          <w:rFonts w:ascii="Calibri" w:hAnsi="Calibri"/>
          <w:color w:val="5B6875"/>
          <w:sz w:val="17"/>
        </w:rPr>
        <w:t xml:space="preserve">  Acceptance: Event contains resource/version/time/actor; no raw context.  Dependency: ITAA-032/33</w:t>
      </w:r>
    </w:p>
    <w:p>
      <w:pPr>
        <w:pStyle w:val="Heading2"/>
      </w:pPr>
      <w:r>
        <w:t>5.5 WP-04 — Policy, approvals, isolation, idempotency</w:t>
      </w:r>
    </w:p>
    <w:p>
      <w:pPr>
        <w:pStyle w:val="Ticket"/>
      </w:pPr>
      <w:r>
        <w:rPr>
          <w:rFonts w:ascii="Calibri" w:hAnsi="Calibri"/>
          <w:b/>
          <w:color w:val="1C8C84"/>
          <w:sz w:val="19"/>
        </w:rPr>
        <w:t xml:space="preserve">ITAA-040  </w:t>
      </w:r>
      <w:r>
        <w:rPr>
          <w:rFonts w:ascii="Calibri" w:hAnsi="Calibri"/>
          <w:b/>
          <w:color w:val="17212B"/>
          <w:sz w:val="19"/>
        </w:rPr>
        <w:t xml:space="preserve">Disclosure profile — </w:t>
      </w:r>
      <w:r>
        <w:t>Allowlist parking fields and deterministically deny identity, raw text, payment, full itinerary, and free text.</w:t>
      </w:r>
      <w:r>
        <w:rPr>
          <w:rFonts w:ascii="Calibri" w:hAnsi="Calibri"/>
          <w:color w:val="5B6875"/>
          <w:sz w:val="17"/>
        </w:rPr>
        <w:t xml:space="preserve">  Acceptance: Snapshot tests show only approved schema fields.  Dependency: ITAA-031</w:t>
      </w:r>
    </w:p>
    <w:p>
      <w:pPr>
        <w:pStyle w:val="Ticket"/>
      </w:pPr>
      <w:r>
        <w:rPr>
          <w:rFonts w:ascii="Calibri" w:hAnsi="Calibri"/>
          <w:b/>
          <w:color w:val="1C8C84"/>
          <w:sz w:val="19"/>
        </w:rPr>
        <w:t xml:space="preserve">ITAA-041  </w:t>
      </w:r>
      <w:r>
        <w:rPr>
          <w:rFonts w:ascii="Calibri" w:hAnsi="Calibri"/>
          <w:b/>
          <w:color w:val="17212B"/>
          <w:sz w:val="19"/>
        </w:rPr>
        <w:t xml:space="preserve">Preview and hash binding — </w:t>
      </w:r>
      <w:r>
        <w:t>Serialize canonically, produce sent/withheld preview, and bind approval to hash/version/purpose/expiry/recipient count.</w:t>
      </w:r>
      <w:r>
        <w:rPr>
          <w:rFonts w:ascii="Calibri" w:hAnsi="Calibri"/>
          <w:color w:val="5B6875"/>
          <w:sz w:val="17"/>
        </w:rPr>
        <w:t xml:space="preserve">  Acceptance: Any material change invalidates approval.  Dependency: ITAA-040</w:t>
      </w:r>
    </w:p>
    <w:p>
      <w:pPr>
        <w:pStyle w:val="Ticket"/>
      </w:pPr>
      <w:r>
        <w:rPr>
          <w:rFonts w:ascii="Calibri" w:hAnsi="Calibri"/>
          <w:b/>
          <w:color w:val="1C8C84"/>
          <w:sz w:val="19"/>
        </w:rPr>
        <w:t xml:space="preserve">ITAA-042  </w:t>
      </w:r>
      <w:r>
        <w:rPr>
          <w:rFonts w:ascii="Calibri" w:hAnsi="Calibri"/>
          <w:b/>
          <w:color w:val="17212B"/>
          <w:sz w:val="19"/>
        </w:rPr>
        <w:t xml:space="preserve">Supplier scope primitive — </w:t>
      </w:r>
      <w:r>
        <w:t>Create supplier-specific opaque envelope/token and authorization predicate.</w:t>
      </w:r>
      <w:r>
        <w:rPr>
          <w:rFonts w:ascii="Calibri" w:hAnsi="Calibri"/>
          <w:color w:val="5B6875"/>
          <w:sz w:val="17"/>
        </w:rPr>
        <w:t xml:space="preserve">  Acceptance: Cross-supplier read/write matrix is denied.  Dependency: ITAA-040</w:t>
      </w:r>
    </w:p>
    <w:p>
      <w:pPr>
        <w:pStyle w:val="Ticket"/>
      </w:pPr>
      <w:r>
        <w:rPr>
          <w:rFonts w:ascii="Calibri" w:hAnsi="Calibri"/>
          <w:b/>
          <w:color w:val="1C8C84"/>
          <w:sz w:val="19"/>
        </w:rPr>
        <w:t xml:space="preserve">ITAA-043  </w:t>
      </w:r>
      <w:r>
        <w:rPr>
          <w:rFonts w:ascii="Calibri" w:hAnsi="Calibri"/>
          <w:b/>
          <w:color w:val="17212B"/>
          <w:sz w:val="19"/>
        </w:rPr>
        <w:t xml:space="preserve">Approval service — </w:t>
      </w:r>
      <w:r>
        <w:t>Implement A1–A4 typed approvals with preconditions and expiry.</w:t>
      </w:r>
      <w:r>
        <w:rPr>
          <w:rFonts w:ascii="Calibri" w:hAnsi="Calibri"/>
          <w:color w:val="5B6875"/>
          <w:sz w:val="17"/>
        </w:rPr>
        <w:t xml:space="preserve">  Acceptance: Intent approval cannot satisfy transaction approval.  Dependency: ITAA-041</w:t>
      </w:r>
    </w:p>
    <w:p>
      <w:pPr>
        <w:pStyle w:val="Ticket"/>
      </w:pPr>
      <w:r>
        <w:rPr>
          <w:rFonts w:ascii="Calibri" w:hAnsi="Calibri"/>
          <w:b/>
          <w:color w:val="1C8C84"/>
          <w:sz w:val="19"/>
        </w:rPr>
        <w:t xml:space="preserve">ITAA-044  </w:t>
      </w:r>
      <w:r>
        <w:rPr>
          <w:rFonts w:ascii="Calibri" w:hAnsi="Calibri"/>
          <w:b/>
          <w:color w:val="17212B"/>
          <w:sz w:val="19"/>
        </w:rPr>
        <w:t xml:space="preserve">Idempotency service — </w:t>
      </w:r>
      <w:r>
        <w:t>Bind actor/key to request hash and stored response.</w:t>
      </w:r>
      <w:r>
        <w:rPr>
          <w:rFonts w:ascii="Calibri" w:hAnsi="Calibri"/>
          <w:color w:val="5B6875"/>
          <w:sz w:val="17"/>
        </w:rPr>
        <w:t xml:space="preserve">  Acceptance: Same request returns same result; changed request with same key conflicts.  Dependency: ITAA-031</w:t>
      </w:r>
    </w:p>
    <w:p>
      <w:pPr>
        <w:pStyle w:val="Ticket"/>
      </w:pPr>
      <w:r>
        <w:rPr>
          <w:rFonts w:ascii="Calibri" w:hAnsi="Calibri"/>
          <w:b/>
          <w:color w:val="1C8C84"/>
          <w:sz w:val="19"/>
        </w:rPr>
        <w:t xml:space="preserve">ITAA-045  </w:t>
      </w:r>
      <w:r>
        <w:rPr>
          <w:rFonts w:ascii="Calibri" w:hAnsi="Calibri"/>
          <w:b/>
          <w:color w:val="17212B"/>
          <w:sz w:val="19"/>
        </w:rPr>
        <w:t xml:space="preserve">Audit append contract — </w:t>
      </w:r>
      <w:r>
        <w:t>Record policy and transition decisions with redaction-safe fields.</w:t>
      </w:r>
      <w:r>
        <w:rPr>
          <w:rFonts w:ascii="Calibri" w:hAnsi="Calibri"/>
          <w:color w:val="5B6875"/>
          <w:sz w:val="17"/>
        </w:rPr>
        <w:t xml:space="preserve">  Acceptance: Every G0 transition has correlated audit evidence; raw source absent.  Dependency: ITAA-034/41/43/44</w:t>
      </w:r>
    </w:p>
    <w:p>
      <w:r>
        <w:br w:type="page"/>
      </w:r>
    </w:p>
    <w:p>
      <w:pPr>
        <w:pStyle w:val="Heading1"/>
      </w:pPr>
      <w:r>
        <w:t>6. Gate G0 acceptance plan</w:t>
      </w:r>
    </w:p>
    <w:p>
      <w:pPr>
        <w:pStyle w:val="Heading2"/>
      </w:pPr>
      <w:r>
        <w:t>6.1 Acceptance scenario</w:t>
      </w:r>
    </w:p>
    <w:p>
      <w:pPr>
        <w:pStyle w:val="ListNumber"/>
      </w:pPr>
      <w:r>
        <w:t>Create a confirmed JFK parking requirement for a standard vehicle and a five-day service window.</w:t>
      </w:r>
    </w:p>
    <w:p>
      <w:pPr>
        <w:pStyle w:val="ListNumber"/>
      </w:pPr>
      <w:r>
        <w:t>Generate a disclosure preview. Verify identity, raw source, payment data, and detailed itinerary are withheld.</w:t>
      </w:r>
    </w:p>
    <w:p>
      <w:pPr>
        <w:pStyle w:val="ListNumber"/>
      </w:pPr>
      <w:r>
        <w:t>Approve the exact Purchase Intent payload hash and create three distinct supplier envelopes.</w:t>
      </w:r>
    </w:p>
    <w:p>
      <w:pPr>
        <w:pStyle w:val="ListNumber"/>
      </w:pPr>
      <w:r>
        <w:t>Execute three deterministic supplier fixtures in isolated contexts and validate multidimensional offers.</w:t>
      </w:r>
    </w:p>
    <w:p>
      <w:pPr>
        <w:pStyle w:val="ListNumber"/>
      </w:pPr>
      <w:r>
        <w:t>Apply deterministic eligibility and ranking; capture score breakdown and recommendation facts.</w:t>
      </w:r>
    </w:p>
    <w:p>
      <w:pPr>
        <w:pStyle w:val="ListNumber"/>
      </w:pPr>
      <w:r>
        <w:t>Accept one unexpired version; create a distinct transaction approval; authorize SIMULATED action twice with the same idempotency key.</w:t>
      </w:r>
    </w:p>
    <w:p>
      <w:pPr>
        <w:pStyle w:val="ListNumber"/>
      </w:pPr>
      <w:r>
        <w:t>Verify one receipt, complete audit linkage, and no cross-supplier or raw-context access.</w:t>
      </w:r>
    </w:p>
    <w:p>
      <w:pPr>
        <w:pStyle w:val="Heading2"/>
      </w:pPr>
      <w:r>
        <w:t>6.2 Required evidence</w:t>
      </w:r>
    </w:p>
    <w:tbl>
      <w:tblPr>
        <w:tblStyle w:val="TableGrid"/>
        <w:tblW w:type="auto" w:w="0"/>
        <w:jc w:val="center"/>
        <w:tblLayout w:type="fixed"/>
        <w:tblLook w:firstColumn="1" w:firstRow="1" w:lastColumn="0" w:lastRow="0" w:noHBand="0" w:noVBand="1" w:val="04A0"/>
        <w:tblW w:w="9360" w:type="dxa"/>
        <w:tblInd w:w="120" w:type="dxa"/>
      </w:tblPr>
      <w:tblGrid>
        <w:gridCol w:w="2376"/>
        <w:gridCol w:w="6984"/>
      </w:tblGrid>
      <w:tr>
        <w:trPr>
          <w:tblHeader w:val="true"/>
          <w:cantSplit/>
        </w:trPr>
        <w:tc>
          <w:tcPr>
            <w:tcW w:type="dxa" w:w="2376"/>
            <w:tcMar>
              <w:top w:w="90" w:type="dxa"/>
              <w:start w:w="120" w:type="dxa"/>
              <w:bottom w:w="90" w:type="dxa"/>
              <w:end w:w="120" w:type="dxa"/>
            </w:tcMar>
            <w:shd w:fill="17324D"/>
            <w:vAlign w:val="center"/>
          </w:tcPr>
          <w:p>
            <w:pPr>
              <w:spacing w:after="0"/>
            </w:pPr>
            <w:r>
              <w:rPr>
                <w:rFonts w:ascii="Calibri" w:hAnsi="Calibri"/>
                <w:b/>
                <w:color w:val="FFFFFF"/>
                <w:sz w:val="16"/>
              </w:rPr>
              <w:t>Evidence</w:t>
            </w:r>
          </w:p>
        </w:tc>
        <w:tc>
          <w:tcPr>
            <w:tcW w:type="dxa" w:w="6984"/>
            <w:tcMar>
              <w:top w:w="90" w:type="dxa"/>
              <w:start w:w="120" w:type="dxa"/>
              <w:bottom w:w="90" w:type="dxa"/>
              <w:end w:w="120" w:type="dxa"/>
            </w:tcMar>
            <w:shd w:fill="17324D"/>
            <w:vAlign w:val="center"/>
          </w:tcPr>
          <w:p>
            <w:pPr>
              <w:spacing w:after="0"/>
            </w:pPr>
            <w:r>
              <w:rPr>
                <w:rFonts w:ascii="Calibri" w:hAnsi="Calibri"/>
                <w:b/>
                <w:color w:val="FFFFFF"/>
                <w:sz w:val="16"/>
              </w:rPr>
              <w:t>Pass condition</w:t>
            </w:r>
          </w:p>
        </w:tc>
      </w:tr>
      <w:tr>
        <w:trPr>
          <w:cantSplit/>
        </w:trPr>
        <w:tc>
          <w:tcPr>
            <w:tcW w:type="dxa" w:w="2376"/>
            <w:tcMar>
              <w:top w:w="90" w:type="dxa"/>
              <w:start w:w="120" w:type="dxa"/>
              <w:bottom w:w="90" w:type="dxa"/>
              <w:end w:w="120" w:type="dxa"/>
            </w:tcMar>
            <w:vAlign w:val="center"/>
          </w:tcPr>
          <w:p>
            <w:pPr>
              <w:spacing w:after="0"/>
            </w:pPr>
            <w:r>
              <w:rPr>
                <w:rFonts w:ascii="Calibri" w:hAnsi="Calibri"/>
                <w:color w:val="17212B"/>
                <w:sz w:val="16"/>
              </w:rPr>
              <w:t>Repository tree</w:t>
            </w:r>
          </w:p>
        </w:tc>
        <w:tc>
          <w:tcPr>
            <w:tcW w:type="dxa" w:w="6984"/>
            <w:tcMar>
              <w:top w:w="90" w:type="dxa"/>
              <w:start w:w="120" w:type="dxa"/>
              <w:bottom w:w="90" w:type="dxa"/>
              <w:end w:w="120" w:type="dxa"/>
            </w:tcMar>
            <w:vAlign w:val="center"/>
          </w:tcPr>
          <w:p>
            <w:pPr>
              <w:spacing w:after="0"/>
            </w:pPr>
            <w:r>
              <w:rPr>
                <w:rFonts w:ascii="Calibri" w:hAnsi="Calibri"/>
                <w:color w:val="17212B"/>
                <w:sz w:val="16"/>
              </w:rPr>
              <w:t>Matches approved boundaries; no provider SDK import in domain/application/policy/ranking</w:t>
            </w:r>
          </w:p>
        </w:tc>
      </w:tr>
      <w:tr>
        <w:trPr>
          <w:cantSplit/>
        </w:trPr>
        <w:tc>
          <w:tcPr>
            <w:tcW w:type="dxa" w:w="2376"/>
            <w:tcMar>
              <w:top w:w="90" w:type="dxa"/>
              <w:start w:w="120" w:type="dxa"/>
              <w:bottom w:w="90" w:type="dxa"/>
              <w:end w:w="120" w:type="dxa"/>
            </w:tcMar>
            <w:vAlign w:val="center"/>
            <w:shd w:fill="F8FAFB"/>
          </w:tcPr>
          <w:p>
            <w:pPr>
              <w:spacing w:after="0"/>
            </w:pPr>
            <w:r>
              <w:rPr>
                <w:rFonts w:ascii="Calibri" w:hAnsi="Calibri"/>
                <w:color w:val="17212B"/>
                <w:sz w:val="16"/>
              </w:rPr>
              <w:t>Contract report</w:t>
            </w:r>
          </w:p>
        </w:tc>
        <w:tc>
          <w:tcPr>
            <w:tcW w:type="dxa" w:w="6984"/>
            <w:tcMar>
              <w:top w:w="90" w:type="dxa"/>
              <w:start w:w="120" w:type="dxa"/>
              <w:bottom w:w="90" w:type="dxa"/>
              <w:end w:w="120" w:type="dxa"/>
            </w:tcMar>
            <w:vAlign w:val="center"/>
            <w:shd w:fill="F8FAFB"/>
          </w:tcPr>
          <w:p>
            <w:pPr>
              <w:spacing w:after="0"/>
            </w:pPr>
            <w:r>
              <w:rPr>
                <w:rFonts w:ascii="Calibri" w:hAnsi="Calibri"/>
                <w:color w:val="17212B"/>
                <w:sz w:val="16"/>
              </w:rPr>
              <w:t>All canonical schemas and valid/invalid fixtures pass</w:t>
            </w:r>
          </w:p>
        </w:tc>
      </w:tr>
      <w:tr>
        <w:trPr>
          <w:cantSplit/>
        </w:trPr>
        <w:tc>
          <w:tcPr>
            <w:tcW w:type="dxa" w:w="2376"/>
            <w:tcMar>
              <w:top w:w="90" w:type="dxa"/>
              <w:start w:w="120" w:type="dxa"/>
              <w:bottom w:w="90" w:type="dxa"/>
              <w:end w:w="120" w:type="dxa"/>
            </w:tcMar>
            <w:vAlign w:val="center"/>
          </w:tcPr>
          <w:p>
            <w:pPr>
              <w:spacing w:after="0"/>
            </w:pPr>
            <w:r>
              <w:rPr>
                <w:rFonts w:ascii="Calibri" w:hAnsi="Calibri"/>
                <w:color w:val="17212B"/>
                <w:sz w:val="16"/>
              </w:rPr>
              <w:t>Transition matrix</w:t>
            </w:r>
          </w:p>
        </w:tc>
        <w:tc>
          <w:tcPr>
            <w:tcW w:type="dxa" w:w="6984"/>
            <w:tcMar>
              <w:top w:w="90" w:type="dxa"/>
              <w:start w:w="120" w:type="dxa"/>
              <w:bottom w:w="90" w:type="dxa"/>
              <w:end w:w="120" w:type="dxa"/>
            </w:tcMar>
            <w:vAlign w:val="center"/>
          </w:tcPr>
          <w:p>
            <w:pPr>
              <w:spacing w:after="0"/>
            </w:pPr>
            <w:r>
              <w:rPr>
                <w:rFonts w:ascii="Calibri" w:hAnsi="Calibri"/>
                <w:color w:val="17212B"/>
                <w:sz w:val="16"/>
              </w:rPr>
              <w:t>All allowed/forbidden state transitions covered</w:t>
            </w:r>
          </w:p>
        </w:tc>
      </w:tr>
      <w:tr>
        <w:trPr>
          <w:cantSplit/>
        </w:trPr>
        <w:tc>
          <w:tcPr>
            <w:tcW w:type="dxa" w:w="2376"/>
            <w:tcMar>
              <w:top w:w="90" w:type="dxa"/>
              <w:start w:w="120" w:type="dxa"/>
              <w:bottom w:w="90" w:type="dxa"/>
              <w:end w:w="120" w:type="dxa"/>
            </w:tcMar>
            <w:vAlign w:val="center"/>
            <w:shd w:fill="F8FAFB"/>
          </w:tcPr>
          <w:p>
            <w:pPr>
              <w:spacing w:after="0"/>
            </w:pPr>
            <w:r>
              <w:rPr>
                <w:rFonts w:ascii="Calibri" w:hAnsi="Calibri"/>
                <w:color w:val="17212B"/>
                <w:sz w:val="16"/>
              </w:rPr>
              <w:t>Privacy snapshot</w:t>
            </w:r>
          </w:p>
        </w:tc>
        <w:tc>
          <w:tcPr>
            <w:tcW w:type="dxa" w:w="6984"/>
            <w:tcMar>
              <w:top w:w="90" w:type="dxa"/>
              <w:start w:w="120" w:type="dxa"/>
              <w:bottom w:w="90" w:type="dxa"/>
              <w:end w:w="120" w:type="dxa"/>
            </w:tcMar>
            <w:vAlign w:val="center"/>
            <w:shd w:fill="F8FAFB"/>
          </w:tcPr>
          <w:p>
            <w:pPr>
              <w:spacing w:after="0"/>
            </w:pPr>
            <w:r>
              <w:rPr>
                <w:rFonts w:ascii="Calibri" w:hAnsi="Calibri"/>
                <w:color w:val="17212B"/>
                <w:sz w:val="16"/>
              </w:rPr>
              <w:t>Purchase Intent contains only allowed fields; preview lists sent and withheld</w:t>
            </w:r>
          </w:p>
        </w:tc>
      </w:tr>
      <w:tr>
        <w:trPr>
          <w:cantSplit/>
        </w:trPr>
        <w:tc>
          <w:tcPr>
            <w:tcW w:type="dxa" w:w="2376"/>
            <w:tcMar>
              <w:top w:w="90" w:type="dxa"/>
              <w:start w:w="120" w:type="dxa"/>
              <w:bottom w:w="90" w:type="dxa"/>
              <w:end w:w="120" w:type="dxa"/>
            </w:tcMar>
            <w:vAlign w:val="center"/>
          </w:tcPr>
          <w:p>
            <w:pPr>
              <w:spacing w:after="0"/>
            </w:pPr>
            <w:r>
              <w:rPr>
                <w:rFonts w:ascii="Calibri" w:hAnsi="Calibri"/>
                <w:color w:val="17212B"/>
                <w:sz w:val="16"/>
              </w:rPr>
              <w:t>Isolation matrix</w:t>
            </w:r>
          </w:p>
        </w:tc>
        <w:tc>
          <w:tcPr>
            <w:tcW w:type="dxa" w:w="6984"/>
            <w:tcMar>
              <w:top w:w="90" w:type="dxa"/>
              <w:start w:w="120" w:type="dxa"/>
              <w:bottom w:w="90" w:type="dxa"/>
              <w:end w:w="120" w:type="dxa"/>
            </w:tcMar>
            <w:vAlign w:val="center"/>
          </w:tcPr>
          <w:p>
            <w:pPr>
              <w:spacing w:after="0"/>
            </w:pPr>
            <w:r>
              <w:rPr>
                <w:rFonts w:ascii="Calibri" w:hAnsi="Calibri"/>
                <w:color w:val="17212B"/>
                <w:sz w:val="16"/>
              </w:rPr>
              <w:t>Every unauthorized cross-supplier operation denied</w:t>
            </w:r>
          </w:p>
        </w:tc>
      </w:tr>
      <w:tr>
        <w:trPr>
          <w:cantSplit/>
        </w:trPr>
        <w:tc>
          <w:tcPr>
            <w:tcW w:type="dxa" w:w="2376"/>
            <w:tcMar>
              <w:top w:w="90" w:type="dxa"/>
              <w:start w:w="120" w:type="dxa"/>
              <w:bottom w:w="90" w:type="dxa"/>
              <w:end w:w="120" w:type="dxa"/>
            </w:tcMar>
            <w:vAlign w:val="center"/>
            <w:shd w:fill="F8FAFB"/>
          </w:tcPr>
          <w:p>
            <w:pPr>
              <w:spacing w:after="0"/>
            </w:pPr>
            <w:r>
              <w:rPr>
                <w:rFonts w:ascii="Calibri" w:hAnsi="Calibri"/>
                <w:color w:val="17212B"/>
                <w:sz w:val="16"/>
              </w:rPr>
              <w:t>Ranking vector</w:t>
            </w:r>
          </w:p>
        </w:tc>
        <w:tc>
          <w:tcPr>
            <w:tcW w:type="dxa" w:w="6984"/>
            <w:tcMar>
              <w:top w:w="90" w:type="dxa"/>
              <w:start w:w="120" w:type="dxa"/>
              <w:bottom w:w="90" w:type="dxa"/>
              <w:end w:w="120" w:type="dxa"/>
            </w:tcMar>
            <w:vAlign w:val="center"/>
            <w:shd w:fill="F8FAFB"/>
          </w:tcPr>
          <w:p>
            <w:pPr>
              <w:spacing w:after="0"/>
            </w:pPr>
            <w:r>
              <w:rPr>
                <w:rFonts w:ascii="Calibri" w:hAnsi="Calibri"/>
                <w:color w:val="17212B"/>
                <w:sz w:val="16"/>
              </w:rPr>
              <w:t>Known offers produce exact expected scores/tie-break</w:t>
            </w:r>
          </w:p>
        </w:tc>
      </w:tr>
      <w:tr>
        <w:trPr>
          <w:cantSplit/>
        </w:trPr>
        <w:tc>
          <w:tcPr>
            <w:tcW w:type="dxa" w:w="2376"/>
            <w:tcMar>
              <w:top w:w="90" w:type="dxa"/>
              <w:start w:w="120" w:type="dxa"/>
              <w:bottom w:w="90" w:type="dxa"/>
              <w:end w:w="120" w:type="dxa"/>
            </w:tcMar>
            <w:vAlign w:val="center"/>
          </w:tcPr>
          <w:p>
            <w:pPr>
              <w:spacing w:after="0"/>
            </w:pPr>
            <w:r>
              <w:rPr>
                <w:rFonts w:ascii="Calibri" w:hAnsi="Calibri"/>
                <w:color w:val="17212B"/>
                <w:sz w:val="16"/>
              </w:rPr>
              <w:t>Approval replay</w:t>
            </w:r>
          </w:p>
        </w:tc>
        <w:tc>
          <w:tcPr>
            <w:tcW w:type="dxa" w:w="6984"/>
            <w:tcMar>
              <w:top w:w="90" w:type="dxa"/>
              <w:start w:w="120" w:type="dxa"/>
              <w:bottom w:w="90" w:type="dxa"/>
              <w:end w:w="120" w:type="dxa"/>
            </w:tcMar>
            <w:vAlign w:val="center"/>
          </w:tcPr>
          <w:p>
            <w:pPr>
              <w:spacing w:after="0"/>
            </w:pPr>
            <w:r>
              <w:rPr>
                <w:rFonts w:ascii="Calibri" w:hAnsi="Calibri"/>
                <w:color w:val="17212B"/>
                <w:sz w:val="16"/>
              </w:rPr>
              <w:t>Changed hash/version/expired approval rejected</w:t>
            </w:r>
          </w:p>
        </w:tc>
      </w:tr>
      <w:tr>
        <w:trPr>
          <w:cantSplit/>
        </w:trPr>
        <w:tc>
          <w:tcPr>
            <w:tcW w:type="dxa" w:w="2376"/>
            <w:tcMar>
              <w:top w:w="90" w:type="dxa"/>
              <w:start w:w="120" w:type="dxa"/>
              <w:bottom w:w="90" w:type="dxa"/>
              <w:end w:w="120" w:type="dxa"/>
            </w:tcMar>
            <w:vAlign w:val="center"/>
            <w:shd w:fill="F8FAFB"/>
          </w:tcPr>
          <w:p>
            <w:pPr>
              <w:spacing w:after="0"/>
            </w:pPr>
            <w:r>
              <w:rPr>
                <w:rFonts w:ascii="Calibri" w:hAnsi="Calibri"/>
                <w:color w:val="17212B"/>
                <w:sz w:val="16"/>
              </w:rPr>
              <w:t>Idempotency run</w:t>
            </w:r>
          </w:p>
        </w:tc>
        <w:tc>
          <w:tcPr>
            <w:tcW w:type="dxa" w:w="6984"/>
            <w:tcMar>
              <w:top w:w="90" w:type="dxa"/>
              <w:start w:w="120" w:type="dxa"/>
              <w:bottom w:w="90" w:type="dxa"/>
              <w:end w:w="120" w:type="dxa"/>
            </w:tcMar>
            <w:vAlign w:val="center"/>
            <w:shd w:fill="F8FAFB"/>
          </w:tcPr>
          <w:p>
            <w:pPr>
              <w:spacing w:after="0"/>
            </w:pPr>
            <w:r>
              <w:rPr>
                <w:rFonts w:ascii="Calibri" w:hAnsi="Calibri"/>
                <w:color w:val="17212B"/>
                <w:sz w:val="16"/>
              </w:rPr>
              <w:t>Repeated authorization returns the same single receipt</w:t>
            </w:r>
          </w:p>
        </w:tc>
      </w:tr>
      <w:tr>
        <w:trPr>
          <w:cantSplit/>
        </w:trPr>
        <w:tc>
          <w:tcPr>
            <w:tcW w:type="dxa" w:w="2376"/>
            <w:tcMar>
              <w:top w:w="90" w:type="dxa"/>
              <w:start w:w="120" w:type="dxa"/>
              <w:bottom w:w="90" w:type="dxa"/>
              <w:end w:w="120" w:type="dxa"/>
            </w:tcMar>
            <w:vAlign w:val="center"/>
          </w:tcPr>
          <w:p>
            <w:pPr>
              <w:spacing w:after="0"/>
            </w:pPr>
            <w:r>
              <w:rPr>
                <w:rFonts w:ascii="Calibri" w:hAnsi="Calibri"/>
                <w:color w:val="17212B"/>
                <w:sz w:val="16"/>
              </w:rPr>
              <w:t>Audit trace</w:t>
            </w:r>
          </w:p>
        </w:tc>
        <w:tc>
          <w:tcPr>
            <w:tcW w:type="dxa" w:w="6984"/>
            <w:tcMar>
              <w:top w:w="90" w:type="dxa"/>
              <w:start w:w="120" w:type="dxa"/>
              <w:bottom w:w="90" w:type="dxa"/>
              <w:end w:w="120" w:type="dxa"/>
            </w:tcMar>
            <w:vAlign w:val="center"/>
          </w:tcPr>
          <w:p>
            <w:pPr>
              <w:spacing w:after="0"/>
            </w:pPr>
            <w:r>
              <w:rPr>
                <w:rFonts w:ascii="Calibri" w:hAnsi="Calibri"/>
                <w:color w:val="17212B"/>
                <w:sz w:val="16"/>
              </w:rPr>
              <w:t>All transitions correlated; sensitive data absent</w:t>
            </w:r>
          </w:p>
        </w:tc>
      </w:tr>
      <w:tr>
        <w:trPr>
          <w:cantSplit/>
        </w:trPr>
        <w:tc>
          <w:tcPr>
            <w:tcW w:type="dxa" w:w="2376"/>
            <w:tcMar>
              <w:top w:w="90" w:type="dxa"/>
              <w:start w:w="120" w:type="dxa"/>
              <w:bottom w:w="90" w:type="dxa"/>
              <w:end w:w="120" w:type="dxa"/>
            </w:tcMar>
            <w:vAlign w:val="center"/>
            <w:shd w:fill="F8FAFB"/>
          </w:tcPr>
          <w:p>
            <w:pPr>
              <w:spacing w:after="0"/>
            </w:pPr>
            <w:r>
              <w:rPr>
                <w:rFonts w:ascii="Calibri" w:hAnsi="Calibri"/>
                <w:color w:val="17212B"/>
                <w:sz w:val="16"/>
              </w:rPr>
              <w:t>CI run</w:t>
            </w:r>
          </w:p>
        </w:tc>
        <w:tc>
          <w:tcPr>
            <w:tcW w:type="dxa" w:w="6984"/>
            <w:tcMar>
              <w:top w:w="90" w:type="dxa"/>
              <w:start w:w="120" w:type="dxa"/>
              <w:bottom w:w="90" w:type="dxa"/>
              <w:end w:w="120" w:type="dxa"/>
            </w:tcMar>
            <w:vAlign w:val="center"/>
            <w:shd w:fill="F8FAFB"/>
          </w:tcPr>
          <w:p>
            <w:pPr>
              <w:spacing w:after="0"/>
            </w:pPr>
            <w:r>
              <w:rPr>
                <w:rFonts w:ascii="Calibri" w:hAnsi="Calibri"/>
                <w:color w:val="17212B"/>
                <w:sz w:val="16"/>
              </w:rPr>
              <w:t>Format, lint, type, unit, contract, security and coverage checks pass</w:t>
            </w:r>
          </w:p>
        </w:tc>
      </w:tr>
    </w:tbl>
    <w:p>
      <w:pPr>
        <w:spacing w:after="20"/>
      </w:pPr>
    </w:p>
    <w:p>
      <w:pPr>
        <w:pStyle w:val="Heading2"/>
      </w:pPr>
      <w:r>
        <w:t>6.3 G0 exit criteria</w:t>
      </w:r>
    </w:p>
    <w:p>
      <w:pPr>
        <w:pStyle w:val="ListBullet"/>
      </w:pPr>
      <w:r>
        <w:t>All ITAA-010 through ITAA-045 acceptance criteria pass or an explicitly deferred optional ticket is approved by Codex PM.</w:t>
      </w:r>
    </w:p>
    <w:p>
      <w:pPr>
        <w:pStyle w:val="ListBullet"/>
      </w:pPr>
      <w:r>
        <w:t>No critical/high security or privacy finding; no unresolved architecture-boundary violation.</w:t>
      </w:r>
    </w:p>
    <w:p>
      <w:pPr>
        <w:pStyle w:val="ListBullet"/>
      </w:pPr>
      <w:r>
        <w:t>The local scenario is reproducible from a fresh clone using documented commands.</w:t>
      </w:r>
    </w:p>
    <w:p>
      <w:pPr>
        <w:pStyle w:val="ListBullet"/>
      </w:pPr>
      <w:r>
        <w:t>Cursor completion report includes changed files, decisions, commands/results, limitations, and a requirements trace.</w:t>
      </w:r>
    </w:p>
    <w:p>
      <w:pPr>
        <w:pStyle w:val="ListBullet"/>
      </w:pPr>
      <w:r>
        <w:t>Codex PM issues ACCEPTED; Product Owner approves the milestone.</w:t>
      </w:r>
    </w:p>
    <w:p>
      <w:pPr>
        <w:pStyle w:val="Heading1"/>
      </w:pPr>
      <w:r>
        <w:t>7. Definition of Ready and Definition of Done</w:t>
      </w:r>
    </w:p>
    <w:p>
      <w:pPr>
        <w:pStyle w:val="Heading2"/>
      </w:pPr>
      <w:r>
        <w:t>7.1 Definition of Ready</w:t>
      </w:r>
    </w:p>
    <w:tbl>
      <w:tblPr>
        <w:tblStyle w:val="TableGrid"/>
        <w:tblW w:type="auto" w:w="0"/>
        <w:jc w:val="center"/>
        <w:tblLayout w:type="fixed"/>
        <w:tblLook w:firstColumn="1" w:firstRow="1" w:lastColumn="0" w:lastRow="0" w:noHBand="0" w:noVBand="1" w:val="04A0"/>
        <w:tblW w:w="9360" w:type="dxa"/>
        <w:tblInd w:w="120" w:type="dxa"/>
      </w:tblPr>
      <w:tblGrid>
        <w:gridCol w:w="4896"/>
        <w:gridCol w:w="4464"/>
      </w:tblGrid>
      <w:tr>
        <w:trPr>
          <w:tblHeader w:val="true"/>
          <w:cantSplit/>
        </w:trPr>
        <w:tc>
          <w:tcPr>
            <w:tcW w:type="dxa" w:w="4896"/>
            <w:tcMar>
              <w:top w:w="90" w:type="dxa"/>
              <w:start w:w="120" w:type="dxa"/>
              <w:bottom w:w="90" w:type="dxa"/>
              <w:end w:w="120" w:type="dxa"/>
            </w:tcMar>
            <w:shd w:fill="17324D"/>
            <w:vAlign w:val="center"/>
          </w:tcPr>
          <w:p>
            <w:pPr>
              <w:spacing w:after="0"/>
            </w:pPr>
            <w:r>
              <w:rPr>
                <w:rFonts w:ascii="Calibri" w:hAnsi="Calibri"/>
                <w:b/>
                <w:color w:val="FFFFFF"/>
                <w:sz w:val="16"/>
              </w:rPr>
              <w:t>A work package is ready when</w:t>
            </w:r>
          </w:p>
        </w:tc>
        <w:tc>
          <w:tcPr>
            <w:tcW w:type="dxa" w:w="4464"/>
            <w:tcMar>
              <w:top w:w="90" w:type="dxa"/>
              <w:start w:w="120" w:type="dxa"/>
              <w:bottom w:w="90" w:type="dxa"/>
              <w:end w:w="120" w:type="dxa"/>
            </w:tcMar>
            <w:shd w:fill="17324D"/>
            <w:vAlign w:val="center"/>
          </w:tcPr>
          <w:p>
            <w:pPr>
              <w:spacing w:after="0"/>
            </w:pPr>
            <w:r>
              <w:rPr>
                <w:rFonts w:ascii="Calibri" w:hAnsi="Calibri"/>
                <w:b/>
                <w:color w:val="FFFFFF"/>
                <w:sz w:val="16"/>
              </w:rPr>
              <w:t>Evidence</w:t>
            </w:r>
          </w:p>
        </w:tc>
      </w:tr>
      <w:tr>
        <w:trPr>
          <w:cantSplit/>
        </w:trPr>
        <w:tc>
          <w:tcPr>
            <w:tcW w:type="dxa" w:w="4896"/>
            <w:tcMar>
              <w:top w:w="90" w:type="dxa"/>
              <w:start w:w="120" w:type="dxa"/>
              <w:bottom w:w="90" w:type="dxa"/>
              <w:end w:w="120" w:type="dxa"/>
            </w:tcMar>
            <w:vAlign w:val="center"/>
          </w:tcPr>
          <w:p>
            <w:pPr>
              <w:spacing w:after="0"/>
            </w:pPr>
            <w:r>
              <w:rPr>
                <w:rFonts w:ascii="Calibri" w:hAnsi="Calibri"/>
                <w:color w:val="17212B"/>
                <w:sz w:val="16"/>
              </w:rPr>
              <w:t>Objective and user/system outcome are unambiguous</w:t>
            </w:r>
          </w:p>
        </w:tc>
        <w:tc>
          <w:tcPr>
            <w:tcW w:type="dxa" w:w="4464"/>
            <w:tcMar>
              <w:top w:w="90" w:type="dxa"/>
              <w:start w:w="120" w:type="dxa"/>
              <w:bottom w:w="90" w:type="dxa"/>
              <w:end w:w="120" w:type="dxa"/>
            </w:tcMar>
            <w:vAlign w:val="center"/>
          </w:tcPr>
          <w:p>
            <w:pPr>
              <w:spacing w:after="0"/>
            </w:pPr>
            <w:r>
              <w:rPr>
                <w:rFonts w:ascii="Calibri" w:hAnsi="Calibri"/>
                <w:color w:val="17212B"/>
                <w:sz w:val="16"/>
              </w:rPr>
              <w:t>One-sentence outcome</w:t>
            </w:r>
          </w:p>
        </w:tc>
      </w:tr>
      <w:tr>
        <w:trPr>
          <w:cantSplit/>
        </w:trPr>
        <w:tc>
          <w:tcPr>
            <w:tcW w:type="dxa" w:w="4896"/>
            <w:tcMar>
              <w:top w:w="90" w:type="dxa"/>
              <w:start w:w="120" w:type="dxa"/>
              <w:bottom w:w="90" w:type="dxa"/>
              <w:end w:w="120" w:type="dxa"/>
            </w:tcMar>
            <w:vAlign w:val="center"/>
            <w:shd w:fill="F8FAFB"/>
          </w:tcPr>
          <w:p>
            <w:pPr>
              <w:spacing w:after="0"/>
            </w:pPr>
            <w:r>
              <w:rPr>
                <w:rFonts w:ascii="Calibri" w:hAnsi="Calibri"/>
                <w:color w:val="17212B"/>
                <w:sz w:val="16"/>
              </w:rPr>
              <w:t>Normative specification sections and requirement IDs are named</w:t>
            </w:r>
          </w:p>
        </w:tc>
        <w:tc>
          <w:tcPr>
            <w:tcW w:type="dxa" w:w="4464"/>
            <w:tcMar>
              <w:top w:w="90" w:type="dxa"/>
              <w:start w:w="120" w:type="dxa"/>
              <w:bottom w:w="90" w:type="dxa"/>
              <w:end w:w="120" w:type="dxa"/>
            </w:tcMar>
            <w:vAlign w:val="center"/>
            <w:shd w:fill="F8FAFB"/>
          </w:tcPr>
          <w:p>
            <w:pPr>
              <w:spacing w:after="0"/>
            </w:pPr>
            <w:r>
              <w:rPr>
                <w:rFonts w:ascii="Calibri" w:hAnsi="Calibri"/>
                <w:color w:val="17212B"/>
                <w:sz w:val="16"/>
              </w:rPr>
              <w:t>Trace list</w:t>
            </w:r>
          </w:p>
        </w:tc>
      </w:tr>
      <w:tr>
        <w:trPr>
          <w:cantSplit/>
        </w:trPr>
        <w:tc>
          <w:tcPr>
            <w:tcW w:type="dxa" w:w="4896"/>
            <w:tcMar>
              <w:top w:w="90" w:type="dxa"/>
              <w:start w:w="120" w:type="dxa"/>
              <w:bottom w:w="90" w:type="dxa"/>
              <w:end w:w="120" w:type="dxa"/>
            </w:tcMar>
            <w:vAlign w:val="center"/>
          </w:tcPr>
          <w:p>
            <w:pPr>
              <w:spacing w:after="0"/>
            </w:pPr>
            <w:r>
              <w:rPr>
                <w:rFonts w:ascii="Calibri" w:hAnsi="Calibri"/>
                <w:color w:val="17212B"/>
                <w:sz w:val="16"/>
              </w:rPr>
              <w:t>Inputs, outputs, modules, dependencies and non-goals are explicit</w:t>
            </w:r>
          </w:p>
        </w:tc>
        <w:tc>
          <w:tcPr>
            <w:tcW w:type="dxa" w:w="4464"/>
            <w:tcMar>
              <w:top w:w="90" w:type="dxa"/>
              <w:start w:w="120" w:type="dxa"/>
              <w:bottom w:w="90" w:type="dxa"/>
              <w:end w:w="120" w:type="dxa"/>
            </w:tcMar>
            <w:vAlign w:val="center"/>
          </w:tcPr>
          <w:p>
            <w:pPr>
              <w:spacing w:after="0"/>
            </w:pPr>
            <w:r>
              <w:rPr>
                <w:rFonts w:ascii="Calibri" w:hAnsi="Calibri"/>
                <w:color w:val="17212B"/>
                <w:sz w:val="16"/>
              </w:rPr>
              <w:t>Package boundary</w:t>
            </w:r>
          </w:p>
        </w:tc>
      </w:tr>
      <w:tr>
        <w:trPr>
          <w:cantSplit/>
        </w:trPr>
        <w:tc>
          <w:tcPr>
            <w:tcW w:type="dxa" w:w="4896"/>
            <w:tcMar>
              <w:top w:w="90" w:type="dxa"/>
              <w:start w:w="120" w:type="dxa"/>
              <w:bottom w:w="90" w:type="dxa"/>
              <w:end w:w="120" w:type="dxa"/>
            </w:tcMar>
            <w:vAlign w:val="center"/>
            <w:shd w:fill="F8FAFB"/>
          </w:tcPr>
          <w:p>
            <w:pPr>
              <w:spacing w:after="0"/>
            </w:pPr>
            <w:r>
              <w:rPr>
                <w:rFonts w:ascii="Calibri" w:hAnsi="Calibri"/>
                <w:color w:val="17212B"/>
                <w:sz w:val="16"/>
              </w:rPr>
              <w:t>Acceptance criteria are observable and testable</w:t>
            </w:r>
          </w:p>
        </w:tc>
        <w:tc>
          <w:tcPr>
            <w:tcW w:type="dxa" w:w="4464"/>
            <w:tcMar>
              <w:top w:w="90" w:type="dxa"/>
              <w:start w:w="120" w:type="dxa"/>
              <w:bottom w:w="90" w:type="dxa"/>
              <w:end w:w="120" w:type="dxa"/>
            </w:tcMar>
            <w:vAlign w:val="center"/>
            <w:shd w:fill="F8FAFB"/>
          </w:tcPr>
          <w:p>
            <w:pPr>
              <w:spacing w:after="0"/>
            </w:pPr>
            <w:r>
              <w:rPr>
                <w:rFonts w:ascii="Calibri" w:hAnsi="Calibri"/>
                <w:color w:val="17212B"/>
                <w:sz w:val="16"/>
              </w:rPr>
              <w:t>Test list with pass condition</w:t>
            </w:r>
          </w:p>
        </w:tc>
      </w:tr>
      <w:tr>
        <w:trPr>
          <w:cantSplit/>
        </w:trPr>
        <w:tc>
          <w:tcPr>
            <w:tcW w:type="dxa" w:w="4896"/>
            <w:tcMar>
              <w:top w:w="90" w:type="dxa"/>
              <w:start w:w="120" w:type="dxa"/>
              <w:bottom w:w="90" w:type="dxa"/>
              <w:end w:w="120" w:type="dxa"/>
            </w:tcMar>
            <w:vAlign w:val="center"/>
          </w:tcPr>
          <w:p>
            <w:pPr>
              <w:spacing w:after="0"/>
            </w:pPr>
            <w:r>
              <w:rPr>
                <w:rFonts w:ascii="Calibri" w:hAnsi="Calibri"/>
                <w:color w:val="17212B"/>
                <w:sz w:val="16"/>
              </w:rPr>
              <w:t>Required decisions/accounts are available or mocked safely</w:t>
            </w:r>
          </w:p>
        </w:tc>
        <w:tc>
          <w:tcPr>
            <w:tcW w:type="dxa" w:w="4464"/>
            <w:tcMar>
              <w:top w:w="90" w:type="dxa"/>
              <w:start w:w="120" w:type="dxa"/>
              <w:bottom w:w="90" w:type="dxa"/>
              <w:end w:w="120" w:type="dxa"/>
            </w:tcMar>
            <w:vAlign w:val="center"/>
          </w:tcPr>
          <w:p>
            <w:pPr>
              <w:spacing w:after="0"/>
            </w:pPr>
            <w:r>
              <w:rPr>
                <w:rFonts w:ascii="Calibri" w:hAnsi="Calibri"/>
                <w:color w:val="17212B"/>
                <w:sz w:val="16"/>
              </w:rPr>
              <w:t>Readiness check</w:t>
            </w:r>
          </w:p>
        </w:tc>
      </w:tr>
      <w:tr>
        <w:trPr>
          <w:cantSplit/>
        </w:trPr>
        <w:tc>
          <w:tcPr>
            <w:tcW w:type="dxa" w:w="4896"/>
            <w:tcMar>
              <w:top w:w="90" w:type="dxa"/>
              <w:start w:w="120" w:type="dxa"/>
              <w:bottom w:w="90" w:type="dxa"/>
              <w:end w:w="120" w:type="dxa"/>
            </w:tcMar>
            <w:vAlign w:val="center"/>
            <w:shd w:fill="F8FAFB"/>
          </w:tcPr>
          <w:p>
            <w:pPr>
              <w:spacing w:after="0"/>
            </w:pPr>
            <w:r>
              <w:rPr>
                <w:rFonts w:ascii="Calibri" w:hAnsi="Calibri"/>
                <w:color w:val="17212B"/>
                <w:sz w:val="16"/>
              </w:rPr>
              <w:t>Security/privacy implications are identified</w:t>
            </w:r>
          </w:p>
        </w:tc>
        <w:tc>
          <w:tcPr>
            <w:tcW w:type="dxa" w:w="4464"/>
            <w:tcMar>
              <w:top w:w="90" w:type="dxa"/>
              <w:start w:w="120" w:type="dxa"/>
              <w:bottom w:w="90" w:type="dxa"/>
              <w:end w:w="120" w:type="dxa"/>
            </w:tcMar>
            <w:vAlign w:val="center"/>
            <w:shd w:fill="F8FAFB"/>
          </w:tcPr>
          <w:p>
            <w:pPr>
              <w:spacing w:after="0"/>
            </w:pPr>
            <w:r>
              <w:rPr>
                <w:rFonts w:ascii="Calibri" w:hAnsi="Calibri"/>
                <w:color w:val="17212B"/>
                <w:sz w:val="16"/>
              </w:rPr>
              <w:t>Threat/control notes</w:t>
            </w:r>
          </w:p>
        </w:tc>
      </w:tr>
      <w:tr>
        <w:trPr>
          <w:cantSplit/>
        </w:trPr>
        <w:tc>
          <w:tcPr>
            <w:tcW w:type="dxa" w:w="4896"/>
            <w:tcMar>
              <w:top w:w="90" w:type="dxa"/>
              <w:start w:w="120" w:type="dxa"/>
              <w:bottom w:w="90" w:type="dxa"/>
              <w:end w:w="120" w:type="dxa"/>
            </w:tcMar>
            <w:vAlign w:val="center"/>
          </w:tcPr>
          <w:p>
            <w:pPr>
              <w:spacing w:after="0"/>
            </w:pPr>
            <w:r>
              <w:rPr>
                <w:rFonts w:ascii="Calibri" w:hAnsi="Calibri"/>
                <w:color w:val="17212B"/>
                <w:sz w:val="16"/>
              </w:rPr>
              <w:t>No unresolved dependency blocks implementation</w:t>
            </w:r>
          </w:p>
        </w:tc>
        <w:tc>
          <w:tcPr>
            <w:tcW w:type="dxa" w:w="4464"/>
            <w:tcMar>
              <w:top w:w="90" w:type="dxa"/>
              <w:start w:w="120" w:type="dxa"/>
              <w:bottom w:w="90" w:type="dxa"/>
              <w:end w:w="120" w:type="dxa"/>
            </w:tcMar>
            <w:vAlign w:val="center"/>
          </w:tcPr>
          <w:p>
            <w:pPr>
              <w:spacing w:after="0"/>
            </w:pPr>
            <w:r>
              <w:rPr>
                <w:rFonts w:ascii="Calibri" w:hAnsi="Calibri"/>
                <w:color w:val="17212B"/>
                <w:sz w:val="16"/>
              </w:rPr>
              <w:t>Dependency status</w:t>
            </w:r>
          </w:p>
        </w:tc>
      </w:tr>
    </w:tbl>
    <w:p>
      <w:pPr>
        <w:spacing w:after="20"/>
      </w:pPr>
    </w:p>
    <w:p>
      <w:pPr>
        <w:pStyle w:val="Heading2"/>
      </w:pPr>
      <w:r>
        <w:t>7.2 Definition of Done</w:t>
      </w:r>
    </w:p>
    <w:tbl>
      <w:tblPr>
        <w:tblStyle w:val="TableGrid"/>
        <w:tblW w:type="auto" w:w="0"/>
        <w:jc w:val="center"/>
        <w:tblLayout w:type="fixed"/>
        <w:tblLook w:firstColumn="1" w:firstRow="1" w:lastColumn="0" w:lastRow="0" w:noHBand="0" w:noVBand="1" w:val="04A0"/>
        <w:tblW w:w="9360" w:type="dxa"/>
        <w:tblInd w:w="120" w:type="dxa"/>
      </w:tblPr>
      <w:tblGrid>
        <w:gridCol w:w="2088"/>
        <w:gridCol w:w="7272"/>
      </w:tblGrid>
      <w:tr>
        <w:trPr>
          <w:tblHeader w:val="true"/>
          <w:cantSplit/>
        </w:trPr>
        <w:tc>
          <w:tcPr>
            <w:tcW w:type="dxa" w:w="2088"/>
            <w:tcMar>
              <w:top w:w="90" w:type="dxa"/>
              <w:start w:w="120" w:type="dxa"/>
              <w:bottom w:w="90" w:type="dxa"/>
              <w:end w:w="120" w:type="dxa"/>
            </w:tcMar>
            <w:shd w:fill="17324D"/>
            <w:vAlign w:val="center"/>
          </w:tcPr>
          <w:p>
            <w:pPr>
              <w:spacing w:after="0"/>
            </w:pPr>
            <w:r>
              <w:rPr>
                <w:rFonts w:ascii="Calibri" w:hAnsi="Calibri"/>
                <w:b/>
                <w:color w:val="FFFFFF"/>
                <w:sz w:val="16"/>
              </w:rPr>
              <w:t>Done condition</w:t>
            </w:r>
          </w:p>
        </w:tc>
        <w:tc>
          <w:tcPr>
            <w:tcW w:type="dxa" w:w="7272"/>
            <w:tcMar>
              <w:top w:w="90" w:type="dxa"/>
              <w:start w:w="120" w:type="dxa"/>
              <w:bottom w:w="90" w:type="dxa"/>
              <w:end w:w="120" w:type="dxa"/>
            </w:tcMar>
            <w:shd w:fill="17324D"/>
            <w:vAlign w:val="center"/>
          </w:tcPr>
          <w:p>
            <w:pPr>
              <w:spacing w:after="0"/>
            </w:pPr>
            <w:r>
              <w:rPr>
                <w:rFonts w:ascii="Calibri" w:hAnsi="Calibri"/>
                <w:b/>
                <w:color w:val="FFFFFF"/>
                <w:sz w:val="16"/>
              </w:rPr>
              <w:t>Minimum evidence</w:t>
            </w:r>
          </w:p>
        </w:tc>
      </w:tr>
      <w:tr>
        <w:trPr>
          <w:cantSplit/>
        </w:trPr>
        <w:tc>
          <w:tcPr>
            <w:tcW w:type="dxa" w:w="2088"/>
            <w:tcMar>
              <w:top w:w="90" w:type="dxa"/>
              <w:start w:w="120" w:type="dxa"/>
              <w:bottom w:w="90" w:type="dxa"/>
              <w:end w:w="120" w:type="dxa"/>
            </w:tcMar>
            <w:vAlign w:val="center"/>
          </w:tcPr>
          <w:p>
            <w:pPr>
              <w:spacing w:after="0"/>
            </w:pPr>
            <w:r>
              <w:rPr>
                <w:rFonts w:ascii="Calibri" w:hAnsi="Calibri"/>
                <w:color w:val="17212B"/>
                <w:sz w:val="16"/>
              </w:rPr>
              <w:t>Behavior</w:t>
            </w:r>
          </w:p>
        </w:tc>
        <w:tc>
          <w:tcPr>
            <w:tcW w:type="dxa" w:w="7272"/>
            <w:tcMar>
              <w:top w:w="90" w:type="dxa"/>
              <w:start w:w="120" w:type="dxa"/>
              <w:bottom w:w="90" w:type="dxa"/>
              <w:end w:w="120" w:type="dxa"/>
            </w:tcMar>
            <w:vAlign w:val="center"/>
          </w:tcPr>
          <w:p>
            <w:pPr>
              <w:spacing w:after="0"/>
            </w:pPr>
            <w:r>
              <w:rPr>
                <w:rFonts w:ascii="Calibri" w:hAnsi="Calibri"/>
                <w:color w:val="17212B"/>
                <w:sz w:val="16"/>
              </w:rPr>
              <w:t>All package acceptance criteria pass</w:t>
            </w:r>
          </w:p>
        </w:tc>
      </w:tr>
      <w:tr>
        <w:trPr>
          <w:cantSplit/>
        </w:trPr>
        <w:tc>
          <w:tcPr>
            <w:tcW w:type="dxa" w:w="2088"/>
            <w:tcMar>
              <w:top w:w="90" w:type="dxa"/>
              <w:start w:w="120" w:type="dxa"/>
              <w:bottom w:w="90" w:type="dxa"/>
              <w:end w:w="120" w:type="dxa"/>
            </w:tcMar>
            <w:vAlign w:val="center"/>
            <w:shd w:fill="F8FAFB"/>
          </w:tcPr>
          <w:p>
            <w:pPr>
              <w:spacing w:after="0"/>
            </w:pPr>
            <w:r>
              <w:rPr>
                <w:rFonts w:ascii="Calibri" w:hAnsi="Calibri"/>
                <w:color w:val="17212B"/>
                <w:sz w:val="16"/>
              </w:rPr>
              <w:t>Quality</w:t>
            </w:r>
          </w:p>
        </w:tc>
        <w:tc>
          <w:tcPr>
            <w:tcW w:type="dxa" w:w="7272"/>
            <w:tcMar>
              <w:top w:w="90" w:type="dxa"/>
              <w:start w:w="120" w:type="dxa"/>
              <w:bottom w:w="90" w:type="dxa"/>
              <w:end w:w="120" w:type="dxa"/>
            </w:tcMar>
            <w:vAlign w:val="center"/>
            <w:shd w:fill="F8FAFB"/>
          </w:tcPr>
          <w:p>
            <w:pPr>
              <w:spacing w:after="0"/>
            </w:pPr>
            <w:r>
              <w:rPr>
                <w:rFonts w:ascii="Calibri" w:hAnsi="Calibri"/>
                <w:color w:val="17212B"/>
                <w:sz w:val="16"/>
              </w:rPr>
              <w:t>Format/lint/type/unit/contract checks pass; no flaky test knowingly introduced</w:t>
            </w:r>
          </w:p>
        </w:tc>
      </w:tr>
      <w:tr>
        <w:trPr>
          <w:cantSplit/>
        </w:trPr>
        <w:tc>
          <w:tcPr>
            <w:tcW w:type="dxa" w:w="2088"/>
            <w:tcMar>
              <w:top w:w="90" w:type="dxa"/>
              <w:start w:w="120" w:type="dxa"/>
              <w:bottom w:w="90" w:type="dxa"/>
              <w:end w:w="120" w:type="dxa"/>
            </w:tcMar>
            <w:vAlign w:val="center"/>
          </w:tcPr>
          <w:p>
            <w:pPr>
              <w:spacing w:after="0"/>
            </w:pPr>
            <w:r>
              <w:rPr>
                <w:rFonts w:ascii="Calibri" w:hAnsi="Calibri"/>
                <w:color w:val="17212B"/>
                <w:sz w:val="16"/>
              </w:rPr>
              <w:t>Architecture</w:t>
            </w:r>
          </w:p>
        </w:tc>
        <w:tc>
          <w:tcPr>
            <w:tcW w:type="dxa" w:w="7272"/>
            <w:tcMar>
              <w:top w:w="90" w:type="dxa"/>
              <w:start w:w="120" w:type="dxa"/>
              <w:bottom w:w="90" w:type="dxa"/>
              <w:end w:w="120" w:type="dxa"/>
            </w:tcMar>
            <w:vAlign w:val="center"/>
          </w:tcPr>
          <w:p>
            <w:pPr>
              <w:spacing w:after="0"/>
            </w:pPr>
            <w:r>
              <w:rPr>
                <w:rFonts w:ascii="Calibri" w:hAnsi="Calibri"/>
                <w:color w:val="17212B"/>
                <w:sz w:val="16"/>
              </w:rPr>
              <w:t>Dependency rules pass; no provider leakage into core</w:t>
            </w:r>
          </w:p>
        </w:tc>
      </w:tr>
      <w:tr>
        <w:trPr>
          <w:cantSplit/>
        </w:trPr>
        <w:tc>
          <w:tcPr>
            <w:tcW w:type="dxa" w:w="2088"/>
            <w:tcMar>
              <w:top w:w="90" w:type="dxa"/>
              <w:start w:w="120" w:type="dxa"/>
              <w:bottom w:w="90" w:type="dxa"/>
              <w:end w:w="120" w:type="dxa"/>
            </w:tcMar>
            <w:vAlign w:val="center"/>
            <w:shd w:fill="F8FAFB"/>
          </w:tcPr>
          <w:p>
            <w:pPr>
              <w:spacing w:after="0"/>
            </w:pPr>
            <w:r>
              <w:rPr>
                <w:rFonts w:ascii="Calibri" w:hAnsi="Calibri"/>
                <w:color w:val="17212B"/>
                <w:sz w:val="16"/>
              </w:rPr>
              <w:t>Privacy/security</w:t>
            </w:r>
          </w:p>
        </w:tc>
        <w:tc>
          <w:tcPr>
            <w:tcW w:type="dxa" w:w="7272"/>
            <w:tcMar>
              <w:top w:w="90" w:type="dxa"/>
              <w:start w:w="120" w:type="dxa"/>
              <w:bottom w:w="90" w:type="dxa"/>
              <w:end w:w="120" w:type="dxa"/>
            </w:tcMar>
            <w:vAlign w:val="center"/>
            <w:shd w:fill="F8FAFB"/>
          </w:tcPr>
          <w:p>
            <w:pPr>
              <w:spacing w:after="0"/>
            </w:pPr>
            <w:r>
              <w:rPr>
                <w:rFonts w:ascii="Calibri" w:hAnsi="Calibri"/>
                <w:color w:val="17212B"/>
                <w:sz w:val="16"/>
              </w:rPr>
              <w:t>Relevant policy/isolation/injection/replay tests pass; secrets scan clean</w:t>
            </w:r>
          </w:p>
        </w:tc>
      </w:tr>
      <w:tr>
        <w:trPr>
          <w:cantSplit/>
        </w:trPr>
        <w:tc>
          <w:tcPr>
            <w:tcW w:type="dxa" w:w="2088"/>
            <w:tcMar>
              <w:top w:w="90" w:type="dxa"/>
              <w:start w:w="120" w:type="dxa"/>
              <w:bottom w:w="90" w:type="dxa"/>
              <w:end w:w="120" w:type="dxa"/>
            </w:tcMar>
            <w:vAlign w:val="center"/>
          </w:tcPr>
          <w:p>
            <w:pPr>
              <w:spacing w:after="0"/>
            </w:pPr>
            <w:r>
              <w:rPr>
                <w:rFonts w:ascii="Calibri" w:hAnsi="Calibri"/>
                <w:color w:val="17212B"/>
                <w:sz w:val="16"/>
              </w:rPr>
              <w:t>Reliability</w:t>
            </w:r>
          </w:p>
        </w:tc>
        <w:tc>
          <w:tcPr>
            <w:tcW w:type="dxa" w:w="7272"/>
            <w:tcMar>
              <w:top w:w="90" w:type="dxa"/>
              <w:start w:w="120" w:type="dxa"/>
              <w:bottom w:w="90" w:type="dxa"/>
              <w:end w:w="120" w:type="dxa"/>
            </w:tcMar>
            <w:vAlign w:val="center"/>
          </w:tcPr>
          <w:p>
            <w:pPr>
              <w:spacing w:after="0"/>
            </w:pPr>
            <w:r>
              <w:rPr>
                <w:rFonts w:ascii="Calibri" w:hAnsi="Calibri"/>
                <w:color w:val="17212B"/>
                <w:sz w:val="16"/>
              </w:rPr>
              <w:t>Timeout, error, retry, idempotency and invalid-state behavior covered as applicable</w:t>
            </w:r>
          </w:p>
        </w:tc>
      </w:tr>
      <w:tr>
        <w:trPr>
          <w:cantSplit/>
        </w:trPr>
        <w:tc>
          <w:tcPr>
            <w:tcW w:type="dxa" w:w="2088"/>
            <w:tcMar>
              <w:top w:w="90" w:type="dxa"/>
              <w:start w:w="120" w:type="dxa"/>
              <w:bottom w:w="90" w:type="dxa"/>
              <w:end w:w="120" w:type="dxa"/>
            </w:tcMar>
            <w:vAlign w:val="center"/>
            <w:shd w:fill="F8FAFB"/>
          </w:tcPr>
          <w:p>
            <w:pPr>
              <w:spacing w:after="0"/>
            </w:pPr>
            <w:r>
              <w:rPr>
                <w:rFonts w:ascii="Calibri" w:hAnsi="Calibri"/>
                <w:color w:val="17212B"/>
                <w:sz w:val="16"/>
              </w:rPr>
              <w:t>Observability</w:t>
            </w:r>
          </w:p>
        </w:tc>
        <w:tc>
          <w:tcPr>
            <w:tcW w:type="dxa" w:w="7272"/>
            <w:tcMar>
              <w:top w:w="90" w:type="dxa"/>
              <w:start w:w="120" w:type="dxa"/>
              <w:bottom w:w="90" w:type="dxa"/>
              <w:end w:w="120" w:type="dxa"/>
            </w:tcMar>
            <w:vAlign w:val="center"/>
            <w:shd w:fill="F8FAFB"/>
          </w:tcPr>
          <w:p>
            <w:pPr>
              <w:spacing w:after="0"/>
            </w:pPr>
            <w:r>
              <w:rPr>
                <w:rFonts w:ascii="Calibri" w:hAnsi="Calibri"/>
                <w:color w:val="17212B"/>
                <w:sz w:val="16"/>
              </w:rPr>
              <w:t>Meaningful events/audit/metrics added without sensitive payload logging</w:t>
            </w:r>
          </w:p>
        </w:tc>
      </w:tr>
      <w:tr>
        <w:trPr>
          <w:cantSplit/>
        </w:trPr>
        <w:tc>
          <w:tcPr>
            <w:tcW w:type="dxa" w:w="2088"/>
            <w:tcMar>
              <w:top w:w="90" w:type="dxa"/>
              <w:start w:w="120" w:type="dxa"/>
              <w:bottom w:w="90" w:type="dxa"/>
              <w:end w:w="120" w:type="dxa"/>
            </w:tcMar>
            <w:vAlign w:val="center"/>
          </w:tcPr>
          <w:p>
            <w:pPr>
              <w:spacing w:after="0"/>
            </w:pPr>
            <w:r>
              <w:rPr>
                <w:rFonts w:ascii="Calibri" w:hAnsi="Calibri"/>
                <w:color w:val="17212B"/>
                <w:sz w:val="16"/>
              </w:rPr>
              <w:t>Documentation</w:t>
            </w:r>
          </w:p>
        </w:tc>
        <w:tc>
          <w:tcPr>
            <w:tcW w:type="dxa" w:w="7272"/>
            <w:tcMar>
              <w:top w:w="90" w:type="dxa"/>
              <w:start w:w="120" w:type="dxa"/>
              <w:bottom w:w="90" w:type="dxa"/>
              <w:end w:w="120" w:type="dxa"/>
            </w:tcMar>
            <w:vAlign w:val="center"/>
          </w:tcPr>
          <w:p>
            <w:pPr>
              <w:spacing w:after="0"/>
            </w:pPr>
            <w:r>
              <w:rPr>
                <w:rFonts w:ascii="Calibri" w:hAnsi="Calibri"/>
                <w:color w:val="17212B"/>
                <w:sz w:val="16"/>
              </w:rPr>
              <w:t>README/API/ADR/runbook updated for changed behavior</w:t>
            </w:r>
          </w:p>
        </w:tc>
      </w:tr>
      <w:tr>
        <w:trPr>
          <w:cantSplit/>
        </w:trPr>
        <w:tc>
          <w:tcPr>
            <w:tcW w:type="dxa" w:w="2088"/>
            <w:tcMar>
              <w:top w:w="90" w:type="dxa"/>
              <w:start w:w="120" w:type="dxa"/>
              <w:bottom w:w="90" w:type="dxa"/>
              <w:end w:w="120" w:type="dxa"/>
            </w:tcMar>
            <w:vAlign w:val="center"/>
            <w:shd w:fill="F8FAFB"/>
          </w:tcPr>
          <w:p>
            <w:pPr>
              <w:spacing w:after="0"/>
            </w:pPr>
            <w:r>
              <w:rPr>
                <w:rFonts w:ascii="Calibri" w:hAnsi="Calibri"/>
                <w:color w:val="17212B"/>
                <w:sz w:val="16"/>
              </w:rPr>
              <w:t>Traceability</w:t>
            </w:r>
          </w:p>
        </w:tc>
        <w:tc>
          <w:tcPr>
            <w:tcW w:type="dxa" w:w="7272"/>
            <w:tcMar>
              <w:top w:w="90" w:type="dxa"/>
              <w:start w:w="120" w:type="dxa"/>
              <w:bottom w:w="90" w:type="dxa"/>
              <w:end w:w="120" w:type="dxa"/>
            </w:tcMar>
            <w:vAlign w:val="center"/>
            <w:shd w:fill="F8FAFB"/>
          </w:tcPr>
          <w:p>
            <w:pPr>
              <w:spacing w:after="0"/>
            </w:pPr>
            <w:r>
              <w:rPr>
                <w:rFonts w:ascii="Calibri" w:hAnsi="Calibri"/>
                <w:color w:val="17212B"/>
                <w:sz w:val="16"/>
              </w:rPr>
              <w:t>Requirements/tickets map to tests and changed modules</w:t>
            </w:r>
          </w:p>
        </w:tc>
      </w:tr>
      <w:tr>
        <w:trPr>
          <w:cantSplit/>
        </w:trPr>
        <w:tc>
          <w:tcPr>
            <w:tcW w:type="dxa" w:w="2088"/>
            <w:tcMar>
              <w:top w:w="90" w:type="dxa"/>
              <w:start w:w="120" w:type="dxa"/>
              <w:bottom w:w="90" w:type="dxa"/>
              <w:end w:w="120" w:type="dxa"/>
            </w:tcMar>
            <w:vAlign w:val="center"/>
          </w:tcPr>
          <w:p>
            <w:pPr>
              <w:spacing w:after="0"/>
            </w:pPr>
            <w:r>
              <w:rPr>
                <w:rFonts w:ascii="Calibri" w:hAnsi="Calibri"/>
                <w:color w:val="17212B"/>
                <w:sz w:val="16"/>
              </w:rPr>
              <w:t>Evidence</w:t>
            </w:r>
          </w:p>
        </w:tc>
        <w:tc>
          <w:tcPr>
            <w:tcW w:type="dxa" w:w="7272"/>
            <w:tcMar>
              <w:top w:w="90" w:type="dxa"/>
              <w:start w:w="120" w:type="dxa"/>
              <w:bottom w:w="90" w:type="dxa"/>
              <w:end w:w="120" w:type="dxa"/>
            </w:tcMar>
            <w:vAlign w:val="center"/>
          </w:tcPr>
          <w:p>
            <w:pPr>
              <w:spacing w:after="0"/>
            </w:pPr>
            <w:r>
              <w:rPr>
                <w:rFonts w:ascii="Calibri" w:hAnsi="Calibri"/>
                <w:color w:val="17212B"/>
                <w:sz w:val="16"/>
              </w:rPr>
              <w:t>Cursor completion report with exact commands and results</w:t>
            </w:r>
          </w:p>
        </w:tc>
      </w:tr>
      <w:tr>
        <w:trPr>
          <w:cantSplit/>
        </w:trPr>
        <w:tc>
          <w:tcPr>
            <w:tcW w:type="dxa" w:w="2088"/>
            <w:tcMar>
              <w:top w:w="90" w:type="dxa"/>
              <w:start w:w="120" w:type="dxa"/>
              <w:bottom w:w="90" w:type="dxa"/>
              <w:end w:w="120" w:type="dxa"/>
            </w:tcMar>
            <w:vAlign w:val="center"/>
            <w:shd w:fill="F8FAFB"/>
          </w:tcPr>
          <w:p>
            <w:pPr>
              <w:spacing w:after="0"/>
            </w:pPr>
            <w:r>
              <w:rPr>
                <w:rFonts w:ascii="Calibri" w:hAnsi="Calibri"/>
                <w:color w:val="17212B"/>
                <w:sz w:val="16"/>
              </w:rPr>
              <w:t>Review</w:t>
            </w:r>
          </w:p>
        </w:tc>
        <w:tc>
          <w:tcPr>
            <w:tcW w:type="dxa" w:w="7272"/>
            <w:tcMar>
              <w:top w:w="90" w:type="dxa"/>
              <w:start w:w="120" w:type="dxa"/>
              <w:bottom w:w="90" w:type="dxa"/>
              <w:end w:w="120" w:type="dxa"/>
            </w:tcMar>
            <w:vAlign w:val="center"/>
            <w:shd w:fill="F8FAFB"/>
          </w:tcPr>
          <w:p>
            <w:pPr>
              <w:spacing w:after="0"/>
            </w:pPr>
            <w:r>
              <w:rPr>
                <w:rFonts w:ascii="Calibri" w:hAnsi="Calibri"/>
                <w:color w:val="17212B"/>
                <w:sz w:val="16"/>
              </w:rPr>
              <w:t>Codex PM accepts; Product Owner signs milestone when required</w:t>
            </w:r>
          </w:p>
        </w:tc>
      </w:tr>
    </w:tbl>
    <w:p>
      <w:pPr>
        <w:spacing w:after="20"/>
      </w:pPr>
    </w:p>
    <w:p>
      <w:pPr>
        <w:pStyle w:val="Heading2"/>
      </w:pPr>
      <w:r>
        <w:t>7.3 Automatic rejection conditions</w:t>
      </w:r>
    </w:p>
    <w:p>
      <w:pPr>
        <w:pStyle w:val="ListBullet"/>
      </w:pPr>
      <w:r>
        <w:t>Provider SDK/model/database imports in cloud-neutral core.</w:t>
      </w:r>
    </w:p>
    <w:p>
      <w:pPr>
        <w:pStyle w:val="ListBullet"/>
      </w:pPr>
      <w:r>
        <w:t>An LLM directly authorizes disclosure, computes final eligibility/score, changes state, or executes a transaction.</w:t>
      </w:r>
    </w:p>
    <w:p>
      <w:pPr>
        <w:pStyle w:val="ListBullet"/>
      </w:pPr>
      <w:r>
        <w:t>A supplier can access another supplier’s offer, buyer profile, stable buyer identity, or raw context.</w:t>
      </w:r>
    </w:p>
    <w:p>
      <w:pPr>
        <w:pStyle w:val="ListBullet"/>
      </w:pPr>
      <w:r>
        <w:t>Purchase Intent dispatch or authorization can occur without a valid exact approval.</w:t>
      </w:r>
    </w:p>
    <w:p>
      <w:pPr>
        <w:pStyle w:val="ListBullet"/>
      </w:pPr>
      <w:r>
        <w:t>A simulated capability is presented or named as a real purchase/reservation.</w:t>
      </w:r>
    </w:p>
    <w:p>
      <w:pPr>
        <w:pStyle w:val="ListBullet"/>
      </w:pPr>
      <w:r>
        <w:t>Tests are removed/weakened to obtain a pass without an accepted requirement change.</w:t>
      </w:r>
    </w:p>
    <w:p>
      <w:pPr>
        <w:pStyle w:val="ListBullet"/>
      </w:pPr>
      <w:r>
        <w:t>New external dependency/service or destructive migration is introduced without disclosure and approval.</w:t>
      </w:r>
    </w:p>
    <w:p>
      <w:r>
        <w:br w:type="page"/>
      </w:r>
    </w:p>
    <w:p>
      <w:pPr>
        <w:pStyle w:val="Heading1"/>
      </w:pPr>
      <w:r>
        <w:t>8. Cursor execution protocol</w:t>
      </w:r>
    </w:p>
    <w:p>
      <w:pPr>
        <w:pStyle w:val="Heading2"/>
      </w:pPr>
      <w:r>
        <w:t>8.1 Package workflow</w:t>
      </w:r>
    </w:p>
    <w:p>
      <w:pPr>
        <w:pStyle w:val="ListNumber"/>
      </w:pPr>
      <w:r>
        <w:t>Codex PM issues one bounded Cursor Work Order containing objective, references, constraints, acceptance, tests, and response format.</w:t>
      </w:r>
    </w:p>
    <w:p>
      <w:pPr>
        <w:pStyle w:val="ListNumber"/>
      </w:pPr>
      <w:r>
        <w:t>Cursor first inspects the repository and returns a concise implementation plan plus any blocking ambiguity. It must not redesign locked principles.</w:t>
      </w:r>
    </w:p>
    <w:p>
      <w:pPr>
        <w:pStyle w:val="ListNumber"/>
      </w:pPr>
      <w:r>
        <w:t>Cursor implements only the approved scope, keeping commits small and coherent.</w:t>
      </w:r>
    </w:p>
    <w:p>
      <w:pPr>
        <w:pStyle w:val="ListNumber"/>
      </w:pPr>
      <w:r>
        <w:t>Cursor runs the exact quality/test suite and fixes failures attributable to its work.</w:t>
      </w:r>
    </w:p>
    <w:p>
      <w:pPr>
        <w:pStyle w:val="ListNumber"/>
      </w:pPr>
      <w:r>
        <w:t>Cursor submits a Completion Report. The Product Owner brings the report, commit/diff, or repository state to Codex.</w:t>
      </w:r>
    </w:p>
    <w:p>
      <w:pPr>
        <w:pStyle w:val="ListNumber"/>
      </w:pPr>
      <w:r>
        <w:t>Codex reviews requirements, architecture, privacy, tests, and evidence; responds ACCEPTED, ACCEPTED WITH FOLLOW-UPS, or REWORK REQUIRED.</w:t>
      </w:r>
    </w:p>
    <w:p>
      <w:pPr>
        <w:pStyle w:val="ListNumber"/>
      </w:pPr>
      <w:r>
        <w:t>Only accepted dependencies are assumed by subsequent packages.</w:t>
      </w:r>
    </w:p>
    <w:p>
      <w:pPr>
        <w:pStyle w:val="Heading2"/>
      </w:pPr>
      <w:r>
        <w:t>8.2 Cursor authority limits</w:t>
      </w:r>
    </w:p>
    <w:tbl>
      <w:tblPr>
        <w:tblStyle w:val="TableGrid"/>
        <w:tblW w:type="auto" w:w="0"/>
        <w:jc w:val="center"/>
        <w:tblLayout w:type="fixed"/>
        <w:tblLook w:firstColumn="1" w:firstRow="1" w:lastColumn="0" w:lastRow="0" w:noHBand="0" w:noVBand="1" w:val="04A0"/>
        <w:tblW w:w="9360" w:type="dxa"/>
        <w:tblInd w:w="120" w:type="dxa"/>
      </w:tblPr>
      <w:tblGrid>
        <w:gridCol w:w="4680"/>
        <w:gridCol w:w="4680"/>
      </w:tblGrid>
      <w:tr>
        <w:trPr>
          <w:tblHeader w:val="true"/>
          <w:cantSplit/>
        </w:trPr>
        <w:tc>
          <w:tcPr>
            <w:tcW w:type="dxa" w:w="4680"/>
            <w:tcMar>
              <w:top w:w="90" w:type="dxa"/>
              <w:start w:w="120" w:type="dxa"/>
              <w:bottom w:w="90" w:type="dxa"/>
              <w:end w:w="120" w:type="dxa"/>
            </w:tcMar>
            <w:shd w:fill="17324D"/>
            <w:vAlign w:val="center"/>
          </w:tcPr>
          <w:p>
            <w:pPr>
              <w:spacing w:after="0"/>
            </w:pPr>
            <w:r>
              <w:rPr>
                <w:rFonts w:ascii="Calibri" w:hAnsi="Calibri"/>
                <w:b/>
                <w:color w:val="FFFFFF"/>
                <w:sz w:val="15"/>
              </w:rPr>
              <w:t>Cursor may</w:t>
            </w:r>
          </w:p>
        </w:tc>
        <w:tc>
          <w:tcPr>
            <w:tcW w:type="dxa" w:w="4680"/>
            <w:tcMar>
              <w:top w:w="90" w:type="dxa"/>
              <w:start w:w="120" w:type="dxa"/>
              <w:bottom w:w="90" w:type="dxa"/>
              <w:end w:w="120" w:type="dxa"/>
            </w:tcMar>
            <w:shd w:fill="17324D"/>
            <w:vAlign w:val="center"/>
          </w:tcPr>
          <w:p>
            <w:pPr>
              <w:spacing w:after="0"/>
            </w:pPr>
            <w:r>
              <w:rPr>
                <w:rFonts w:ascii="Calibri" w:hAnsi="Calibri"/>
                <w:b/>
                <w:color w:val="FFFFFF"/>
                <w:sz w:val="15"/>
              </w:rPr>
              <w:t>Cursor must not</w:t>
            </w:r>
          </w:p>
        </w:tc>
      </w:tr>
      <w:tr>
        <w:trPr>
          <w:cantSplit/>
        </w:trPr>
        <w:tc>
          <w:tcPr>
            <w:tcW w:type="dxa" w:w="4680"/>
            <w:tcMar>
              <w:top w:w="90" w:type="dxa"/>
              <w:start w:w="120" w:type="dxa"/>
              <w:bottom w:w="90" w:type="dxa"/>
              <w:end w:w="120" w:type="dxa"/>
            </w:tcMar>
            <w:vAlign w:val="center"/>
          </w:tcPr>
          <w:p>
            <w:pPr>
              <w:spacing w:after="0"/>
            </w:pPr>
            <w:r>
              <w:rPr>
                <w:rFonts w:ascii="Calibri" w:hAnsi="Calibri"/>
                <w:color w:val="17212B"/>
                <w:sz w:val="15"/>
              </w:rPr>
              <w:t>Choose local implementation patterns inside an assigned module</w:t>
            </w:r>
          </w:p>
        </w:tc>
        <w:tc>
          <w:tcPr>
            <w:tcW w:type="dxa" w:w="4680"/>
            <w:tcMar>
              <w:top w:w="90" w:type="dxa"/>
              <w:start w:w="120" w:type="dxa"/>
              <w:bottom w:w="90" w:type="dxa"/>
              <w:end w:w="120" w:type="dxa"/>
            </w:tcMar>
            <w:vAlign w:val="center"/>
          </w:tcPr>
          <w:p>
            <w:pPr>
              <w:spacing w:after="0"/>
            </w:pPr>
            <w:r>
              <w:rPr>
                <w:rFonts w:ascii="Calibri" w:hAnsi="Calibri"/>
                <w:color w:val="17212B"/>
                <w:sz w:val="15"/>
              </w:rPr>
              <w:t>Change schemas, trust boundaries, approval semantics, ranking weights, or simulation mode without an ADR/approval</w:t>
            </w:r>
          </w:p>
        </w:tc>
      </w:tr>
      <w:tr>
        <w:trPr>
          <w:cantSplit/>
        </w:trPr>
        <w:tc>
          <w:tcPr>
            <w:tcW w:type="dxa" w:w="4680"/>
            <w:tcMar>
              <w:top w:w="90" w:type="dxa"/>
              <w:start w:w="120" w:type="dxa"/>
              <w:bottom w:w="90" w:type="dxa"/>
              <w:end w:w="120" w:type="dxa"/>
            </w:tcMar>
            <w:vAlign w:val="center"/>
            <w:shd w:fill="F8FAFB"/>
          </w:tcPr>
          <w:p>
            <w:pPr>
              <w:spacing w:after="0"/>
            </w:pPr>
            <w:r>
              <w:rPr>
                <w:rFonts w:ascii="Calibri" w:hAnsi="Calibri"/>
                <w:color w:val="17212B"/>
                <w:sz w:val="15"/>
              </w:rPr>
              <w:t>Add a small well-known development dependency and disclose it</w:t>
            </w:r>
          </w:p>
        </w:tc>
        <w:tc>
          <w:tcPr>
            <w:tcW w:type="dxa" w:w="4680"/>
            <w:tcMar>
              <w:top w:w="90" w:type="dxa"/>
              <w:start w:w="120" w:type="dxa"/>
              <w:bottom w:w="90" w:type="dxa"/>
              <w:end w:w="120" w:type="dxa"/>
            </w:tcMar>
            <w:vAlign w:val="center"/>
            <w:shd w:fill="F8FAFB"/>
          </w:tcPr>
          <w:p>
            <w:pPr>
              <w:spacing w:after="0"/>
            </w:pPr>
            <w:r>
              <w:rPr>
                <w:rFonts w:ascii="Calibri" w:hAnsi="Calibri"/>
                <w:color w:val="17212B"/>
                <w:sz w:val="15"/>
              </w:rPr>
              <w:t>Add hosted services, paid dependencies, telemetry vendors, or broad frameworks silently</w:t>
            </w:r>
          </w:p>
        </w:tc>
      </w:tr>
      <w:tr>
        <w:trPr>
          <w:cantSplit/>
        </w:trPr>
        <w:tc>
          <w:tcPr>
            <w:tcW w:type="dxa" w:w="4680"/>
            <w:tcMar>
              <w:top w:w="90" w:type="dxa"/>
              <w:start w:w="120" w:type="dxa"/>
              <w:bottom w:w="90" w:type="dxa"/>
              <w:end w:w="120" w:type="dxa"/>
            </w:tcMar>
            <w:vAlign w:val="center"/>
          </w:tcPr>
          <w:p>
            <w:pPr>
              <w:spacing w:after="0"/>
            </w:pPr>
            <w:r>
              <w:rPr>
                <w:rFonts w:ascii="Calibri" w:hAnsi="Calibri"/>
                <w:color w:val="17212B"/>
                <w:sz w:val="15"/>
              </w:rPr>
              <w:t>Refactor touched code while preserving behavior/tests</w:t>
            </w:r>
          </w:p>
        </w:tc>
        <w:tc>
          <w:tcPr>
            <w:tcW w:type="dxa" w:w="4680"/>
            <w:tcMar>
              <w:top w:w="90" w:type="dxa"/>
              <w:start w:w="120" w:type="dxa"/>
              <w:bottom w:w="90" w:type="dxa"/>
              <w:end w:w="120" w:type="dxa"/>
            </w:tcMar>
            <w:vAlign w:val="center"/>
          </w:tcPr>
          <w:p>
            <w:pPr>
              <w:spacing w:after="0"/>
            </w:pPr>
            <w:r>
              <w:rPr>
                <w:rFonts w:ascii="Calibri" w:hAnsi="Calibri"/>
                <w:color w:val="17212B"/>
                <w:sz w:val="15"/>
              </w:rPr>
              <w:t>Perform unrelated rewrites or delete user work</w:t>
            </w:r>
          </w:p>
        </w:tc>
      </w:tr>
      <w:tr>
        <w:trPr>
          <w:cantSplit/>
        </w:trPr>
        <w:tc>
          <w:tcPr>
            <w:tcW w:type="dxa" w:w="4680"/>
            <w:tcMar>
              <w:top w:w="90" w:type="dxa"/>
              <w:start w:w="120" w:type="dxa"/>
              <w:bottom w:w="90" w:type="dxa"/>
              <w:end w:w="120" w:type="dxa"/>
            </w:tcMar>
            <w:vAlign w:val="center"/>
            <w:shd w:fill="F8FAFB"/>
          </w:tcPr>
          <w:p>
            <w:pPr>
              <w:spacing w:after="0"/>
            </w:pPr>
            <w:r>
              <w:rPr>
                <w:rFonts w:ascii="Calibri" w:hAnsi="Calibri"/>
                <w:color w:val="17212B"/>
                <w:sz w:val="15"/>
              </w:rPr>
              <w:t>Create tests and fixtures needed for acceptance</w:t>
            </w:r>
          </w:p>
        </w:tc>
        <w:tc>
          <w:tcPr>
            <w:tcW w:type="dxa" w:w="4680"/>
            <w:tcMar>
              <w:top w:w="90" w:type="dxa"/>
              <w:start w:w="120" w:type="dxa"/>
              <w:bottom w:w="90" w:type="dxa"/>
              <w:end w:w="120" w:type="dxa"/>
            </w:tcMar>
            <w:vAlign w:val="center"/>
            <w:shd w:fill="F8FAFB"/>
          </w:tcPr>
          <w:p>
            <w:pPr>
              <w:spacing w:after="0"/>
            </w:pPr>
            <w:r>
              <w:rPr>
                <w:rFonts w:ascii="Calibri" w:hAnsi="Calibri"/>
                <w:color w:val="17212B"/>
                <w:sz w:val="15"/>
              </w:rPr>
              <w:t>Replace meaningful tests with snapshots that only assert implementation output</w:t>
            </w:r>
          </w:p>
        </w:tc>
      </w:tr>
      <w:tr>
        <w:trPr>
          <w:cantSplit/>
        </w:trPr>
        <w:tc>
          <w:tcPr>
            <w:tcW w:type="dxa" w:w="4680"/>
            <w:tcMar>
              <w:top w:w="90" w:type="dxa"/>
              <w:start w:w="120" w:type="dxa"/>
              <w:bottom w:w="90" w:type="dxa"/>
              <w:end w:w="120" w:type="dxa"/>
            </w:tcMar>
            <w:vAlign w:val="center"/>
          </w:tcPr>
          <w:p>
            <w:pPr>
              <w:spacing w:after="0"/>
            </w:pPr>
            <w:r>
              <w:rPr>
                <w:rFonts w:ascii="Calibri" w:hAnsi="Calibri"/>
                <w:color w:val="17212B"/>
                <w:sz w:val="15"/>
              </w:rPr>
              <w:t>Propose an alternative with evidence</w:t>
            </w:r>
          </w:p>
        </w:tc>
        <w:tc>
          <w:tcPr>
            <w:tcW w:type="dxa" w:w="4680"/>
            <w:tcMar>
              <w:top w:w="90" w:type="dxa"/>
              <w:start w:w="120" w:type="dxa"/>
              <w:bottom w:w="90" w:type="dxa"/>
              <w:end w:w="120" w:type="dxa"/>
            </w:tcMar>
            <w:vAlign w:val="center"/>
          </w:tcPr>
          <w:p>
            <w:pPr>
              <w:spacing w:after="0"/>
            </w:pPr>
            <w:r>
              <w:rPr>
                <w:rFonts w:ascii="Calibri" w:hAnsi="Calibri"/>
                <w:color w:val="17212B"/>
                <w:sz w:val="15"/>
              </w:rPr>
              <w:t>Proceed through material ambiguity by inventing product requirements</w:t>
            </w:r>
          </w:p>
        </w:tc>
      </w:tr>
    </w:tbl>
    <w:p>
      <w:pPr>
        <w:spacing w:after="20"/>
      </w:pPr>
    </w:p>
    <w:p>
      <w:pPr>
        <w:pStyle w:val="Heading2"/>
      </w:pPr>
      <w:r>
        <w:t>8.3 Required Cursor Completion Report</w:t>
      </w:r>
    </w:p>
    <w:p>
      <w:pPr>
        <w:pStyle w:val="CodeBlock"/>
        <w:shd w:fill="EDF3F6"/>
        <w:keepLines/>
      </w:pPr>
      <w:r>
        <w:rPr>
          <w:rFonts w:ascii="Consolas" w:hAnsi="Consolas"/>
          <w:color w:val="17212B"/>
          <w:sz w:val="15"/>
        </w:rPr>
        <w:t>WORK PACKAGE: &lt;ID and title&gt;</w:t>
        <w:br/>
        <w:t>STATUS: complete | partial | blocked</w:t>
        <w:br/>
        <w:br/>
        <w:t>OUTCOME</w:t>
        <w:br/>
        <w:t>- What now works, in user/system terms</w:t>
        <w:br/>
        <w:br/>
        <w:t>CHANGES</w:t>
        <w:br/>
        <w:t>- Files/modules created or changed</w:t>
        <w:br/>
        <w:t>- Dependencies/configuration introduced</w:t>
        <w:br/>
        <w:t>- ADRs or schema versions affected</w:t>
        <w:br/>
        <w:br/>
        <w:t>ACCEPTANCE EVIDENCE</w:t>
        <w:br/>
        <w:t>- AC-1: PASS/FAIL — evidence</w:t>
        <w:br/>
        <w:t>- AC-2: PASS/FAIL — evidence</w:t>
        <w:br/>
        <w:br/>
        <w:t>COMMANDS RUN</w:t>
        <w:br/>
        <w:t>- &lt;exact command&gt; → &lt;result summary&gt;</w:t>
        <w:br/>
        <w:br/>
        <w:t>SECURITY / PRIVACY / ARCHITECTURE</w:t>
        <w:br/>
        <w:t>- Boundary checks, sensitive-data/logging review, known risks</w:t>
        <w:br/>
        <w:br/>
        <w:t>DECISIONS AND ASSUMPTIONS</w:t>
        <w:br/>
        <w:t>- Explicit decisions made within authority</w:t>
        <w:br/>
        <w:br/>
        <w:t>OPEN ITEMS</w:t>
        <w:br/>
        <w:t>- Limitations, debt, blockers, recommended next package</w:t>
        <w:br/>
        <w:br/>
        <w:t>TRACEABILITY</w:t>
        <w:br/>
        <w:t>- Requirement/ticket → test(s) → files</w:t>
      </w:r>
    </w:p>
    <w:p>
      <w:pPr>
        <w:pStyle w:val="Heading2"/>
      </w:pPr>
      <w:r>
        <w:t>8.4 Change-control triggers</w:t>
      </w:r>
    </w:p>
    <w:p>
      <w:r>
        <w:t>Stop and request a decision when implementation would change: a canonical schema; disclosure field; approval point; supplier visibility; transaction mode; ranking eligibility/weights; retention; provider or hosted service; competition scope; external API/account; release store; budget; milestone date; Intent-first hierarchy; conversation-versus-structured-authority boundary; persistence claims; or native-mobile toolchain. DEFINITION_GATE.md is frozen.</w:t>
      </w:r>
    </w:p>
    <w:p>
      <w:pPr>
        <w:pStyle w:val="Heading1"/>
      </w:pPr>
      <w:r>
        <w:t>9. Git, review, and evidence conventions</w:t>
      </w:r>
    </w:p>
    <w:tbl>
      <w:tblPr>
        <w:tblStyle w:val="TableGrid"/>
        <w:tblW w:type="auto" w:w="0"/>
        <w:jc w:val="center"/>
        <w:tblLayout w:type="fixed"/>
        <w:tblLook w:firstColumn="1" w:firstRow="1" w:lastColumn="0" w:lastRow="0" w:noHBand="0" w:noVBand="1" w:val="04A0"/>
        <w:tblW w:w="9360" w:type="dxa"/>
        <w:tblInd w:w="120" w:type="dxa"/>
      </w:tblPr>
      <w:tblGrid>
        <w:gridCol w:w="2088"/>
        <w:gridCol w:w="7272"/>
      </w:tblGrid>
      <w:tr>
        <w:trPr>
          <w:tblHeader w:val="true"/>
          <w:cantSplit/>
        </w:trPr>
        <w:tc>
          <w:tcPr>
            <w:tcW w:type="dxa" w:w="2088"/>
            <w:tcMar>
              <w:top w:w="90" w:type="dxa"/>
              <w:start w:w="120" w:type="dxa"/>
              <w:bottom w:w="90" w:type="dxa"/>
              <w:end w:w="120" w:type="dxa"/>
            </w:tcMar>
            <w:shd w:fill="17324D"/>
            <w:vAlign w:val="center"/>
          </w:tcPr>
          <w:p>
            <w:pPr>
              <w:spacing w:after="0"/>
            </w:pPr>
            <w:r>
              <w:rPr>
                <w:rFonts w:ascii="Calibri" w:hAnsi="Calibri"/>
                <w:b/>
                <w:color w:val="FFFFFF"/>
                <w:sz w:val="16"/>
              </w:rPr>
              <w:t>Control</w:t>
            </w:r>
          </w:p>
        </w:tc>
        <w:tc>
          <w:tcPr>
            <w:tcW w:type="dxa" w:w="7272"/>
            <w:tcMar>
              <w:top w:w="90" w:type="dxa"/>
              <w:start w:w="120" w:type="dxa"/>
              <w:bottom w:w="90" w:type="dxa"/>
              <w:end w:w="120" w:type="dxa"/>
            </w:tcMar>
            <w:shd w:fill="17324D"/>
            <w:vAlign w:val="center"/>
          </w:tcPr>
          <w:p>
            <w:pPr>
              <w:spacing w:after="0"/>
            </w:pPr>
            <w:r>
              <w:rPr>
                <w:rFonts w:ascii="Calibri" w:hAnsi="Calibri"/>
                <w:b/>
                <w:color w:val="FFFFFF"/>
                <w:sz w:val="16"/>
              </w:rPr>
              <w:t>Convention</w:t>
            </w:r>
          </w:p>
        </w:tc>
      </w:tr>
      <w:tr>
        <w:trPr>
          <w:cantSplit/>
        </w:trPr>
        <w:tc>
          <w:tcPr>
            <w:tcW w:type="dxa" w:w="2088"/>
            <w:tcMar>
              <w:top w:w="90" w:type="dxa"/>
              <w:start w:w="120" w:type="dxa"/>
              <w:bottom w:w="90" w:type="dxa"/>
              <w:end w:w="120" w:type="dxa"/>
            </w:tcMar>
            <w:vAlign w:val="center"/>
          </w:tcPr>
          <w:p>
            <w:pPr>
              <w:spacing w:after="0"/>
            </w:pPr>
            <w:r>
              <w:rPr>
                <w:rFonts w:ascii="Calibri" w:hAnsi="Calibri"/>
                <w:color w:val="17212B"/>
                <w:sz w:val="16"/>
              </w:rPr>
              <w:t>Branch</w:t>
            </w:r>
          </w:p>
        </w:tc>
        <w:tc>
          <w:tcPr>
            <w:tcW w:type="dxa" w:w="7272"/>
            <w:tcMar>
              <w:top w:w="90" w:type="dxa"/>
              <w:start w:w="120" w:type="dxa"/>
              <w:bottom w:w="90" w:type="dxa"/>
              <w:end w:w="120" w:type="dxa"/>
            </w:tcMar>
            <w:vAlign w:val="center"/>
          </w:tcPr>
          <w:p>
            <w:pPr>
              <w:spacing w:after="0"/>
            </w:pPr>
            <w:r>
              <w:rPr>
                <w:rFonts w:ascii="Calibri" w:hAnsi="Calibri"/>
                <w:color w:val="17212B"/>
                <w:sz w:val="16"/>
              </w:rPr>
              <w:t>Short-lived `feat/ITAA-###-slug`, `fix/ITAA-###-slug`, or equivalent; do not mix packages</w:t>
            </w:r>
          </w:p>
        </w:tc>
      </w:tr>
      <w:tr>
        <w:trPr>
          <w:cantSplit/>
        </w:trPr>
        <w:tc>
          <w:tcPr>
            <w:tcW w:type="dxa" w:w="2088"/>
            <w:tcMar>
              <w:top w:w="90" w:type="dxa"/>
              <w:start w:w="120" w:type="dxa"/>
              <w:bottom w:w="90" w:type="dxa"/>
              <w:end w:w="120" w:type="dxa"/>
            </w:tcMar>
            <w:vAlign w:val="center"/>
            <w:shd w:fill="F8FAFB"/>
          </w:tcPr>
          <w:p>
            <w:pPr>
              <w:spacing w:after="0"/>
            </w:pPr>
            <w:r>
              <w:rPr>
                <w:rFonts w:ascii="Calibri" w:hAnsi="Calibri"/>
                <w:color w:val="17212B"/>
                <w:sz w:val="16"/>
              </w:rPr>
              <w:t>Commit</w:t>
            </w:r>
          </w:p>
        </w:tc>
        <w:tc>
          <w:tcPr>
            <w:tcW w:type="dxa" w:w="7272"/>
            <w:tcMar>
              <w:top w:w="90" w:type="dxa"/>
              <w:start w:w="120" w:type="dxa"/>
              <w:bottom w:w="90" w:type="dxa"/>
              <w:end w:w="120" w:type="dxa"/>
            </w:tcMar>
            <w:vAlign w:val="center"/>
            <w:shd w:fill="F8FAFB"/>
          </w:tcPr>
          <w:p>
            <w:pPr>
              <w:spacing w:after="0"/>
            </w:pPr>
            <w:r>
              <w:rPr>
                <w:rFonts w:ascii="Calibri" w:hAnsi="Calibri"/>
                <w:color w:val="17212B"/>
                <w:sz w:val="16"/>
              </w:rPr>
              <w:t>Imperative summary; include ticket ID; separate mechanical formatting from behavior when practical</w:t>
            </w:r>
          </w:p>
        </w:tc>
      </w:tr>
      <w:tr>
        <w:trPr>
          <w:cantSplit/>
        </w:trPr>
        <w:tc>
          <w:tcPr>
            <w:tcW w:type="dxa" w:w="2088"/>
            <w:tcMar>
              <w:top w:w="90" w:type="dxa"/>
              <w:start w:w="120" w:type="dxa"/>
              <w:bottom w:w="90" w:type="dxa"/>
              <w:end w:w="120" w:type="dxa"/>
            </w:tcMar>
            <w:vAlign w:val="center"/>
          </w:tcPr>
          <w:p>
            <w:pPr>
              <w:spacing w:after="0"/>
            </w:pPr>
            <w:r>
              <w:rPr>
                <w:rFonts w:ascii="Calibri" w:hAnsi="Calibri"/>
                <w:color w:val="17212B"/>
                <w:sz w:val="16"/>
              </w:rPr>
              <w:t>Pull request/change set</w:t>
            </w:r>
          </w:p>
        </w:tc>
        <w:tc>
          <w:tcPr>
            <w:tcW w:type="dxa" w:w="7272"/>
            <w:tcMar>
              <w:top w:w="90" w:type="dxa"/>
              <w:start w:w="120" w:type="dxa"/>
              <w:bottom w:w="90" w:type="dxa"/>
              <w:end w:w="120" w:type="dxa"/>
            </w:tcMar>
            <w:vAlign w:val="center"/>
          </w:tcPr>
          <w:p>
            <w:pPr>
              <w:spacing w:after="0"/>
            </w:pPr>
            <w:r>
              <w:rPr>
                <w:rFonts w:ascii="Calibri" w:hAnsi="Calibri"/>
                <w:color w:val="17212B"/>
                <w:sz w:val="16"/>
              </w:rPr>
              <w:t>Outcome, scope, acceptance checklist, test output, risks, screenshots/trace only when relevant</w:t>
            </w:r>
          </w:p>
        </w:tc>
      </w:tr>
      <w:tr>
        <w:trPr>
          <w:cantSplit/>
        </w:trPr>
        <w:tc>
          <w:tcPr>
            <w:tcW w:type="dxa" w:w="2088"/>
            <w:tcMar>
              <w:top w:w="90" w:type="dxa"/>
              <w:start w:w="120" w:type="dxa"/>
              <w:bottom w:w="90" w:type="dxa"/>
              <w:end w:w="120" w:type="dxa"/>
            </w:tcMar>
            <w:vAlign w:val="center"/>
            <w:shd w:fill="F8FAFB"/>
          </w:tcPr>
          <w:p>
            <w:pPr>
              <w:spacing w:after="0"/>
            </w:pPr>
            <w:r>
              <w:rPr>
                <w:rFonts w:ascii="Calibri" w:hAnsi="Calibri"/>
                <w:color w:val="17212B"/>
                <w:sz w:val="16"/>
              </w:rPr>
              <w:t>Protected files</w:t>
            </w:r>
          </w:p>
        </w:tc>
        <w:tc>
          <w:tcPr>
            <w:tcW w:type="dxa" w:w="7272"/>
            <w:tcMar>
              <w:top w:w="90" w:type="dxa"/>
              <w:start w:w="120" w:type="dxa"/>
              <w:bottom w:w="90" w:type="dxa"/>
              <w:end w:w="120" w:type="dxa"/>
            </w:tcMar>
            <w:vAlign w:val="center"/>
            <w:shd w:fill="F8FAFB"/>
          </w:tcPr>
          <w:p>
            <w:pPr>
              <w:spacing w:after="0"/>
            </w:pPr>
            <w:r>
              <w:rPr>
                <w:rFonts w:ascii="Calibri" w:hAnsi="Calibri"/>
                <w:color w:val="17212B"/>
                <w:sz w:val="16"/>
              </w:rPr>
              <w:t>Canonical schemas, policy profiles, ranking config, ADRs, deployment/secret config require PM review</w:t>
            </w:r>
          </w:p>
        </w:tc>
      </w:tr>
      <w:tr>
        <w:trPr>
          <w:cantSplit/>
        </w:trPr>
        <w:tc>
          <w:tcPr>
            <w:tcW w:type="dxa" w:w="2088"/>
            <w:tcMar>
              <w:top w:w="90" w:type="dxa"/>
              <w:start w:w="120" w:type="dxa"/>
              <w:bottom w:w="90" w:type="dxa"/>
              <w:end w:w="120" w:type="dxa"/>
            </w:tcMar>
            <w:vAlign w:val="center"/>
          </w:tcPr>
          <w:p>
            <w:pPr>
              <w:spacing w:after="0"/>
            </w:pPr>
            <w:r>
              <w:rPr>
                <w:rFonts w:ascii="Calibri" w:hAnsi="Calibri"/>
                <w:color w:val="17212B"/>
                <w:sz w:val="16"/>
              </w:rPr>
              <w:t>Generated files</w:t>
            </w:r>
          </w:p>
        </w:tc>
        <w:tc>
          <w:tcPr>
            <w:tcW w:type="dxa" w:w="7272"/>
            <w:tcMar>
              <w:top w:w="90" w:type="dxa"/>
              <w:start w:w="120" w:type="dxa"/>
              <w:bottom w:w="90" w:type="dxa"/>
              <w:end w:w="120" w:type="dxa"/>
            </w:tcMar>
            <w:vAlign w:val="center"/>
          </w:tcPr>
          <w:p>
            <w:pPr>
              <w:spacing w:after="0"/>
            </w:pPr>
            <w:r>
              <w:rPr>
                <w:rFonts w:ascii="Calibri" w:hAnsi="Calibri"/>
                <w:color w:val="17212B"/>
                <w:sz w:val="16"/>
              </w:rPr>
              <w:t>Generation command and drift check committed; never hand-edit generated output</w:t>
            </w:r>
          </w:p>
        </w:tc>
      </w:tr>
      <w:tr>
        <w:trPr>
          <w:cantSplit/>
        </w:trPr>
        <w:tc>
          <w:tcPr>
            <w:tcW w:type="dxa" w:w="2088"/>
            <w:tcMar>
              <w:top w:w="90" w:type="dxa"/>
              <w:start w:w="120" w:type="dxa"/>
              <w:bottom w:w="90" w:type="dxa"/>
              <w:end w:w="120" w:type="dxa"/>
            </w:tcMar>
            <w:vAlign w:val="center"/>
            <w:shd w:fill="F8FAFB"/>
          </w:tcPr>
          <w:p>
            <w:pPr>
              <w:spacing w:after="0"/>
            </w:pPr>
            <w:r>
              <w:rPr>
                <w:rFonts w:ascii="Calibri" w:hAnsi="Calibri"/>
                <w:color w:val="17212B"/>
                <w:sz w:val="16"/>
              </w:rPr>
              <w:t>Fixtures</w:t>
            </w:r>
          </w:p>
        </w:tc>
        <w:tc>
          <w:tcPr>
            <w:tcW w:type="dxa" w:w="7272"/>
            <w:tcMar>
              <w:top w:w="90" w:type="dxa"/>
              <w:start w:w="120" w:type="dxa"/>
              <w:bottom w:w="90" w:type="dxa"/>
              <w:end w:w="120" w:type="dxa"/>
            </w:tcMar>
            <w:vAlign w:val="center"/>
            <w:shd w:fill="F8FAFB"/>
          </w:tcPr>
          <w:p>
            <w:pPr>
              <w:spacing w:after="0"/>
            </w:pPr>
            <w:r>
              <w:rPr>
                <w:rFonts w:ascii="Calibri" w:hAnsi="Calibri"/>
                <w:color w:val="17212B"/>
                <w:sz w:val="16"/>
              </w:rPr>
              <w:t>Deterministic, labeled synthetic data; no real personal data or secrets</w:t>
            </w:r>
          </w:p>
        </w:tc>
      </w:tr>
      <w:tr>
        <w:trPr>
          <w:cantSplit/>
        </w:trPr>
        <w:tc>
          <w:tcPr>
            <w:tcW w:type="dxa" w:w="2088"/>
            <w:tcMar>
              <w:top w:w="90" w:type="dxa"/>
              <w:start w:w="120" w:type="dxa"/>
              <w:bottom w:w="90" w:type="dxa"/>
              <w:end w:w="120" w:type="dxa"/>
            </w:tcMar>
            <w:vAlign w:val="center"/>
          </w:tcPr>
          <w:p>
            <w:pPr>
              <w:spacing w:after="0"/>
            </w:pPr>
            <w:r>
              <w:rPr>
                <w:rFonts w:ascii="Calibri" w:hAnsi="Calibri"/>
                <w:color w:val="17212B"/>
                <w:sz w:val="16"/>
              </w:rPr>
              <w:t>Secrets</w:t>
            </w:r>
          </w:p>
        </w:tc>
        <w:tc>
          <w:tcPr>
            <w:tcW w:type="dxa" w:w="7272"/>
            <w:tcMar>
              <w:top w:w="90" w:type="dxa"/>
              <w:start w:w="120" w:type="dxa"/>
              <w:bottom w:w="90" w:type="dxa"/>
              <w:end w:w="120" w:type="dxa"/>
            </w:tcMar>
            <w:vAlign w:val="center"/>
          </w:tcPr>
          <w:p>
            <w:pPr>
              <w:spacing w:after="0"/>
            </w:pPr>
            <w:r>
              <w:rPr>
                <w:rFonts w:ascii="Calibri" w:hAnsi="Calibri"/>
                <w:color w:val="17212B"/>
                <w:sz w:val="16"/>
              </w:rPr>
              <w:t>Environment names only in examples; secret scan required; revoke immediately if exposed</w:t>
            </w:r>
          </w:p>
        </w:tc>
      </w:tr>
      <w:tr>
        <w:trPr>
          <w:cantSplit/>
        </w:trPr>
        <w:tc>
          <w:tcPr>
            <w:tcW w:type="dxa" w:w="2088"/>
            <w:tcMar>
              <w:top w:w="90" w:type="dxa"/>
              <w:start w:w="120" w:type="dxa"/>
              <w:bottom w:w="90" w:type="dxa"/>
              <w:end w:w="120" w:type="dxa"/>
            </w:tcMar>
            <w:vAlign w:val="center"/>
            <w:shd w:fill="F8FAFB"/>
          </w:tcPr>
          <w:p>
            <w:pPr>
              <w:spacing w:after="0"/>
            </w:pPr>
            <w:r>
              <w:rPr>
                <w:rFonts w:ascii="Calibri" w:hAnsi="Calibri"/>
                <w:color w:val="17212B"/>
                <w:sz w:val="16"/>
              </w:rPr>
              <w:t>Evidence</w:t>
            </w:r>
          </w:p>
        </w:tc>
        <w:tc>
          <w:tcPr>
            <w:tcW w:type="dxa" w:w="7272"/>
            <w:tcMar>
              <w:top w:w="90" w:type="dxa"/>
              <w:start w:w="120" w:type="dxa"/>
              <w:bottom w:w="90" w:type="dxa"/>
              <w:end w:w="120" w:type="dxa"/>
            </w:tcMar>
            <w:vAlign w:val="center"/>
            <w:shd w:fill="F8FAFB"/>
          </w:tcPr>
          <w:p>
            <w:pPr>
              <w:spacing w:after="0"/>
            </w:pPr>
            <w:r>
              <w:rPr>
                <w:rFonts w:ascii="Calibri" w:hAnsi="Calibri"/>
                <w:color w:val="17212B"/>
                <w:sz w:val="16"/>
              </w:rPr>
              <w:t>Store concise reports under `docs/evidence/&lt;gate&gt;/&lt;work-package&gt;/`; exclude tokens/raw personal data</w:t>
            </w:r>
          </w:p>
        </w:tc>
      </w:tr>
      <w:tr>
        <w:trPr>
          <w:cantSplit/>
        </w:trPr>
        <w:tc>
          <w:tcPr>
            <w:tcW w:type="dxa" w:w="2088"/>
            <w:tcMar>
              <w:top w:w="90" w:type="dxa"/>
              <w:start w:w="120" w:type="dxa"/>
              <w:bottom w:w="90" w:type="dxa"/>
              <w:end w:w="120" w:type="dxa"/>
            </w:tcMar>
            <w:vAlign w:val="center"/>
          </w:tcPr>
          <w:p>
            <w:pPr>
              <w:spacing w:after="0"/>
            </w:pPr>
            <w:r>
              <w:rPr>
                <w:rFonts w:ascii="Calibri" w:hAnsi="Calibri"/>
                <w:color w:val="17212B"/>
                <w:sz w:val="16"/>
              </w:rPr>
              <w:t>Tags</w:t>
            </w:r>
          </w:p>
        </w:tc>
        <w:tc>
          <w:tcPr>
            <w:tcW w:type="dxa" w:w="7272"/>
            <w:tcMar>
              <w:top w:w="90" w:type="dxa"/>
              <w:start w:w="120" w:type="dxa"/>
              <w:bottom w:w="90" w:type="dxa"/>
              <w:end w:w="120" w:type="dxa"/>
            </w:tcMar>
            <w:vAlign w:val="center"/>
          </w:tcPr>
          <w:p>
            <w:pPr>
              <w:spacing w:after="0"/>
            </w:pPr>
            <w:r>
              <w:rPr>
                <w:rFonts w:ascii="Calibri" w:hAnsi="Calibri"/>
                <w:color w:val="17212B"/>
                <w:sz w:val="16"/>
              </w:rPr>
              <w:t>`g0-foundation`, `g1-google-submission`, `g2-aws-submission`, `g3-mobile-release` after acceptance</w:t>
            </w:r>
          </w:p>
        </w:tc>
      </w:tr>
    </w:tbl>
    <w:p>
      <w:pPr>
        <w:spacing w:after="20"/>
      </w:pPr>
    </w:p>
    <w:p>
      <w:pPr>
        <w:pStyle w:val="Heading2"/>
      </w:pPr>
      <w:r>
        <w:t>9.1 Review checklist used by Codex PM</w:t>
      </w:r>
    </w:p>
    <w:p>
      <w:pPr>
        <w:pStyle w:val="ListBullet"/>
      </w:pPr>
      <w:r>
        <w:t>Does the implementation satisfy the named acceptance criteria rather than merely compile?</w:t>
      </w:r>
    </w:p>
    <w:p>
      <w:pPr>
        <w:pStyle w:val="ListBullet"/>
      </w:pPr>
      <w:r>
        <w:t>Are domain decisions provider-neutral and deterministic?</w:t>
      </w:r>
    </w:p>
    <w:p>
      <w:pPr>
        <w:pStyle w:val="ListBullet"/>
      </w:pPr>
      <w:r>
        <w:t>Can any path disclose or act without the correct approval and payload/version binding?</w:t>
      </w:r>
    </w:p>
    <w:p>
      <w:pPr>
        <w:pStyle w:val="ListBullet"/>
      </w:pPr>
      <w:r>
        <w:t>Can one supplier infer or access another supplier, offer, or buyer identity?</w:t>
      </w:r>
    </w:p>
    <w:p>
      <w:pPr>
        <w:pStyle w:val="ListBullet"/>
      </w:pPr>
      <w:r>
        <w:t>Are money, time, expiry, version, replay, timeout, and idempotency handled?</w:t>
      </w:r>
    </w:p>
    <w:p>
      <w:pPr>
        <w:pStyle w:val="ListBullet"/>
      </w:pPr>
      <w:r>
        <w:t>Do tests include negative/adversarial cases and fail for the right reason?</w:t>
      </w:r>
    </w:p>
    <w:p>
      <w:pPr>
        <w:pStyle w:val="ListBullet"/>
      </w:pPr>
      <w:r>
        <w:t>Do logs/traces/audit events avoid raw content and direct identifiers?</w:t>
      </w:r>
    </w:p>
    <w:p>
      <w:pPr>
        <w:pStyle w:val="ListBullet"/>
      </w:pPr>
      <w:r>
        <w:t>Is simulation explicit at every exposed boundary?</w:t>
      </w:r>
    </w:p>
    <w:p>
      <w:pPr>
        <w:pStyle w:val="ListBullet"/>
      </w:pPr>
      <w:r>
        <w:t>Does the completion report match the actual diff and test evidence?</w:t>
      </w:r>
    </w:p>
    <w:p>
      <w:r>
        <w:br w:type="page"/>
      </w:r>
    </w:p>
    <w:p>
      <w:pPr>
        <w:pStyle w:val="Heading1"/>
      </w:pPr>
      <w:r>
        <w:t>10. Risk, assumption, issue, and dependency register</w:t>
      </w:r>
    </w:p>
    <w:tbl>
      <w:tblPr>
        <w:tblStyle w:val="TableGrid"/>
        <w:tblW w:type="auto" w:w="0"/>
        <w:jc w:val="center"/>
        <w:tblLayout w:type="fixed"/>
        <w:tblLook w:firstColumn="1" w:firstRow="1" w:lastColumn="0" w:lastRow="0" w:noHBand="0" w:noVBand="1" w:val="04A0"/>
        <w:tblW w:w="9360" w:type="dxa"/>
        <w:tblInd w:w="120" w:type="dxa"/>
      </w:tblPr>
      <w:tblGrid>
        <w:gridCol w:w="792"/>
        <w:gridCol w:w="893"/>
        <w:gridCol w:w="3528"/>
        <w:gridCol w:w="792"/>
        <w:gridCol w:w="1224"/>
        <w:gridCol w:w="2131"/>
      </w:tblGrid>
      <w:tr>
        <w:trPr>
          <w:tblHeader w:val="true"/>
          <w:cantSplit/>
        </w:trPr>
        <w:tc>
          <w:tcPr>
            <w:tcW w:type="dxa" w:w="792"/>
            <w:tcMar>
              <w:top w:w="90" w:type="dxa"/>
              <w:start w:w="120" w:type="dxa"/>
              <w:bottom w:w="90" w:type="dxa"/>
              <w:end w:w="120" w:type="dxa"/>
            </w:tcMar>
            <w:shd w:fill="17324D"/>
            <w:vAlign w:val="center"/>
          </w:tcPr>
          <w:p>
            <w:pPr>
              <w:spacing w:after="0"/>
            </w:pPr>
            <w:r>
              <w:rPr>
                <w:rFonts w:ascii="Calibri" w:hAnsi="Calibri"/>
                <w:b/>
                <w:color w:val="FFFFFF"/>
                <w:sz w:val="13"/>
              </w:rPr>
              <w:t>ID</w:t>
            </w:r>
          </w:p>
        </w:tc>
        <w:tc>
          <w:tcPr>
            <w:tcW w:type="dxa" w:w="893"/>
            <w:tcMar>
              <w:top w:w="90" w:type="dxa"/>
              <w:start w:w="120" w:type="dxa"/>
              <w:bottom w:w="90" w:type="dxa"/>
              <w:end w:w="120" w:type="dxa"/>
            </w:tcMar>
            <w:shd w:fill="17324D"/>
            <w:vAlign w:val="center"/>
          </w:tcPr>
          <w:p>
            <w:pPr>
              <w:spacing w:after="0"/>
            </w:pPr>
            <w:r>
              <w:rPr>
                <w:rFonts w:ascii="Calibri" w:hAnsi="Calibri"/>
                <w:b/>
                <w:color w:val="FFFFFF"/>
                <w:sz w:val="13"/>
              </w:rPr>
              <w:t>Type</w:t>
            </w:r>
          </w:p>
        </w:tc>
        <w:tc>
          <w:tcPr>
            <w:tcW w:type="dxa" w:w="3528"/>
            <w:tcMar>
              <w:top w:w="90" w:type="dxa"/>
              <w:start w:w="120" w:type="dxa"/>
              <w:bottom w:w="90" w:type="dxa"/>
              <w:end w:w="120" w:type="dxa"/>
            </w:tcMar>
            <w:shd w:fill="17324D"/>
            <w:vAlign w:val="center"/>
          </w:tcPr>
          <w:p>
            <w:pPr>
              <w:spacing w:after="0"/>
            </w:pPr>
            <w:r>
              <w:rPr>
                <w:rFonts w:ascii="Calibri" w:hAnsi="Calibri"/>
                <w:b/>
                <w:color w:val="FFFFFF"/>
                <w:sz w:val="13"/>
              </w:rPr>
              <w:t>Item</w:t>
            </w:r>
          </w:p>
        </w:tc>
        <w:tc>
          <w:tcPr>
            <w:tcW w:type="dxa" w:w="792"/>
            <w:tcMar>
              <w:top w:w="90" w:type="dxa"/>
              <w:start w:w="120" w:type="dxa"/>
              <w:bottom w:w="90" w:type="dxa"/>
              <w:end w:w="120" w:type="dxa"/>
            </w:tcMar>
            <w:shd w:fill="17324D"/>
            <w:vAlign w:val="center"/>
          </w:tcPr>
          <w:p>
            <w:pPr>
              <w:spacing w:after="0"/>
            </w:pPr>
            <w:r>
              <w:rPr>
                <w:rFonts w:ascii="Calibri" w:hAnsi="Calibri"/>
                <w:b/>
                <w:color w:val="FFFFFF"/>
                <w:sz w:val="13"/>
              </w:rPr>
              <w:t>P/I</w:t>
            </w:r>
          </w:p>
        </w:tc>
        <w:tc>
          <w:tcPr>
            <w:tcW w:type="dxa" w:w="1224"/>
            <w:tcMar>
              <w:top w:w="90" w:type="dxa"/>
              <w:start w:w="120" w:type="dxa"/>
              <w:bottom w:w="90" w:type="dxa"/>
              <w:end w:w="120" w:type="dxa"/>
            </w:tcMar>
            <w:shd w:fill="17324D"/>
            <w:vAlign w:val="center"/>
          </w:tcPr>
          <w:p>
            <w:pPr>
              <w:spacing w:after="0"/>
            </w:pPr>
            <w:r>
              <w:rPr>
                <w:rFonts w:ascii="Calibri" w:hAnsi="Calibri"/>
                <w:b/>
                <w:color w:val="FFFFFF"/>
                <w:sz w:val="13"/>
              </w:rPr>
              <w:t>Owner</w:t>
            </w:r>
          </w:p>
        </w:tc>
        <w:tc>
          <w:tcPr>
            <w:tcW w:type="dxa" w:w="2131"/>
            <w:tcMar>
              <w:top w:w="90" w:type="dxa"/>
              <w:start w:w="120" w:type="dxa"/>
              <w:bottom w:w="90" w:type="dxa"/>
              <w:end w:w="120" w:type="dxa"/>
            </w:tcMar>
            <w:shd w:fill="17324D"/>
            <w:vAlign w:val="center"/>
          </w:tcPr>
          <w:p>
            <w:pPr>
              <w:spacing w:after="0"/>
            </w:pPr>
            <w:r>
              <w:rPr>
                <w:rFonts w:ascii="Calibri" w:hAnsi="Calibri"/>
                <w:b/>
                <w:color w:val="FFFFFF"/>
                <w:sz w:val="13"/>
              </w:rPr>
              <w:t>Response / trigger</w:t>
            </w:r>
          </w:p>
        </w:tc>
      </w:tr>
      <w:tr>
        <w:trPr>
          <w:cantSplit/>
        </w:trPr>
        <w:tc>
          <w:tcPr>
            <w:tcW w:type="dxa" w:w="792"/>
            <w:tcMar>
              <w:top w:w="90" w:type="dxa"/>
              <w:start w:w="120" w:type="dxa"/>
              <w:bottom w:w="90" w:type="dxa"/>
              <w:end w:w="120" w:type="dxa"/>
            </w:tcMar>
            <w:vAlign w:val="center"/>
          </w:tcPr>
          <w:p>
            <w:pPr>
              <w:spacing w:after="0"/>
            </w:pPr>
            <w:r>
              <w:rPr>
                <w:rFonts w:ascii="Calibri" w:hAnsi="Calibri"/>
                <w:color w:val="17212B"/>
                <w:sz w:val="13"/>
              </w:rPr>
              <w:t>R-01</w:t>
            </w:r>
          </w:p>
        </w:tc>
        <w:tc>
          <w:tcPr>
            <w:tcW w:type="dxa" w:w="893"/>
            <w:tcMar>
              <w:top w:w="90" w:type="dxa"/>
              <w:start w:w="120" w:type="dxa"/>
              <w:bottom w:w="90" w:type="dxa"/>
              <w:end w:w="120" w:type="dxa"/>
            </w:tcMar>
            <w:vAlign w:val="center"/>
          </w:tcPr>
          <w:p>
            <w:pPr>
              <w:spacing w:after="0"/>
            </w:pPr>
            <w:r>
              <w:rPr>
                <w:rFonts w:ascii="Calibri" w:hAnsi="Calibri"/>
                <w:color w:val="17212B"/>
                <w:sz w:val="13"/>
              </w:rPr>
              <w:t>Risk</w:t>
            </w:r>
          </w:p>
        </w:tc>
        <w:tc>
          <w:tcPr>
            <w:tcW w:type="dxa" w:w="3528"/>
            <w:tcMar>
              <w:top w:w="90" w:type="dxa"/>
              <w:start w:w="120" w:type="dxa"/>
              <w:bottom w:w="90" w:type="dxa"/>
              <w:end w:w="120" w:type="dxa"/>
            </w:tcMar>
            <w:vAlign w:val="center"/>
          </w:tcPr>
          <w:p>
            <w:pPr>
              <w:spacing w:after="0"/>
            </w:pPr>
            <w:r>
              <w:rPr>
                <w:rFonts w:ascii="Calibri" w:hAnsi="Calibri"/>
                <w:color w:val="17212B"/>
                <w:sz w:val="13"/>
              </w:rPr>
              <w:t>G1/G2 cloud service/model access or quota unavailable</w:t>
            </w:r>
          </w:p>
        </w:tc>
        <w:tc>
          <w:tcPr>
            <w:tcW w:type="dxa" w:w="792"/>
            <w:tcMar>
              <w:top w:w="90" w:type="dxa"/>
              <w:start w:w="120" w:type="dxa"/>
              <w:bottom w:w="90" w:type="dxa"/>
              <w:end w:w="120" w:type="dxa"/>
            </w:tcMar>
            <w:vAlign w:val="center"/>
          </w:tcPr>
          <w:p>
            <w:pPr>
              <w:spacing w:after="0"/>
            </w:pPr>
            <w:r>
              <w:rPr>
                <w:rFonts w:ascii="Calibri" w:hAnsi="Calibri"/>
                <w:color w:val="17212B"/>
                <w:sz w:val="13"/>
              </w:rPr>
              <w:t>M/H</w:t>
            </w:r>
          </w:p>
        </w:tc>
        <w:tc>
          <w:tcPr>
            <w:tcW w:type="dxa" w:w="1224"/>
            <w:tcMar>
              <w:top w:w="90" w:type="dxa"/>
              <w:start w:w="120" w:type="dxa"/>
              <w:bottom w:w="90" w:type="dxa"/>
              <w:end w:w="120" w:type="dxa"/>
            </w:tcMar>
            <w:vAlign w:val="center"/>
          </w:tcPr>
          <w:p>
            <w:pPr>
              <w:spacing w:after="0"/>
            </w:pPr>
            <w:r>
              <w:rPr>
                <w:rFonts w:ascii="Calibri" w:hAnsi="Calibri"/>
                <w:color w:val="17212B"/>
                <w:sz w:val="13"/>
              </w:rPr>
              <w:t>Owner</w:t>
            </w:r>
          </w:p>
        </w:tc>
        <w:tc>
          <w:tcPr>
            <w:tcW w:type="dxa" w:w="2131"/>
            <w:tcMar>
              <w:top w:w="90" w:type="dxa"/>
              <w:start w:w="120" w:type="dxa"/>
              <w:bottom w:w="90" w:type="dxa"/>
              <w:end w:w="120" w:type="dxa"/>
            </w:tcMar>
            <w:vAlign w:val="center"/>
          </w:tcPr>
          <w:p>
            <w:pPr>
              <w:spacing w:after="0"/>
            </w:pPr>
            <w:r>
              <w:rPr>
                <w:rFonts w:ascii="Calibri" w:hAnsi="Calibri"/>
                <w:color w:val="17212B"/>
                <w:sz w:val="13"/>
              </w:rPr>
              <w:t>Validate accounts/regions by Aug 18/20; retain eligible runtime fallback</w:t>
            </w:r>
          </w:p>
        </w:tc>
      </w:tr>
      <w:tr>
        <w:trPr>
          <w:cantSplit/>
        </w:trPr>
        <w:tc>
          <w:tcPr>
            <w:tcW w:type="dxa" w:w="792"/>
            <w:tcMar>
              <w:top w:w="90" w:type="dxa"/>
              <w:start w:w="120" w:type="dxa"/>
              <w:bottom w:w="90" w:type="dxa"/>
              <w:end w:w="120" w:type="dxa"/>
            </w:tcMar>
            <w:vAlign w:val="center"/>
            <w:shd w:fill="F8FAFB"/>
          </w:tcPr>
          <w:p>
            <w:pPr>
              <w:spacing w:after="0"/>
            </w:pPr>
            <w:r>
              <w:rPr>
                <w:rFonts w:ascii="Calibri" w:hAnsi="Calibri"/>
                <w:color w:val="17212B"/>
                <w:sz w:val="13"/>
              </w:rPr>
              <w:t>R-02</w:t>
            </w:r>
          </w:p>
        </w:tc>
        <w:tc>
          <w:tcPr>
            <w:tcW w:type="dxa" w:w="893"/>
            <w:tcMar>
              <w:top w:w="90" w:type="dxa"/>
              <w:start w:w="120" w:type="dxa"/>
              <w:bottom w:w="90" w:type="dxa"/>
              <w:end w:w="120" w:type="dxa"/>
            </w:tcMar>
            <w:vAlign w:val="center"/>
            <w:shd w:fill="F8FAFB"/>
          </w:tcPr>
          <w:p>
            <w:pPr>
              <w:spacing w:after="0"/>
            </w:pPr>
            <w:r>
              <w:rPr>
                <w:rFonts w:ascii="Calibri" w:hAnsi="Calibri"/>
                <w:color w:val="17212B"/>
                <w:sz w:val="13"/>
              </w:rPr>
              <w:t>Risk</w:t>
            </w:r>
          </w:p>
        </w:tc>
        <w:tc>
          <w:tcPr>
            <w:tcW w:type="dxa" w:w="3528"/>
            <w:tcMar>
              <w:top w:w="90" w:type="dxa"/>
              <w:start w:w="120" w:type="dxa"/>
              <w:bottom w:w="90" w:type="dxa"/>
              <w:end w:w="120" w:type="dxa"/>
            </w:tcMar>
            <w:vAlign w:val="center"/>
            <w:shd w:fill="F8FAFB"/>
          </w:tcPr>
          <w:p>
            <w:pPr>
              <w:spacing w:after="0"/>
            </w:pPr>
            <w:r>
              <w:rPr>
                <w:rFonts w:ascii="Calibri" w:hAnsi="Calibri"/>
                <w:color w:val="17212B"/>
                <w:sz w:val="13"/>
              </w:rPr>
              <w:t>Cursor creates a monolith or provider-specific domain</w:t>
            </w:r>
          </w:p>
        </w:tc>
        <w:tc>
          <w:tcPr>
            <w:tcW w:type="dxa" w:w="792"/>
            <w:tcMar>
              <w:top w:w="90" w:type="dxa"/>
              <w:start w:w="120" w:type="dxa"/>
              <w:bottom w:w="90" w:type="dxa"/>
              <w:end w:w="120" w:type="dxa"/>
            </w:tcMar>
            <w:vAlign w:val="center"/>
            <w:shd w:fill="F8FAFB"/>
          </w:tcPr>
          <w:p>
            <w:pPr>
              <w:spacing w:after="0"/>
            </w:pPr>
            <w:r>
              <w:rPr>
                <w:rFonts w:ascii="Calibri" w:hAnsi="Calibri"/>
                <w:color w:val="17212B"/>
                <w:sz w:val="13"/>
              </w:rPr>
              <w:t>M/H</w:t>
            </w:r>
          </w:p>
        </w:tc>
        <w:tc>
          <w:tcPr>
            <w:tcW w:type="dxa" w:w="1224"/>
            <w:tcMar>
              <w:top w:w="90" w:type="dxa"/>
              <w:start w:w="120" w:type="dxa"/>
              <w:bottom w:w="90" w:type="dxa"/>
              <w:end w:w="120" w:type="dxa"/>
            </w:tcMar>
            <w:vAlign w:val="center"/>
            <w:shd w:fill="F8FAFB"/>
          </w:tcPr>
          <w:p>
            <w:pPr>
              <w:spacing w:after="0"/>
            </w:pPr>
            <w:r>
              <w:rPr>
                <w:rFonts w:ascii="Calibri" w:hAnsi="Calibri"/>
                <w:color w:val="17212B"/>
                <w:sz w:val="13"/>
              </w:rPr>
              <w:t>PM</w:t>
            </w:r>
          </w:p>
        </w:tc>
        <w:tc>
          <w:tcPr>
            <w:tcW w:type="dxa" w:w="2131"/>
            <w:tcMar>
              <w:top w:w="90" w:type="dxa"/>
              <w:start w:w="120" w:type="dxa"/>
              <w:bottom w:w="90" w:type="dxa"/>
              <w:end w:w="120" w:type="dxa"/>
            </w:tcMar>
            <w:vAlign w:val="center"/>
            <w:shd w:fill="F8FAFB"/>
          </w:tcPr>
          <w:p>
            <w:pPr>
              <w:spacing w:after="0"/>
            </w:pPr>
            <w:r>
              <w:rPr>
                <w:rFonts w:ascii="Calibri" w:hAnsi="Calibri"/>
                <w:color w:val="17212B"/>
                <w:sz w:val="13"/>
              </w:rPr>
              <w:t>Dependency tests; reject provider imports; package-sized prompts</w:t>
            </w:r>
          </w:p>
        </w:tc>
      </w:tr>
      <w:tr>
        <w:trPr>
          <w:cantSplit/>
        </w:trPr>
        <w:tc>
          <w:tcPr>
            <w:tcW w:type="dxa" w:w="792"/>
            <w:tcMar>
              <w:top w:w="90" w:type="dxa"/>
              <w:start w:w="120" w:type="dxa"/>
              <w:bottom w:w="90" w:type="dxa"/>
              <w:end w:w="120" w:type="dxa"/>
            </w:tcMar>
            <w:vAlign w:val="center"/>
          </w:tcPr>
          <w:p>
            <w:pPr>
              <w:spacing w:after="0"/>
            </w:pPr>
            <w:r>
              <w:rPr>
                <w:rFonts w:ascii="Calibri" w:hAnsi="Calibri"/>
                <w:color w:val="17212B"/>
                <w:sz w:val="13"/>
              </w:rPr>
              <w:t>R-03</w:t>
            </w:r>
          </w:p>
        </w:tc>
        <w:tc>
          <w:tcPr>
            <w:tcW w:type="dxa" w:w="893"/>
            <w:tcMar>
              <w:top w:w="90" w:type="dxa"/>
              <w:start w:w="120" w:type="dxa"/>
              <w:bottom w:w="90" w:type="dxa"/>
              <w:end w:w="120" w:type="dxa"/>
            </w:tcMar>
            <w:vAlign w:val="center"/>
          </w:tcPr>
          <w:p>
            <w:pPr>
              <w:spacing w:after="0"/>
            </w:pPr>
            <w:r>
              <w:rPr>
                <w:rFonts w:ascii="Calibri" w:hAnsi="Calibri"/>
                <w:color w:val="17212B"/>
                <w:sz w:val="13"/>
              </w:rPr>
              <w:t>Risk</w:t>
            </w:r>
          </w:p>
        </w:tc>
        <w:tc>
          <w:tcPr>
            <w:tcW w:type="dxa" w:w="3528"/>
            <w:tcMar>
              <w:top w:w="90" w:type="dxa"/>
              <w:start w:w="120" w:type="dxa"/>
              <w:bottom w:w="90" w:type="dxa"/>
              <w:end w:w="120" w:type="dxa"/>
            </w:tcMar>
            <w:vAlign w:val="center"/>
          </w:tcPr>
          <w:p>
            <w:pPr>
              <w:spacing w:after="0"/>
            </w:pPr>
            <w:r>
              <w:rPr>
                <w:rFonts w:ascii="Calibri" w:hAnsi="Calibri"/>
                <w:color w:val="17212B"/>
                <w:sz w:val="13"/>
              </w:rPr>
              <w:t>Agent nondeterminism masks policy/ranking defects</w:t>
            </w:r>
          </w:p>
        </w:tc>
        <w:tc>
          <w:tcPr>
            <w:tcW w:type="dxa" w:w="792"/>
            <w:tcMar>
              <w:top w:w="90" w:type="dxa"/>
              <w:start w:w="120" w:type="dxa"/>
              <w:bottom w:w="90" w:type="dxa"/>
              <w:end w:w="120" w:type="dxa"/>
            </w:tcMar>
            <w:vAlign w:val="center"/>
          </w:tcPr>
          <w:p>
            <w:pPr>
              <w:spacing w:after="0"/>
            </w:pPr>
            <w:r>
              <w:rPr>
                <w:rFonts w:ascii="Calibri" w:hAnsi="Calibri"/>
                <w:color w:val="17212B"/>
                <w:sz w:val="13"/>
              </w:rPr>
              <w:t>M/H</w:t>
            </w:r>
          </w:p>
        </w:tc>
        <w:tc>
          <w:tcPr>
            <w:tcW w:type="dxa" w:w="1224"/>
            <w:tcMar>
              <w:top w:w="90" w:type="dxa"/>
              <w:start w:w="120" w:type="dxa"/>
              <w:bottom w:w="90" w:type="dxa"/>
              <w:end w:w="120" w:type="dxa"/>
            </w:tcMar>
            <w:vAlign w:val="center"/>
          </w:tcPr>
          <w:p>
            <w:pPr>
              <w:spacing w:after="0"/>
            </w:pPr>
            <w:r>
              <w:rPr>
                <w:rFonts w:ascii="Calibri" w:hAnsi="Calibri"/>
                <w:color w:val="17212B"/>
                <w:sz w:val="13"/>
              </w:rPr>
              <w:t>PM</w:t>
            </w:r>
          </w:p>
        </w:tc>
        <w:tc>
          <w:tcPr>
            <w:tcW w:type="dxa" w:w="2131"/>
            <w:tcMar>
              <w:top w:w="90" w:type="dxa"/>
              <w:start w:w="120" w:type="dxa"/>
              <w:bottom w:w="90" w:type="dxa"/>
              <w:end w:w="120" w:type="dxa"/>
            </w:tcMar>
            <w:vAlign w:val="center"/>
          </w:tcPr>
          <w:p>
            <w:pPr>
              <w:spacing w:after="0"/>
            </w:pPr>
            <w:r>
              <w:rPr>
                <w:rFonts w:ascii="Calibri" w:hAnsi="Calibri"/>
                <w:color w:val="17212B"/>
                <w:sz w:val="13"/>
              </w:rPr>
              <w:t>Finish deterministic G0 before model integration; versioned evals</w:t>
            </w:r>
          </w:p>
        </w:tc>
      </w:tr>
      <w:tr>
        <w:trPr>
          <w:cantSplit/>
        </w:trPr>
        <w:tc>
          <w:tcPr>
            <w:tcW w:type="dxa" w:w="792"/>
            <w:tcMar>
              <w:top w:w="90" w:type="dxa"/>
              <w:start w:w="120" w:type="dxa"/>
              <w:bottom w:w="90" w:type="dxa"/>
              <w:end w:w="120" w:type="dxa"/>
            </w:tcMar>
            <w:vAlign w:val="center"/>
            <w:shd w:fill="F8FAFB"/>
          </w:tcPr>
          <w:p>
            <w:pPr>
              <w:spacing w:after="0"/>
            </w:pPr>
            <w:r>
              <w:rPr>
                <w:rFonts w:ascii="Calibri" w:hAnsi="Calibri"/>
                <w:color w:val="17212B"/>
                <w:sz w:val="13"/>
              </w:rPr>
              <w:t>R-04</w:t>
            </w:r>
          </w:p>
        </w:tc>
        <w:tc>
          <w:tcPr>
            <w:tcW w:type="dxa" w:w="893"/>
            <w:tcMar>
              <w:top w:w="90" w:type="dxa"/>
              <w:start w:w="120" w:type="dxa"/>
              <w:bottom w:w="90" w:type="dxa"/>
              <w:end w:w="120" w:type="dxa"/>
            </w:tcMar>
            <w:vAlign w:val="center"/>
            <w:shd w:fill="F8FAFB"/>
          </w:tcPr>
          <w:p>
            <w:pPr>
              <w:spacing w:after="0"/>
            </w:pPr>
            <w:r>
              <w:rPr>
                <w:rFonts w:ascii="Calibri" w:hAnsi="Calibri"/>
                <w:color w:val="17212B"/>
                <w:sz w:val="13"/>
              </w:rPr>
              <w:t>Risk</w:t>
            </w:r>
          </w:p>
        </w:tc>
        <w:tc>
          <w:tcPr>
            <w:tcW w:type="dxa" w:w="3528"/>
            <w:tcMar>
              <w:top w:w="90" w:type="dxa"/>
              <w:start w:w="120" w:type="dxa"/>
              <w:bottom w:w="90" w:type="dxa"/>
              <w:end w:w="120" w:type="dxa"/>
            </w:tcMar>
            <w:vAlign w:val="center"/>
            <w:shd w:fill="F8FAFB"/>
          </w:tcPr>
          <w:p>
            <w:pPr>
              <w:spacing w:after="0"/>
            </w:pPr>
            <w:r>
              <w:rPr>
                <w:rFonts w:ascii="Calibri" w:hAnsi="Calibri"/>
                <w:color w:val="17212B"/>
                <w:sz w:val="13"/>
              </w:rPr>
              <w:t>Supplier isolation exists only in prompts</w:t>
            </w:r>
          </w:p>
        </w:tc>
        <w:tc>
          <w:tcPr>
            <w:tcW w:type="dxa" w:w="792"/>
            <w:tcMar>
              <w:top w:w="90" w:type="dxa"/>
              <w:start w:w="120" w:type="dxa"/>
              <w:bottom w:w="90" w:type="dxa"/>
              <w:end w:w="120" w:type="dxa"/>
            </w:tcMar>
            <w:vAlign w:val="center"/>
            <w:shd w:fill="F8FAFB"/>
          </w:tcPr>
          <w:p>
            <w:pPr>
              <w:spacing w:after="0"/>
            </w:pPr>
            <w:r>
              <w:rPr>
                <w:rFonts w:ascii="Calibri" w:hAnsi="Calibri"/>
                <w:color w:val="17212B"/>
                <w:sz w:val="13"/>
              </w:rPr>
              <w:t>M/H</w:t>
            </w:r>
          </w:p>
        </w:tc>
        <w:tc>
          <w:tcPr>
            <w:tcW w:type="dxa" w:w="1224"/>
            <w:tcMar>
              <w:top w:w="90" w:type="dxa"/>
              <w:start w:w="120" w:type="dxa"/>
              <w:bottom w:w="90" w:type="dxa"/>
              <w:end w:w="120" w:type="dxa"/>
            </w:tcMar>
            <w:vAlign w:val="center"/>
            <w:shd w:fill="F8FAFB"/>
          </w:tcPr>
          <w:p>
            <w:pPr>
              <w:spacing w:after="0"/>
            </w:pPr>
            <w:r>
              <w:rPr>
                <w:rFonts w:ascii="Calibri" w:hAnsi="Calibri"/>
                <w:color w:val="17212B"/>
                <w:sz w:val="13"/>
              </w:rPr>
              <w:t>PM</w:t>
            </w:r>
          </w:p>
        </w:tc>
        <w:tc>
          <w:tcPr>
            <w:tcW w:type="dxa" w:w="2131"/>
            <w:tcMar>
              <w:top w:w="90" w:type="dxa"/>
              <w:start w:w="120" w:type="dxa"/>
              <w:bottom w:w="90" w:type="dxa"/>
              <w:end w:w="120" w:type="dxa"/>
            </w:tcMar>
            <w:vAlign w:val="center"/>
            <w:shd w:fill="F8FAFB"/>
          </w:tcPr>
          <w:p>
            <w:pPr>
              <w:spacing w:after="0"/>
            </w:pPr>
            <w:r>
              <w:rPr>
                <w:rFonts w:ascii="Calibri" w:hAnsi="Calibri"/>
                <w:color w:val="17212B"/>
                <w:sz w:val="13"/>
              </w:rPr>
              <w:t>Separate principals/partitions/tokens and authorization tests</w:t>
            </w:r>
          </w:p>
        </w:tc>
      </w:tr>
      <w:tr>
        <w:trPr>
          <w:cantSplit/>
        </w:trPr>
        <w:tc>
          <w:tcPr>
            <w:tcW w:type="dxa" w:w="792"/>
            <w:tcMar>
              <w:top w:w="90" w:type="dxa"/>
              <w:start w:w="120" w:type="dxa"/>
              <w:bottom w:w="90" w:type="dxa"/>
              <w:end w:w="120" w:type="dxa"/>
            </w:tcMar>
            <w:vAlign w:val="center"/>
          </w:tcPr>
          <w:p>
            <w:pPr>
              <w:spacing w:after="0"/>
            </w:pPr>
            <w:r>
              <w:rPr>
                <w:rFonts w:ascii="Calibri" w:hAnsi="Calibri"/>
                <w:color w:val="17212B"/>
                <w:sz w:val="13"/>
              </w:rPr>
              <w:t>R-05</w:t>
            </w:r>
          </w:p>
        </w:tc>
        <w:tc>
          <w:tcPr>
            <w:tcW w:type="dxa" w:w="893"/>
            <w:tcMar>
              <w:top w:w="90" w:type="dxa"/>
              <w:start w:w="120" w:type="dxa"/>
              <w:bottom w:w="90" w:type="dxa"/>
              <w:end w:w="120" w:type="dxa"/>
            </w:tcMar>
            <w:vAlign w:val="center"/>
          </w:tcPr>
          <w:p>
            <w:pPr>
              <w:spacing w:after="0"/>
            </w:pPr>
            <w:r>
              <w:rPr>
                <w:rFonts w:ascii="Calibri" w:hAnsi="Calibri"/>
                <w:color w:val="17212B"/>
                <w:sz w:val="13"/>
              </w:rPr>
              <w:t>Risk</w:t>
            </w:r>
          </w:p>
        </w:tc>
        <w:tc>
          <w:tcPr>
            <w:tcW w:type="dxa" w:w="3528"/>
            <w:tcMar>
              <w:top w:w="90" w:type="dxa"/>
              <w:start w:w="120" w:type="dxa"/>
              <w:bottom w:w="90" w:type="dxa"/>
              <w:end w:w="120" w:type="dxa"/>
            </w:tcMar>
            <w:vAlign w:val="center"/>
          </w:tcPr>
          <w:p>
            <w:pPr>
              <w:spacing w:after="0"/>
            </w:pPr>
            <w:r>
              <w:rPr>
                <w:rFonts w:ascii="Calibri" w:hAnsi="Calibri"/>
                <w:color w:val="17212B"/>
                <w:sz w:val="13"/>
              </w:rPr>
              <w:t>App-store account/review delay</w:t>
            </w:r>
          </w:p>
        </w:tc>
        <w:tc>
          <w:tcPr>
            <w:tcW w:type="dxa" w:w="792"/>
            <w:tcMar>
              <w:top w:w="90" w:type="dxa"/>
              <w:start w:w="120" w:type="dxa"/>
              <w:bottom w:w="90" w:type="dxa"/>
              <w:end w:w="120" w:type="dxa"/>
            </w:tcMar>
            <w:vAlign w:val="center"/>
          </w:tcPr>
          <w:p>
            <w:pPr>
              <w:spacing w:after="0"/>
            </w:pPr>
            <w:r>
              <w:rPr>
                <w:rFonts w:ascii="Calibri" w:hAnsi="Calibri"/>
                <w:color w:val="17212B"/>
                <w:sz w:val="13"/>
              </w:rPr>
              <w:t>H/H</w:t>
            </w:r>
          </w:p>
        </w:tc>
        <w:tc>
          <w:tcPr>
            <w:tcW w:type="dxa" w:w="1224"/>
            <w:tcMar>
              <w:top w:w="90" w:type="dxa"/>
              <w:start w:w="120" w:type="dxa"/>
              <w:bottom w:w="90" w:type="dxa"/>
              <w:end w:w="120" w:type="dxa"/>
            </w:tcMar>
            <w:vAlign w:val="center"/>
          </w:tcPr>
          <w:p>
            <w:pPr>
              <w:spacing w:after="0"/>
            </w:pPr>
            <w:r>
              <w:rPr>
                <w:rFonts w:ascii="Calibri" w:hAnsi="Calibri"/>
                <w:color w:val="17212B"/>
                <w:sz w:val="13"/>
              </w:rPr>
              <w:t>Owner</w:t>
            </w:r>
          </w:p>
        </w:tc>
        <w:tc>
          <w:tcPr>
            <w:tcW w:type="dxa" w:w="2131"/>
            <w:tcMar>
              <w:top w:w="90" w:type="dxa"/>
              <w:start w:w="120" w:type="dxa"/>
              <w:bottom w:w="90" w:type="dxa"/>
              <w:end w:w="120" w:type="dxa"/>
            </w:tcMar>
            <w:vAlign w:val="center"/>
          </w:tcPr>
          <w:p>
            <w:pPr>
              <w:spacing w:after="0"/>
            </w:pPr>
            <w:r>
              <w:rPr>
                <w:rFonts w:ascii="Calibri" w:hAnsi="Calibri"/>
                <w:color w:val="17212B"/>
                <w:sz w:val="13"/>
              </w:rPr>
              <w:t>Choose store/account Aug 17; submit candidate Sep 18–21</w:t>
            </w:r>
          </w:p>
        </w:tc>
      </w:tr>
      <w:tr>
        <w:trPr>
          <w:cantSplit/>
        </w:trPr>
        <w:tc>
          <w:tcPr>
            <w:tcW w:type="dxa" w:w="792"/>
            <w:tcMar>
              <w:top w:w="90" w:type="dxa"/>
              <w:start w:w="120" w:type="dxa"/>
              <w:bottom w:w="90" w:type="dxa"/>
              <w:end w:w="120" w:type="dxa"/>
            </w:tcMar>
            <w:vAlign w:val="center"/>
            <w:shd w:fill="F8FAFB"/>
          </w:tcPr>
          <w:p>
            <w:pPr>
              <w:spacing w:after="0"/>
            </w:pPr>
            <w:r>
              <w:rPr>
                <w:rFonts w:ascii="Calibri" w:hAnsi="Calibri"/>
                <w:color w:val="17212B"/>
                <w:sz w:val="13"/>
              </w:rPr>
              <w:t>R-06</w:t>
            </w:r>
          </w:p>
        </w:tc>
        <w:tc>
          <w:tcPr>
            <w:tcW w:type="dxa" w:w="893"/>
            <w:tcMar>
              <w:top w:w="90" w:type="dxa"/>
              <w:start w:w="120" w:type="dxa"/>
              <w:bottom w:w="90" w:type="dxa"/>
              <w:end w:w="120" w:type="dxa"/>
            </w:tcMar>
            <w:vAlign w:val="center"/>
            <w:shd w:fill="F8FAFB"/>
          </w:tcPr>
          <w:p>
            <w:pPr>
              <w:spacing w:after="0"/>
            </w:pPr>
            <w:r>
              <w:rPr>
                <w:rFonts w:ascii="Calibri" w:hAnsi="Calibri"/>
                <w:color w:val="17212B"/>
                <w:sz w:val="13"/>
              </w:rPr>
              <w:t>Risk</w:t>
            </w:r>
          </w:p>
        </w:tc>
        <w:tc>
          <w:tcPr>
            <w:tcW w:type="dxa" w:w="3528"/>
            <w:tcMar>
              <w:top w:w="90" w:type="dxa"/>
              <w:start w:w="120" w:type="dxa"/>
              <w:bottom w:w="90" w:type="dxa"/>
              <w:end w:w="120" w:type="dxa"/>
            </w:tcMar>
            <w:vAlign w:val="center"/>
            <w:shd w:fill="F8FAFB"/>
          </w:tcPr>
          <w:p>
            <w:pPr>
              <w:spacing w:after="0"/>
            </w:pPr>
            <w:r>
              <w:rPr>
                <w:rFonts w:ascii="Calibri" w:hAnsi="Calibri"/>
                <w:color w:val="17212B"/>
                <w:sz w:val="13"/>
              </w:rPr>
              <w:t>Competition rules change or are misread</w:t>
            </w:r>
          </w:p>
        </w:tc>
        <w:tc>
          <w:tcPr>
            <w:tcW w:type="dxa" w:w="792"/>
            <w:tcMar>
              <w:top w:w="90" w:type="dxa"/>
              <w:start w:w="120" w:type="dxa"/>
              <w:bottom w:w="90" w:type="dxa"/>
              <w:end w:w="120" w:type="dxa"/>
            </w:tcMar>
            <w:vAlign w:val="center"/>
            <w:shd w:fill="F8FAFB"/>
          </w:tcPr>
          <w:p>
            <w:pPr>
              <w:spacing w:after="0"/>
            </w:pPr>
            <w:r>
              <w:rPr>
                <w:rFonts w:ascii="Calibri" w:hAnsi="Calibri"/>
                <w:color w:val="17212B"/>
                <w:sz w:val="13"/>
              </w:rPr>
              <w:t>M/H</w:t>
            </w:r>
          </w:p>
        </w:tc>
        <w:tc>
          <w:tcPr>
            <w:tcW w:type="dxa" w:w="1224"/>
            <w:tcMar>
              <w:top w:w="90" w:type="dxa"/>
              <w:start w:w="120" w:type="dxa"/>
              <w:bottom w:w="90" w:type="dxa"/>
              <w:end w:w="120" w:type="dxa"/>
            </w:tcMar>
            <w:vAlign w:val="center"/>
            <w:shd w:fill="F8FAFB"/>
          </w:tcPr>
          <w:p>
            <w:pPr>
              <w:spacing w:after="0"/>
            </w:pPr>
            <w:r>
              <w:rPr>
                <w:rFonts w:ascii="Calibri" w:hAnsi="Calibri"/>
                <w:color w:val="17212B"/>
                <w:sz w:val="13"/>
              </w:rPr>
              <w:t>PM</w:t>
            </w:r>
          </w:p>
        </w:tc>
        <w:tc>
          <w:tcPr>
            <w:tcW w:type="dxa" w:w="2131"/>
            <w:tcMar>
              <w:top w:w="90" w:type="dxa"/>
              <w:start w:w="120" w:type="dxa"/>
              <w:bottom w:w="90" w:type="dxa"/>
              <w:end w:w="120" w:type="dxa"/>
            </w:tcMar>
            <w:vAlign w:val="center"/>
            <w:shd w:fill="F8FAFB"/>
          </w:tcPr>
          <w:p>
            <w:pPr>
              <w:spacing w:after="0"/>
            </w:pPr>
            <w:r>
              <w:rPr>
                <w:rFonts w:ascii="Calibri" w:hAnsi="Calibri"/>
                <w:color w:val="17212B"/>
                <w:sz w:val="13"/>
              </w:rPr>
              <w:t>Revalidate official rules at gate−7d and gate−24h; retain evidence</w:t>
            </w:r>
          </w:p>
        </w:tc>
      </w:tr>
      <w:tr>
        <w:trPr>
          <w:cantSplit/>
        </w:trPr>
        <w:tc>
          <w:tcPr>
            <w:tcW w:type="dxa" w:w="792"/>
            <w:tcMar>
              <w:top w:w="90" w:type="dxa"/>
              <w:start w:w="120" w:type="dxa"/>
              <w:bottom w:w="90" w:type="dxa"/>
              <w:end w:w="120" w:type="dxa"/>
            </w:tcMar>
            <w:vAlign w:val="center"/>
          </w:tcPr>
          <w:p>
            <w:pPr>
              <w:spacing w:after="0"/>
            </w:pPr>
            <w:r>
              <w:rPr>
                <w:rFonts w:ascii="Calibri" w:hAnsi="Calibri"/>
                <w:color w:val="17212B"/>
                <w:sz w:val="13"/>
              </w:rPr>
              <w:t>R-07</w:t>
            </w:r>
          </w:p>
        </w:tc>
        <w:tc>
          <w:tcPr>
            <w:tcW w:type="dxa" w:w="893"/>
            <w:tcMar>
              <w:top w:w="90" w:type="dxa"/>
              <w:start w:w="120" w:type="dxa"/>
              <w:bottom w:w="90" w:type="dxa"/>
              <w:end w:w="120" w:type="dxa"/>
            </w:tcMar>
            <w:vAlign w:val="center"/>
          </w:tcPr>
          <w:p>
            <w:pPr>
              <w:spacing w:after="0"/>
            </w:pPr>
            <w:r>
              <w:rPr>
                <w:rFonts w:ascii="Calibri" w:hAnsi="Calibri"/>
                <w:color w:val="17212B"/>
                <w:sz w:val="13"/>
              </w:rPr>
              <w:t>Risk</w:t>
            </w:r>
          </w:p>
        </w:tc>
        <w:tc>
          <w:tcPr>
            <w:tcW w:type="dxa" w:w="3528"/>
            <w:tcMar>
              <w:top w:w="90" w:type="dxa"/>
              <w:start w:w="120" w:type="dxa"/>
              <w:bottom w:w="90" w:type="dxa"/>
              <w:end w:w="120" w:type="dxa"/>
            </w:tcMar>
            <w:vAlign w:val="center"/>
          </w:tcPr>
          <w:p>
            <w:pPr>
              <w:spacing w:after="0"/>
            </w:pPr>
            <w:r>
              <w:rPr>
                <w:rFonts w:ascii="Calibri" w:hAnsi="Calibri"/>
                <w:color w:val="17212B"/>
                <w:sz w:val="13"/>
              </w:rPr>
              <w:t>Scope expands beyond parking before G1</w:t>
            </w:r>
          </w:p>
        </w:tc>
        <w:tc>
          <w:tcPr>
            <w:tcW w:type="dxa" w:w="792"/>
            <w:tcMar>
              <w:top w:w="90" w:type="dxa"/>
              <w:start w:w="120" w:type="dxa"/>
              <w:bottom w:w="90" w:type="dxa"/>
              <w:end w:w="120" w:type="dxa"/>
            </w:tcMar>
            <w:vAlign w:val="center"/>
          </w:tcPr>
          <w:p>
            <w:pPr>
              <w:spacing w:after="0"/>
            </w:pPr>
            <w:r>
              <w:rPr>
                <w:rFonts w:ascii="Calibri" w:hAnsi="Calibri"/>
                <w:color w:val="17212B"/>
                <w:sz w:val="13"/>
              </w:rPr>
              <w:t>H/H</w:t>
            </w:r>
          </w:p>
        </w:tc>
        <w:tc>
          <w:tcPr>
            <w:tcW w:type="dxa" w:w="1224"/>
            <w:tcMar>
              <w:top w:w="90" w:type="dxa"/>
              <w:start w:w="120" w:type="dxa"/>
              <w:bottom w:w="90" w:type="dxa"/>
              <w:end w:w="120" w:type="dxa"/>
            </w:tcMar>
            <w:vAlign w:val="center"/>
          </w:tcPr>
          <w:p>
            <w:pPr>
              <w:spacing w:after="0"/>
            </w:pPr>
            <w:r>
              <w:rPr>
                <w:rFonts w:ascii="Calibri" w:hAnsi="Calibri"/>
                <w:color w:val="17212B"/>
                <w:sz w:val="13"/>
              </w:rPr>
              <w:t>Owner/PM</w:t>
            </w:r>
          </w:p>
        </w:tc>
        <w:tc>
          <w:tcPr>
            <w:tcW w:type="dxa" w:w="2131"/>
            <w:tcMar>
              <w:top w:w="90" w:type="dxa"/>
              <w:start w:w="120" w:type="dxa"/>
              <w:bottom w:w="90" w:type="dxa"/>
              <w:end w:w="120" w:type="dxa"/>
            </w:tcMar>
            <w:vAlign w:val="center"/>
          </w:tcPr>
          <w:p>
            <w:pPr>
              <w:spacing w:after="0"/>
            </w:pPr>
            <w:r>
              <w:rPr>
                <w:rFonts w:ascii="Calibri" w:hAnsi="Calibri"/>
                <w:color w:val="17212B"/>
                <w:sz w:val="13"/>
              </w:rPr>
              <w:t>Backlog quarantine; apply cut order; require change decision</w:t>
            </w:r>
          </w:p>
        </w:tc>
      </w:tr>
      <w:tr>
        <w:trPr>
          <w:cantSplit/>
        </w:trPr>
        <w:tc>
          <w:tcPr>
            <w:tcW w:type="dxa" w:w="792"/>
            <w:tcMar>
              <w:top w:w="90" w:type="dxa"/>
              <w:start w:w="120" w:type="dxa"/>
              <w:bottom w:w="90" w:type="dxa"/>
              <w:end w:w="120" w:type="dxa"/>
            </w:tcMar>
            <w:vAlign w:val="center"/>
            <w:shd w:fill="F8FAFB"/>
          </w:tcPr>
          <w:p>
            <w:pPr>
              <w:spacing w:after="0"/>
            </w:pPr>
            <w:r>
              <w:rPr>
                <w:rFonts w:ascii="Calibri" w:hAnsi="Calibri"/>
                <w:color w:val="17212B"/>
                <w:sz w:val="13"/>
              </w:rPr>
              <w:t>R-08</w:t>
            </w:r>
          </w:p>
        </w:tc>
        <w:tc>
          <w:tcPr>
            <w:tcW w:type="dxa" w:w="893"/>
            <w:tcMar>
              <w:top w:w="90" w:type="dxa"/>
              <w:start w:w="120" w:type="dxa"/>
              <w:bottom w:w="90" w:type="dxa"/>
              <w:end w:w="120" w:type="dxa"/>
            </w:tcMar>
            <w:vAlign w:val="center"/>
            <w:shd w:fill="F8FAFB"/>
          </w:tcPr>
          <w:p>
            <w:pPr>
              <w:spacing w:after="0"/>
            </w:pPr>
            <w:r>
              <w:rPr>
                <w:rFonts w:ascii="Calibri" w:hAnsi="Calibri"/>
                <w:color w:val="17212B"/>
                <w:sz w:val="13"/>
              </w:rPr>
              <w:t>Risk</w:t>
            </w:r>
          </w:p>
        </w:tc>
        <w:tc>
          <w:tcPr>
            <w:tcW w:type="dxa" w:w="3528"/>
            <w:tcMar>
              <w:top w:w="90" w:type="dxa"/>
              <w:start w:w="120" w:type="dxa"/>
              <w:bottom w:w="90" w:type="dxa"/>
              <w:end w:w="120" w:type="dxa"/>
            </w:tcMar>
            <w:vAlign w:val="center"/>
            <w:shd w:fill="F8FAFB"/>
          </w:tcPr>
          <w:p>
            <w:pPr>
              <w:spacing w:after="0"/>
            </w:pPr>
            <w:r>
              <w:rPr>
                <w:rFonts w:ascii="Calibri" w:hAnsi="Calibri"/>
                <w:color w:val="17212B"/>
                <w:sz w:val="13"/>
              </w:rPr>
              <w:t>Demo implies real reservation/payment</w:t>
            </w:r>
          </w:p>
        </w:tc>
        <w:tc>
          <w:tcPr>
            <w:tcW w:type="dxa" w:w="792"/>
            <w:tcMar>
              <w:top w:w="90" w:type="dxa"/>
              <w:start w:w="120" w:type="dxa"/>
              <w:bottom w:w="90" w:type="dxa"/>
              <w:end w:w="120" w:type="dxa"/>
            </w:tcMar>
            <w:vAlign w:val="center"/>
            <w:shd w:fill="F8FAFB"/>
          </w:tcPr>
          <w:p>
            <w:pPr>
              <w:spacing w:after="0"/>
            </w:pPr>
            <w:r>
              <w:rPr>
                <w:rFonts w:ascii="Calibri" w:hAnsi="Calibri"/>
                <w:color w:val="17212B"/>
                <w:sz w:val="13"/>
              </w:rPr>
              <w:t>M/H</w:t>
            </w:r>
          </w:p>
        </w:tc>
        <w:tc>
          <w:tcPr>
            <w:tcW w:type="dxa" w:w="1224"/>
            <w:tcMar>
              <w:top w:w="90" w:type="dxa"/>
              <w:start w:w="120" w:type="dxa"/>
              <w:bottom w:w="90" w:type="dxa"/>
              <w:end w:w="120" w:type="dxa"/>
            </w:tcMar>
            <w:vAlign w:val="center"/>
            <w:shd w:fill="F8FAFB"/>
          </w:tcPr>
          <w:p>
            <w:pPr>
              <w:spacing w:after="0"/>
            </w:pPr>
            <w:r>
              <w:rPr>
                <w:rFonts w:ascii="Calibri" w:hAnsi="Calibri"/>
                <w:color w:val="17212B"/>
                <w:sz w:val="13"/>
              </w:rPr>
              <w:t>PM</w:t>
            </w:r>
          </w:p>
        </w:tc>
        <w:tc>
          <w:tcPr>
            <w:tcW w:type="dxa" w:w="2131"/>
            <w:tcMar>
              <w:top w:w="90" w:type="dxa"/>
              <w:start w:w="120" w:type="dxa"/>
              <w:bottom w:w="90" w:type="dxa"/>
              <w:end w:w="120" w:type="dxa"/>
            </w:tcMar>
            <w:vAlign w:val="center"/>
            <w:shd w:fill="F8FAFB"/>
          </w:tcPr>
          <w:p>
            <w:pPr>
              <w:spacing w:after="0"/>
            </w:pPr>
            <w:r>
              <w:rPr>
                <w:rFonts w:ascii="Calibri" w:hAnsi="Calibri"/>
                <w:color w:val="17212B"/>
                <w:sz w:val="13"/>
              </w:rPr>
              <w:t>Contract/UI/video labels; scripted truth-in-demo statement</w:t>
            </w:r>
          </w:p>
        </w:tc>
      </w:tr>
      <w:tr>
        <w:trPr>
          <w:cantSplit/>
        </w:trPr>
        <w:tc>
          <w:tcPr>
            <w:tcW w:type="dxa" w:w="792"/>
            <w:tcMar>
              <w:top w:w="90" w:type="dxa"/>
              <w:start w:w="120" w:type="dxa"/>
              <w:bottom w:w="90" w:type="dxa"/>
              <w:end w:w="120" w:type="dxa"/>
            </w:tcMar>
            <w:vAlign w:val="center"/>
          </w:tcPr>
          <w:p>
            <w:pPr>
              <w:spacing w:after="0"/>
            </w:pPr>
            <w:r>
              <w:rPr>
                <w:rFonts w:ascii="Calibri" w:hAnsi="Calibri"/>
                <w:color w:val="17212B"/>
                <w:sz w:val="13"/>
              </w:rPr>
              <w:t>R-09</w:t>
            </w:r>
          </w:p>
        </w:tc>
        <w:tc>
          <w:tcPr>
            <w:tcW w:type="dxa" w:w="893"/>
            <w:tcMar>
              <w:top w:w="90" w:type="dxa"/>
              <w:start w:w="120" w:type="dxa"/>
              <w:bottom w:w="90" w:type="dxa"/>
              <w:end w:w="120" w:type="dxa"/>
            </w:tcMar>
            <w:vAlign w:val="center"/>
          </w:tcPr>
          <w:p>
            <w:pPr>
              <w:spacing w:after="0"/>
            </w:pPr>
            <w:r>
              <w:rPr>
                <w:rFonts w:ascii="Calibri" w:hAnsi="Calibri"/>
                <w:color w:val="17212B"/>
                <w:sz w:val="13"/>
              </w:rPr>
              <w:t>Risk</w:t>
            </w:r>
          </w:p>
        </w:tc>
        <w:tc>
          <w:tcPr>
            <w:tcW w:type="dxa" w:w="3528"/>
            <w:tcMar>
              <w:top w:w="90" w:type="dxa"/>
              <w:start w:w="120" w:type="dxa"/>
              <w:bottom w:w="90" w:type="dxa"/>
              <w:end w:w="120" w:type="dxa"/>
            </w:tcMar>
            <w:vAlign w:val="center"/>
          </w:tcPr>
          <w:p>
            <w:pPr>
              <w:spacing w:after="0"/>
            </w:pPr>
            <w:r>
              <w:rPr>
                <w:rFonts w:ascii="Calibri" w:hAnsi="Calibri"/>
                <w:color w:val="17212B"/>
                <w:sz w:val="13"/>
              </w:rPr>
              <w:t>Secrets/personal data enter repo or telemetry</w:t>
            </w:r>
          </w:p>
        </w:tc>
        <w:tc>
          <w:tcPr>
            <w:tcW w:type="dxa" w:w="792"/>
            <w:tcMar>
              <w:top w:w="90" w:type="dxa"/>
              <w:start w:w="120" w:type="dxa"/>
              <w:bottom w:w="90" w:type="dxa"/>
              <w:end w:w="120" w:type="dxa"/>
            </w:tcMar>
            <w:vAlign w:val="center"/>
          </w:tcPr>
          <w:p>
            <w:pPr>
              <w:spacing w:after="0"/>
            </w:pPr>
            <w:r>
              <w:rPr>
                <w:rFonts w:ascii="Calibri" w:hAnsi="Calibri"/>
                <w:color w:val="17212B"/>
                <w:sz w:val="13"/>
              </w:rPr>
              <w:t>M/H</w:t>
            </w:r>
          </w:p>
        </w:tc>
        <w:tc>
          <w:tcPr>
            <w:tcW w:type="dxa" w:w="1224"/>
            <w:tcMar>
              <w:top w:w="90" w:type="dxa"/>
              <w:start w:w="120" w:type="dxa"/>
              <w:bottom w:w="90" w:type="dxa"/>
              <w:end w:w="120" w:type="dxa"/>
            </w:tcMar>
            <w:vAlign w:val="center"/>
          </w:tcPr>
          <w:p>
            <w:pPr>
              <w:spacing w:after="0"/>
            </w:pPr>
            <w:r>
              <w:rPr>
                <w:rFonts w:ascii="Calibri" w:hAnsi="Calibri"/>
                <w:color w:val="17212B"/>
                <w:sz w:val="13"/>
              </w:rPr>
              <w:t>Cursor/CI</w:t>
            </w:r>
          </w:p>
        </w:tc>
        <w:tc>
          <w:tcPr>
            <w:tcW w:type="dxa" w:w="2131"/>
            <w:tcMar>
              <w:top w:w="90" w:type="dxa"/>
              <w:start w:w="120" w:type="dxa"/>
              <w:bottom w:w="90" w:type="dxa"/>
              <w:end w:w="120" w:type="dxa"/>
            </w:tcMar>
            <w:vAlign w:val="center"/>
          </w:tcPr>
          <w:p>
            <w:pPr>
              <w:spacing w:after="0"/>
            </w:pPr>
            <w:r>
              <w:rPr>
                <w:rFonts w:ascii="Calibri" w:hAnsi="Calibri"/>
                <w:color w:val="17212B"/>
                <w:sz w:val="13"/>
              </w:rPr>
              <w:t>Synthetic fixtures, scans, log denylist, immediate revocation process</w:t>
            </w:r>
          </w:p>
        </w:tc>
      </w:tr>
      <w:tr>
        <w:trPr>
          <w:cantSplit/>
        </w:trPr>
        <w:tc>
          <w:tcPr>
            <w:tcW w:type="dxa" w:w="792"/>
            <w:tcMar>
              <w:top w:w="90" w:type="dxa"/>
              <w:start w:w="120" w:type="dxa"/>
              <w:bottom w:w="90" w:type="dxa"/>
              <w:end w:w="120" w:type="dxa"/>
            </w:tcMar>
            <w:vAlign w:val="center"/>
            <w:shd w:fill="F8FAFB"/>
          </w:tcPr>
          <w:p>
            <w:pPr>
              <w:spacing w:after="0"/>
            </w:pPr>
            <w:r>
              <w:rPr>
                <w:rFonts w:ascii="Calibri" w:hAnsi="Calibri"/>
                <w:color w:val="17212B"/>
                <w:sz w:val="13"/>
              </w:rPr>
              <w:t>A-01</w:t>
            </w:r>
          </w:p>
        </w:tc>
        <w:tc>
          <w:tcPr>
            <w:tcW w:type="dxa" w:w="893"/>
            <w:tcMar>
              <w:top w:w="90" w:type="dxa"/>
              <w:start w:w="120" w:type="dxa"/>
              <w:bottom w:w="90" w:type="dxa"/>
              <w:end w:w="120" w:type="dxa"/>
            </w:tcMar>
            <w:vAlign w:val="center"/>
            <w:shd w:fill="F8FAFB"/>
          </w:tcPr>
          <w:p>
            <w:pPr>
              <w:spacing w:after="0"/>
            </w:pPr>
            <w:r>
              <w:rPr>
                <w:rFonts w:ascii="Calibri" w:hAnsi="Calibri"/>
                <w:color w:val="17212B"/>
                <w:sz w:val="13"/>
              </w:rPr>
              <w:t>Assumption</w:t>
            </w:r>
          </w:p>
        </w:tc>
        <w:tc>
          <w:tcPr>
            <w:tcW w:type="dxa" w:w="3528"/>
            <w:tcMar>
              <w:top w:w="90" w:type="dxa"/>
              <w:start w:w="120" w:type="dxa"/>
              <w:bottom w:w="90" w:type="dxa"/>
              <w:end w:w="120" w:type="dxa"/>
            </w:tcMar>
            <w:vAlign w:val="center"/>
            <w:shd w:fill="F8FAFB"/>
          </w:tcPr>
          <w:p>
            <w:pPr>
              <w:spacing w:after="0"/>
            </w:pPr>
            <w:r>
              <w:rPr>
                <w:rFonts w:ascii="Calibri" w:hAnsi="Calibri"/>
                <w:color w:val="17212B"/>
                <w:sz w:val="13"/>
              </w:rPr>
              <w:t>One developer plus AI implementation engine</w:t>
            </w:r>
          </w:p>
        </w:tc>
        <w:tc>
          <w:tcPr>
            <w:tcW w:type="dxa" w:w="792"/>
            <w:tcMar>
              <w:top w:w="90" w:type="dxa"/>
              <w:start w:w="120" w:type="dxa"/>
              <w:bottom w:w="90" w:type="dxa"/>
              <w:end w:w="120" w:type="dxa"/>
            </w:tcMar>
            <w:vAlign w:val="center"/>
            <w:shd w:fill="F8FAFB"/>
          </w:tcPr>
          <w:p>
            <w:pPr>
              <w:spacing w:after="0"/>
            </w:pPr>
            <w:r>
              <w:rPr>
                <w:rFonts w:ascii="Calibri" w:hAnsi="Calibri"/>
                <w:color w:val="17212B"/>
                <w:sz w:val="13"/>
              </w:rPr>
              <w:t>—</w:t>
            </w:r>
          </w:p>
        </w:tc>
        <w:tc>
          <w:tcPr>
            <w:tcW w:type="dxa" w:w="1224"/>
            <w:tcMar>
              <w:top w:w="90" w:type="dxa"/>
              <w:start w:w="120" w:type="dxa"/>
              <w:bottom w:w="90" w:type="dxa"/>
              <w:end w:w="120" w:type="dxa"/>
            </w:tcMar>
            <w:vAlign w:val="center"/>
            <w:shd w:fill="F8FAFB"/>
          </w:tcPr>
          <w:p>
            <w:pPr>
              <w:spacing w:after="0"/>
            </w:pPr>
            <w:r>
              <w:rPr>
                <w:rFonts w:ascii="Calibri" w:hAnsi="Calibri"/>
                <w:color w:val="17212B"/>
                <w:sz w:val="13"/>
              </w:rPr>
              <w:t>Owner</w:t>
            </w:r>
          </w:p>
        </w:tc>
        <w:tc>
          <w:tcPr>
            <w:tcW w:type="dxa" w:w="2131"/>
            <w:tcMar>
              <w:top w:w="90" w:type="dxa"/>
              <w:start w:w="120" w:type="dxa"/>
              <w:bottom w:w="90" w:type="dxa"/>
              <w:end w:w="120" w:type="dxa"/>
            </w:tcMar>
            <w:vAlign w:val="center"/>
            <w:shd w:fill="F8FAFB"/>
          </w:tcPr>
          <w:p>
            <w:pPr>
              <w:spacing w:after="0"/>
            </w:pPr>
            <w:r>
              <w:rPr>
                <w:rFonts w:ascii="Calibri" w:hAnsi="Calibri"/>
                <w:color w:val="17212B"/>
                <w:sz w:val="13"/>
              </w:rPr>
              <w:t>Packages sized for serial acceptance; limited safe overlap</w:t>
            </w:r>
          </w:p>
        </w:tc>
      </w:tr>
      <w:tr>
        <w:trPr>
          <w:cantSplit/>
        </w:trPr>
        <w:tc>
          <w:tcPr>
            <w:tcW w:type="dxa" w:w="792"/>
            <w:tcMar>
              <w:top w:w="90" w:type="dxa"/>
              <w:start w:w="120" w:type="dxa"/>
              <w:bottom w:w="90" w:type="dxa"/>
              <w:end w:w="120" w:type="dxa"/>
            </w:tcMar>
            <w:vAlign w:val="center"/>
          </w:tcPr>
          <w:p>
            <w:pPr>
              <w:spacing w:after="0"/>
            </w:pPr>
            <w:r>
              <w:rPr>
                <w:rFonts w:ascii="Calibri" w:hAnsi="Calibri"/>
                <w:color w:val="17212B"/>
                <w:sz w:val="13"/>
              </w:rPr>
              <w:t>A-02</w:t>
            </w:r>
          </w:p>
        </w:tc>
        <w:tc>
          <w:tcPr>
            <w:tcW w:type="dxa" w:w="893"/>
            <w:tcMar>
              <w:top w:w="90" w:type="dxa"/>
              <w:start w:w="120" w:type="dxa"/>
              <w:bottom w:w="90" w:type="dxa"/>
              <w:end w:w="120" w:type="dxa"/>
            </w:tcMar>
            <w:vAlign w:val="center"/>
          </w:tcPr>
          <w:p>
            <w:pPr>
              <w:spacing w:after="0"/>
            </w:pPr>
            <w:r>
              <w:rPr>
                <w:rFonts w:ascii="Calibri" w:hAnsi="Calibri"/>
                <w:color w:val="17212B"/>
                <w:sz w:val="13"/>
              </w:rPr>
              <w:t>Assumption</w:t>
            </w:r>
          </w:p>
        </w:tc>
        <w:tc>
          <w:tcPr>
            <w:tcW w:type="dxa" w:w="3528"/>
            <w:tcMar>
              <w:top w:w="90" w:type="dxa"/>
              <w:start w:w="120" w:type="dxa"/>
              <w:bottom w:w="90" w:type="dxa"/>
              <w:end w:w="120" w:type="dxa"/>
            </w:tcMar>
            <w:vAlign w:val="center"/>
          </w:tcPr>
          <w:p>
            <w:pPr>
              <w:spacing w:after="0"/>
            </w:pPr>
            <w:r>
              <w:rPr>
                <w:rFonts w:ascii="Calibri" w:hAnsi="Calibri"/>
                <w:color w:val="17212B"/>
                <w:sz w:val="13"/>
              </w:rPr>
              <w:t>Python supported for both cloud agent adapters</w:t>
            </w:r>
          </w:p>
        </w:tc>
        <w:tc>
          <w:tcPr>
            <w:tcW w:type="dxa" w:w="792"/>
            <w:tcMar>
              <w:top w:w="90" w:type="dxa"/>
              <w:start w:w="120" w:type="dxa"/>
              <w:bottom w:w="90" w:type="dxa"/>
              <w:end w:w="120" w:type="dxa"/>
            </w:tcMar>
            <w:vAlign w:val="center"/>
          </w:tcPr>
          <w:p>
            <w:pPr>
              <w:spacing w:after="0"/>
            </w:pPr>
            <w:r>
              <w:rPr>
                <w:rFonts w:ascii="Calibri" w:hAnsi="Calibri"/>
                <w:color w:val="17212B"/>
                <w:sz w:val="13"/>
              </w:rPr>
              <w:t>—</w:t>
            </w:r>
          </w:p>
        </w:tc>
        <w:tc>
          <w:tcPr>
            <w:tcW w:type="dxa" w:w="1224"/>
            <w:tcMar>
              <w:top w:w="90" w:type="dxa"/>
              <w:start w:w="120" w:type="dxa"/>
              <w:bottom w:w="90" w:type="dxa"/>
              <w:end w:w="120" w:type="dxa"/>
            </w:tcMar>
            <w:vAlign w:val="center"/>
          </w:tcPr>
          <w:p>
            <w:pPr>
              <w:spacing w:after="0"/>
            </w:pPr>
            <w:r>
              <w:rPr>
                <w:rFonts w:ascii="Calibri" w:hAnsi="Calibri"/>
                <w:color w:val="17212B"/>
                <w:sz w:val="13"/>
              </w:rPr>
              <w:t>PM</w:t>
            </w:r>
          </w:p>
        </w:tc>
        <w:tc>
          <w:tcPr>
            <w:tcW w:type="dxa" w:w="2131"/>
            <w:tcMar>
              <w:top w:w="90" w:type="dxa"/>
              <w:start w:w="120" w:type="dxa"/>
              <w:bottom w:w="90" w:type="dxa"/>
              <w:end w:w="120" w:type="dxa"/>
            </w:tcMar>
            <w:vAlign w:val="center"/>
          </w:tcPr>
          <w:p>
            <w:pPr>
              <w:spacing w:after="0"/>
            </w:pPr>
            <w:r>
              <w:rPr>
                <w:rFonts w:ascii="Calibri" w:hAnsi="Calibri"/>
                <w:color w:val="17212B"/>
                <w:sz w:val="13"/>
              </w:rPr>
              <w:t>Validate current SDK/runtime versions before WP-08/WP-10</w:t>
            </w:r>
          </w:p>
        </w:tc>
      </w:tr>
      <w:tr>
        <w:trPr>
          <w:cantSplit/>
        </w:trPr>
        <w:tc>
          <w:tcPr>
            <w:tcW w:type="dxa" w:w="792"/>
            <w:tcMar>
              <w:top w:w="90" w:type="dxa"/>
              <w:start w:w="120" w:type="dxa"/>
              <w:bottom w:w="90" w:type="dxa"/>
              <w:end w:w="120" w:type="dxa"/>
            </w:tcMar>
            <w:vAlign w:val="center"/>
            <w:shd w:fill="F8FAFB"/>
          </w:tcPr>
          <w:p>
            <w:pPr>
              <w:spacing w:after="0"/>
            </w:pPr>
            <w:r>
              <w:rPr>
                <w:rFonts w:ascii="Calibri" w:hAnsi="Calibri"/>
                <w:color w:val="17212B"/>
                <w:sz w:val="13"/>
              </w:rPr>
              <w:t>D-01</w:t>
            </w:r>
          </w:p>
        </w:tc>
        <w:tc>
          <w:tcPr>
            <w:tcW w:type="dxa" w:w="893"/>
            <w:tcMar>
              <w:top w:w="90" w:type="dxa"/>
              <w:start w:w="120" w:type="dxa"/>
              <w:bottom w:w="90" w:type="dxa"/>
              <w:end w:w="120" w:type="dxa"/>
            </w:tcMar>
            <w:vAlign w:val="center"/>
            <w:shd w:fill="F8FAFB"/>
          </w:tcPr>
          <w:p>
            <w:pPr>
              <w:spacing w:after="0"/>
            </w:pPr>
            <w:r>
              <w:rPr>
                <w:rFonts w:ascii="Calibri" w:hAnsi="Calibri"/>
                <w:color w:val="17212B"/>
                <w:sz w:val="13"/>
              </w:rPr>
              <w:t>Dependency</w:t>
            </w:r>
          </w:p>
        </w:tc>
        <w:tc>
          <w:tcPr>
            <w:tcW w:type="dxa" w:w="3528"/>
            <w:tcMar>
              <w:top w:w="90" w:type="dxa"/>
              <w:start w:w="120" w:type="dxa"/>
              <w:bottom w:w="90" w:type="dxa"/>
              <w:end w:w="120" w:type="dxa"/>
            </w:tcMar>
            <w:vAlign w:val="center"/>
            <w:shd w:fill="F8FAFB"/>
          </w:tcPr>
          <w:p>
            <w:pPr>
              <w:spacing w:after="0"/>
            </w:pPr>
            <w:r>
              <w:rPr>
                <w:rFonts w:ascii="Calibri" w:hAnsi="Calibri"/>
                <w:color w:val="17212B"/>
                <w:sz w:val="13"/>
              </w:rPr>
              <w:t>Approved v1 specification remains normative</w:t>
            </w:r>
          </w:p>
        </w:tc>
        <w:tc>
          <w:tcPr>
            <w:tcW w:type="dxa" w:w="792"/>
            <w:tcMar>
              <w:top w:w="90" w:type="dxa"/>
              <w:start w:w="120" w:type="dxa"/>
              <w:bottom w:w="90" w:type="dxa"/>
              <w:end w:w="120" w:type="dxa"/>
            </w:tcMar>
            <w:vAlign w:val="center"/>
            <w:shd w:fill="F8FAFB"/>
          </w:tcPr>
          <w:p>
            <w:pPr>
              <w:spacing w:after="0"/>
            </w:pPr>
            <w:r>
              <w:rPr>
                <w:rFonts w:ascii="Calibri" w:hAnsi="Calibri"/>
                <w:color w:val="17212B"/>
                <w:sz w:val="13"/>
              </w:rPr>
              <w:t>—</w:t>
            </w:r>
          </w:p>
        </w:tc>
        <w:tc>
          <w:tcPr>
            <w:tcW w:type="dxa" w:w="1224"/>
            <w:tcMar>
              <w:top w:w="90" w:type="dxa"/>
              <w:start w:w="120" w:type="dxa"/>
              <w:bottom w:w="90" w:type="dxa"/>
              <w:end w:w="120" w:type="dxa"/>
            </w:tcMar>
            <w:vAlign w:val="center"/>
            <w:shd w:fill="F8FAFB"/>
          </w:tcPr>
          <w:p>
            <w:pPr>
              <w:spacing w:after="0"/>
            </w:pPr>
            <w:r>
              <w:rPr>
                <w:rFonts w:ascii="Calibri" w:hAnsi="Calibri"/>
                <w:color w:val="17212B"/>
                <w:sz w:val="13"/>
              </w:rPr>
              <w:t>Owner</w:t>
            </w:r>
          </w:p>
        </w:tc>
        <w:tc>
          <w:tcPr>
            <w:tcW w:type="dxa" w:w="2131"/>
            <w:tcMar>
              <w:top w:w="90" w:type="dxa"/>
              <w:start w:w="120" w:type="dxa"/>
              <w:bottom w:w="90" w:type="dxa"/>
              <w:end w:w="120" w:type="dxa"/>
            </w:tcMar>
            <w:vAlign w:val="center"/>
            <w:shd w:fill="F8FAFB"/>
          </w:tcPr>
          <w:p>
            <w:pPr>
              <w:spacing w:after="0"/>
            </w:pPr>
            <w:r>
              <w:rPr>
                <w:rFonts w:ascii="Calibri" w:hAnsi="Calibri"/>
                <w:color w:val="17212B"/>
                <w:sz w:val="13"/>
              </w:rPr>
              <w:t>Any change gets ADR and traceability update</w:t>
            </w:r>
          </w:p>
        </w:tc>
      </w:tr>
      <w:tr>
        <w:trPr>
          <w:cantSplit/>
        </w:trPr>
        <w:tc>
          <w:tcPr>
            <w:tcW w:type="dxa" w:w="792"/>
            <w:tcMar>
              <w:top w:w="90" w:type="dxa"/>
              <w:start w:w="120" w:type="dxa"/>
              <w:bottom w:w="90" w:type="dxa"/>
              <w:end w:w="120" w:type="dxa"/>
            </w:tcMar>
            <w:vAlign w:val="center"/>
          </w:tcPr>
          <w:p>
            <w:pPr>
              <w:spacing w:after="0"/>
            </w:pPr>
            <w:r>
              <w:rPr>
                <w:rFonts w:ascii="Calibri" w:hAnsi="Calibri"/>
                <w:color w:val="17212B"/>
                <w:sz w:val="13"/>
              </w:rPr>
              <w:t>D-02</w:t>
            </w:r>
          </w:p>
        </w:tc>
        <w:tc>
          <w:tcPr>
            <w:tcW w:type="dxa" w:w="893"/>
            <w:tcMar>
              <w:top w:w="90" w:type="dxa"/>
              <w:start w:w="120" w:type="dxa"/>
              <w:bottom w:w="90" w:type="dxa"/>
              <w:end w:w="120" w:type="dxa"/>
            </w:tcMar>
            <w:vAlign w:val="center"/>
          </w:tcPr>
          <w:p>
            <w:pPr>
              <w:spacing w:after="0"/>
            </w:pPr>
            <w:r>
              <w:rPr>
                <w:rFonts w:ascii="Calibri" w:hAnsi="Calibri"/>
                <w:color w:val="17212B"/>
                <w:sz w:val="13"/>
              </w:rPr>
              <w:t>Dependency</w:t>
            </w:r>
          </w:p>
        </w:tc>
        <w:tc>
          <w:tcPr>
            <w:tcW w:type="dxa" w:w="3528"/>
            <w:tcMar>
              <w:top w:w="90" w:type="dxa"/>
              <w:start w:w="120" w:type="dxa"/>
              <w:bottom w:w="90" w:type="dxa"/>
              <w:end w:w="120" w:type="dxa"/>
            </w:tcMar>
            <w:vAlign w:val="center"/>
          </w:tcPr>
          <w:p>
            <w:pPr>
              <w:spacing w:after="0"/>
            </w:pPr>
            <w:r>
              <w:rPr>
                <w:rFonts w:ascii="Calibri" w:hAnsi="Calibri"/>
                <w:color w:val="17212B"/>
                <w:sz w:val="13"/>
              </w:rPr>
              <w:t>Developer/cloud/RevenueCat accounts controlled by owner</w:t>
            </w:r>
          </w:p>
        </w:tc>
        <w:tc>
          <w:tcPr>
            <w:tcW w:type="dxa" w:w="792"/>
            <w:tcMar>
              <w:top w:w="90" w:type="dxa"/>
              <w:start w:w="120" w:type="dxa"/>
              <w:bottom w:w="90" w:type="dxa"/>
              <w:end w:w="120" w:type="dxa"/>
            </w:tcMar>
            <w:vAlign w:val="center"/>
          </w:tcPr>
          <w:p>
            <w:pPr>
              <w:spacing w:after="0"/>
            </w:pPr>
            <w:r>
              <w:rPr>
                <w:rFonts w:ascii="Calibri" w:hAnsi="Calibri"/>
                <w:color w:val="17212B"/>
                <w:sz w:val="13"/>
              </w:rPr>
              <w:t>—</w:t>
            </w:r>
          </w:p>
        </w:tc>
        <w:tc>
          <w:tcPr>
            <w:tcW w:type="dxa" w:w="1224"/>
            <w:tcMar>
              <w:top w:w="90" w:type="dxa"/>
              <w:start w:w="120" w:type="dxa"/>
              <w:bottom w:w="90" w:type="dxa"/>
              <w:end w:w="120" w:type="dxa"/>
            </w:tcMar>
            <w:vAlign w:val="center"/>
          </w:tcPr>
          <w:p>
            <w:pPr>
              <w:spacing w:after="0"/>
            </w:pPr>
            <w:r>
              <w:rPr>
                <w:rFonts w:ascii="Calibri" w:hAnsi="Calibri"/>
                <w:color w:val="17212B"/>
                <w:sz w:val="13"/>
              </w:rPr>
              <w:t>Owner</w:t>
            </w:r>
          </w:p>
        </w:tc>
        <w:tc>
          <w:tcPr>
            <w:tcW w:type="dxa" w:w="2131"/>
            <w:tcMar>
              <w:top w:w="90" w:type="dxa"/>
              <w:start w:w="120" w:type="dxa"/>
              <w:bottom w:w="90" w:type="dxa"/>
              <w:end w:w="120" w:type="dxa"/>
            </w:tcMar>
            <w:vAlign w:val="center"/>
          </w:tcPr>
          <w:p>
            <w:pPr>
              <w:spacing w:after="0"/>
            </w:pPr>
            <w:r>
              <w:rPr>
                <w:rFonts w:ascii="Calibri" w:hAnsi="Calibri"/>
                <w:color w:val="17212B"/>
                <w:sz w:val="13"/>
              </w:rPr>
              <w:t>Account checklist; never place credentials in chat/repo</w:t>
            </w:r>
          </w:p>
        </w:tc>
      </w:tr>
    </w:tbl>
    <w:p>
      <w:pPr>
        <w:spacing w:after="20"/>
      </w:pPr>
    </w:p>
    <w:p>
      <w:pPr>
        <w:pStyle w:val="Heading2"/>
      </w:pPr>
      <w:r>
        <w:t>10.1 Escalation thresholds</w:t>
      </w:r>
    </w:p>
    <w:p>
      <w:pPr>
        <w:pStyle w:val="ListBullet"/>
      </w:pPr>
      <w:r>
        <w:t>Escalate immediately: security/privacy violation, credential exposure, destructive data loss, or external action outside authorization.</w:t>
      </w:r>
    </w:p>
    <w:p>
      <w:pPr>
        <w:pStyle w:val="ListBullet"/>
      </w:pPr>
      <w:r>
        <w:t>Escalate within the work package: architectural drift, schema/trust-boundary ambiguity, new hosted dependency, account/quota blocker.</w:t>
      </w:r>
    </w:p>
    <w:p>
      <w:pPr>
        <w:pStyle w:val="ListBullet"/>
      </w:pPr>
      <w:r>
        <w:t>Reforecast milestone when critical-path work is &gt;1 day late before G1, &gt;2 days late before G2/G3, or a submission requirement lacks an owner.</w:t>
      </w:r>
    </w:p>
    <w:p>
      <w:pPr>
        <w:pStyle w:val="ListBullet"/>
      </w:pPr>
      <w:r>
        <w:t>Declare a scope cut before accepting lower-quality evidence or removing a non-negotiable control.</w:t>
      </w:r>
    </w:p>
    <w:p>
      <w:pPr>
        <w:pStyle w:val="Heading1"/>
      </w:pPr>
      <w:r>
        <w:t>11. Status and milestone controls</w:t>
      </w:r>
    </w:p>
    <w:p>
      <w:pPr>
        <w:pStyle w:val="Heading2"/>
      </w:pPr>
      <w:r>
        <w:t>11.1 Daily status template</w:t>
      </w:r>
    </w:p>
    <w:p>
      <w:pPr>
        <w:pStyle w:val="CodeBlock"/>
        <w:shd w:fill="EDF3F6"/>
        <w:keepLines/>
      </w:pPr>
      <w:r>
        <w:rPr>
          <w:rFonts w:ascii="Consolas" w:hAnsi="Consolas"/>
          <w:color w:val="17212B"/>
          <w:sz w:val="15"/>
        </w:rPr>
        <w:t>DATE / GATE / WORK PACKAGE</w:t>
        <w:br/>
        <w:t>Overall: GREEN | AMBER | RED</w:t>
        <w:br/>
        <w:t>Completed: outcomes accepted since last report</w:t>
        <w:br/>
        <w:t>In progress: current acceptance target</w:t>
        <w:br/>
        <w:t>Next: next bounded action</w:t>
        <w:br/>
        <w:t>Blockers: owner + needed-by date</w:t>
        <w:br/>
        <w:t>Risks changed: ID + movement + response</w:t>
        <w:br/>
        <w:t>Decisions needed: exact question, recommendation, deadline</w:t>
        <w:br/>
        <w:t>Forecast: milestone date and confidence</w:t>
      </w:r>
    </w:p>
    <w:p>
      <w:pPr>
        <w:pStyle w:val="Heading2"/>
      </w:pPr>
      <w:r>
        <w:t>11.2 Gate dashboard</w:t>
      </w:r>
    </w:p>
    <w:tbl>
      <w:tblPr>
        <w:tblStyle w:val="TableGrid"/>
        <w:tblW w:type="auto" w:w="0"/>
        <w:jc w:val="center"/>
        <w:tblLayout w:type="fixed"/>
        <w:tblLook w:firstColumn="1" w:firstRow="1" w:lastColumn="0" w:lastRow="0" w:noHBand="0" w:noVBand="1" w:val="04A0"/>
        <w:tblW w:w="9360" w:type="dxa"/>
        <w:tblInd w:w="120" w:type="dxa"/>
      </w:tblPr>
      <w:tblGrid>
        <w:gridCol w:w="1656"/>
        <w:gridCol w:w="2592"/>
        <w:gridCol w:w="2592"/>
        <w:gridCol w:w="2520"/>
      </w:tblGrid>
      <w:tr>
        <w:trPr>
          <w:tblHeader w:val="true"/>
          <w:cantSplit/>
        </w:trPr>
        <w:tc>
          <w:tcPr>
            <w:tcW w:type="dxa" w:w="1656"/>
            <w:tcMar>
              <w:top w:w="90" w:type="dxa"/>
              <w:start w:w="120" w:type="dxa"/>
              <w:bottom w:w="90" w:type="dxa"/>
              <w:end w:w="120" w:type="dxa"/>
            </w:tcMar>
            <w:shd w:fill="17324D"/>
            <w:vAlign w:val="center"/>
          </w:tcPr>
          <w:p>
            <w:pPr>
              <w:spacing w:after="0"/>
            </w:pPr>
            <w:r>
              <w:rPr>
                <w:rFonts w:ascii="Calibri" w:hAnsi="Calibri"/>
                <w:b/>
                <w:color w:val="FFFFFF"/>
                <w:sz w:val="15"/>
              </w:rPr>
              <w:t>Dimension</w:t>
            </w:r>
          </w:p>
        </w:tc>
        <w:tc>
          <w:tcPr>
            <w:tcW w:type="dxa" w:w="2592"/>
            <w:tcMar>
              <w:top w:w="90" w:type="dxa"/>
              <w:start w:w="120" w:type="dxa"/>
              <w:bottom w:w="90" w:type="dxa"/>
              <w:end w:w="120" w:type="dxa"/>
            </w:tcMar>
            <w:shd w:fill="17324D"/>
            <w:vAlign w:val="center"/>
          </w:tcPr>
          <w:p>
            <w:pPr>
              <w:spacing w:after="0"/>
            </w:pPr>
            <w:r>
              <w:rPr>
                <w:rFonts w:ascii="Calibri" w:hAnsi="Calibri"/>
                <w:b/>
                <w:color w:val="FFFFFF"/>
                <w:sz w:val="15"/>
              </w:rPr>
              <w:t>Green</w:t>
            </w:r>
          </w:p>
        </w:tc>
        <w:tc>
          <w:tcPr>
            <w:tcW w:type="dxa" w:w="2592"/>
            <w:tcMar>
              <w:top w:w="90" w:type="dxa"/>
              <w:start w:w="120" w:type="dxa"/>
              <w:bottom w:w="90" w:type="dxa"/>
              <w:end w:w="120" w:type="dxa"/>
            </w:tcMar>
            <w:shd w:fill="17324D"/>
            <w:vAlign w:val="center"/>
          </w:tcPr>
          <w:p>
            <w:pPr>
              <w:spacing w:after="0"/>
            </w:pPr>
            <w:r>
              <w:rPr>
                <w:rFonts w:ascii="Calibri" w:hAnsi="Calibri"/>
                <w:b/>
                <w:color w:val="FFFFFF"/>
                <w:sz w:val="15"/>
              </w:rPr>
              <w:t>Amber</w:t>
            </w:r>
          </w:p>
        </w:tc>
        <w:tc>
          <w:tcPr>
            <w:tcW w:type="dxa" w:w="2520"/>
            <w:tcMar>
              <w:top w:w="90" w:type="dxa"/>
              <w:start w:w="120" w:type="dxa"/>
              <w:bottom w:w="90" w:type="dxa"/>
              <w:end w:w="120" w:type="dxa"/>
            </w:tcMar>
            <w:shd w:fill="17324D"/>
            <w:vAlign w:val="center"/>
          </w:tcPr>
          <w:p>
            <w:pPr>
              <w:spacing w:after="0"/>
            </w:pPr>
            <w:r>
              <w:rPr>
                <w:rFonts w:ascii="Calibri" w:hAnsi="Calibri"/>
                <w:b/>
                <w:color w:val="FFFFFF"/>
                <w:sz w:val="15"/>
              </w:rPr>
              <w:t>Red</w:t>
            </w:r>
          </w:p>
        </w:tc>
      </w:tr>
      <w:tr>
        <w:trPr>
          <w:cantSplit/>
        </w:trPr>
        <w:tc>
          <w:tcPr>
            <w:tcW w:type="dxa" w:w="1656"/>
            <w:tcMar>
              <w:top w:w="90" w:type="dxa"/>
              <w:start w:w="120" w:type="dxa"/>
              <w:bottom w:w="90" w:type="dxa"/>
              <w:end w:w="120" w:type="dxa"/>
            </w:tcMar>
            <w:vAlign w:val="center"/>
          </w:tcPr>
          <w:p>
            <w:pPr>
              <w:spacing w:after="0"/>
            </w:pPr>
            <w:r>
              <w:rPr>
                <w:rFonts w:ascii="Calibri" w:hAnsi="Calibri"/>
                <w:color w:val="17212B"/>
                <w:sz w:val="15"/>
              </w:rPr>
              <w:t>Scope</w:t>
            </w:r>
          </w:p>
        </w:tc>
        <w:tc>
          <w:tcPr>
            <w:tcW w:type="dxa" w:w="2592"/>
            <w:tcMar>
              <w:top w:w="90" w:type="dxa"/>
              <w:start w:w="120" w:type="dxa"/>
              <w:bottom w:w="90" w:type="dxa"/>
              <w:end w:w="120" w:type="dxa"/>
            </w:tcMar>
            <w:vAlign w:val="center"/>
          </w:tcPr>
          <w:p>
            <w:pPr>
              <w:spacing w:after="0"/>
            </w:pPr>
            <w:r>
              <w:rPr>
                <w:rFonts w:ascii="Calibri" w:hAnsi="Calibri"/>
                <w:color w:val="17212B"/>
                <w:sz w:val="15"/>
              </w:rPr>
              <w:t>Mandatory scope accepted; optional controlled</w:t>
            </w:r>
          </w:p>
        </w:tc>
        <w:tc>
          <w:tcPr>
            <w:tcW w:type="dxa" w:w="2592"/>
            <w:tcMar>
              <w:top w:w="90" w:type="dxa"/>
              <w:start w:w="120" w:type="dxa"/>
              <w:bottom w:w="90" w:type="dxa"/>
              <w:end w:w="120" w:type="dxa"/>
            </w:tcMar>
            <w:vAlign w:val="center"/>
          </w:tcPr>
          <w:p>
            <w:pPr>
              <w:spacing w:after="0"/>
            </w:pPr>
            <w:r>
              <w:rPr>
                <w:rFonts w:ascii="Calibri" w:hAnsi="Calibri"/>
                <w:color w:val="17212B"/>
                <w:sz w:val="15"/>
              </w:rPr>
              <w:t>Mandatory work at risk; cut identified</w:t>
            </w:r>
          </w:p>
        </w:tc>
        <w:tc>
          <w:tcPr>
            <w:tcW w:type="dxa" w:w="2520"/>
            <w:tcMar>
              <w:top w:w="90" w:type="dxa"/>
              <w:start w:w="120" w:type="dxa"/>
              <w:bottom w:w="90" w:type="dxa"/>
              <w:end w:w="120" w:type="dxa"/>
            </w:tcMar>
            <w:vAlign w:val="center"/>
          </w:tcPr>
          <w:p>
            <w:pPr>
              <w:spacing w:after="0"/>
            </w:pPr>
            <w:r>
              <w:rPr>
                <w:rFonts w:ascii="Calibri" w:hAnsi="Calibri"/>
                <w:color w:val="17212B"/>
                <w:sz w:val="15"/>
              </w:rPr>
              <w:t>Mandatory control/eligibility cannot complete</w:t>
            </w:r>
          </w:p>
        </w:tc>
      </w:tr>
      <w:tr>
        <w:trPr>
          <w:cantSplit/>
        </w:trPr>
        <w:tc>
          <w:tcPr>
            <w:tcW w:type="dxa" w:w="1656"/>
            <w:tcMar>
              <w:top w:w="90" w:type="dxa"/>
              <w:start w:w="120" w:type="dxa"/>
              <w:bottom w:w="90" w:type="dxa"/>
              <w:end w:w="120" w:type="dxa"/>
            </w:tcMar>
            <w:vAlign w:val="center"/>
            <w:shd w:fill="F8FAFB"/>
          </w:tcPr>
          <w:p>
            <w:pPr>
              <w:spacing w:after="0"/>
            </w:pPr>
            <w:r>
              <w:rPr>
                <w:rFonts w:ascii="Calibri" w:hAnsi="Calibri"/>
                <w:color w:val="17212B"/>
                <w:sz w:val="15"/>
              </w:rPr>
              <w:t>Schedule</w:t>
            </w:r>
          </w:p>
        </w:tc>
        <w:tc>
          <w:tcPr>
            <w:tcW w:type="dxa" w:w="2592"/>
            <w:tcMar>
              <w:top w:w="90" w:type="dxa"/>
              <w:start w:w="120" w:type="dxa"/>
              <w:bottom w:w="90" w:type="dxa"/>
              <w:end w:w="120" w:type="dxa"/>
            </w:tcMar>
            <w:vAlign w:val="center"/>
            <w:shd w:fill="F8FAFB"/>
          </w:tcPr>
          <w:p>
            <w:pPr>
              <w:spacing w:after="0"/>
            </w:pPr>
            <w:r>
              <w:rPr>
                <w:rFonts w:ascii="Calibri" w:hAnsi="Calibri"/>
                <w:color w:val="17212B"/>
                <w:sz w:val="15"/>
              </w:rPr>
              <w:t>≥72h submission buffer</w:t>
            </w:r>
          </w:p>
        </w:tc>
        <w:tc>
          <w:tcPr>
            <w:tcW w:type="dxa" w:w="2592"/>
            <w:tcMar>
              <w:top w:w="90" w:type="dxa"/>
              <w:start w:w="120" w:type="dxa"/>
              <w:bottom w:w="90" w:type="dxa"/>
              <w:end w:w="120" w:type="dxa"/>
            </w:tcMar>
            <w:vAlign w:val="center"/>
            <w:shd w:fill="F8FAFB"/>
          </w:tcPr>
          <w:p>
            <w:pPr>
              <w:spacing w:after="0"/>
            </w:pPr>
            <w:r>
              <w:rPr>
                <w:rFonts w:ascii="Calibri" w:hAnsi="Calibri"/>
                <w:color w:val="17212B"/>
                <w:sz w:val="15"/>
              </w:rPr>
              <w:t>24–72h buffer or critical path slip</w:t>
            </w:r>
          </w:p>
        </w:tc>
        <w:tc>
          <w:tcPr>
            <w:tcW w:type="dxa" w:w="2520"/>
            <w:tcMar>
              <w:top w:w="90" w:type="dxa"/>
              <w:start w:w="120" w:type="dxa"/>
              <w:bottom w:w="90" w:type="dxa"/>
              <w:end w:w="120" w:type="dxa"/>
            </w:tcMar>
            <w:vAlign w:val="center"/>
            <w:shd w:fill="F8FAFB"/>
          </w:tcPr>
          <w:p>
            <w:pPr>
              <w:spacing w:after="0"/>
            </w:pPr>
            <w:r>
              <w:rPr>
                <w:rFonts w:ascii="Calibri" w:hAnsi="Calibri"/>
                <w:color w:val="17212B"/>
                <w:sz w:val="15"/>
              </w:rPr>
              <w:t>&lt;24h buffer with core/submission incomplete</w:t>
            </w:r>
          </w:p>
        </w:tc>
      </w:tr>
      <w:tr>
        <w:trPr>
          <w:cantSplit/>
        </w:trPr>
        <w:tc>
          <w:tcPr>
            <w:tcW w:type="dxa" w:w="1656"/>
            <w:tcMar>
              <w:top w:w="90" w:type="dxa"/>
              <w:start w:w="120" w:type="dxa"/>
              <w:bottom w:w="90" w:type="dxa"/>
              <w:end w:w="120" w:type="dxa"/>
            </w:tcMar>
            <w:vAlign w:val="center"/>
          </w:tcPr>
          <w:p>
            <w:pPr>
              <w:spacing w:after="0"/>
            </w:pPr>
            <w:r>
              <w:rPr>
                <w:rFonts w:ascii="Calibri" w:hAnsi="Calibri"/>
                <w:color w:val="17212B"/>
                <w:sz w:val="15"/>
              </w:rPr>
              <w:t>Quality</w:t>
            </w:r>
          </w:p>
        </w:tc>
        <w:tc>
          <w:tcPr>
            <w:tcW w:type="dxa" w:w="2592"/>
            <w:tcMar>
              <w:top w:w="90" w:type="dxa"/>
              <w:start w:w="120" w:type="dxa"/>
              <w:bottom w:w="90" w:type="dxa"/>
              <w:end w:w="120" w:type="dxa"/>
            </w:tcMar>
            <w:vAlign w:val="center"/>
          </w:tcPr>
          <w:p>
            <w:pPr>
              <w:spacing w:after="0"/>
            </w:pPr>
            <w:r>
              <w:rPr>
                <w:rFonts w:ascii="Calibri" w:hAnsi="Calibri"/>
                <w:color w:val="17212B"/>
                <w:sz w:val="15"/>
              </w:rPr>
              <w:t>All release checks pass</w:t>
            </w:r>
          </w:p>
        </w:tc>
        <w:tc>
          <w:tcPr>
            <w:tcW w:type="dxa" w:w="2592"/>
            <w:tcMar>
              <w:top w:w="90" w:type="dxa"/>
              <w:start w:w="120" w:type="dxa"/>
              <w:bottom w:w="90" w:type="dxa"/>
              <w:end w:w="120" w:type="dxa"/>
            </w:tcMar>
            <w:vAlign w:val="center"/>
          </w:tcPr>
          <w:p>
            <w:pPr>
              <w:spacing w:after="0"/>
            </w:pPr>
            <w:r>
              <w:rPr>
                <w:rFonts w:ascii="Calibri" w:hAnsi="Calibri"/>
                <w:color w:val="17212B"/>
                <w:sz w:val="15"/>
              </w:rPr>
              <w:t>Known medium issue with bounded workaround</w:t>
            </w:r>
          </w:p>
        </w:tc>
        <w:tc>
          <w:tcPr>
            <w:tcW w:type="dxa" w:w="2520"/>
            <w:tcMar>
              <w:top w:w="90" w:type="dxa"/>
              <w:start w:w="120" w:type="dxa"/>
              <w:bottom w:w="90" w:type="dxa"/>
              <w:end w:w="120" w:type="dxa"/>
            </w:tcMar>
            <w:vAlign w:val="center"/>
          </w:tcPr>
          <w:p>
            <w:pPr>
              <w:spacing w:after="0"/>
            </w:pPr>
            <w:r>
              <w:rPr>
                <w:rFonts w:ascii="Calibri" w:hAnsi="Calibri"/>
                <w:color w:val="17212B"/>
                <w:sz w:val="15"/>
              </w:rPr>
              <w:t>Critical/high or failed mandatory acceptance</w:t>
            </w:r>
          </w:p>
        </w:tc>
      </w:tr>
      <w:tr>
        <w:trPr>
          <w:cantSplit/>
        </w:trPr>
        <w:tc>
          <w:tcPr>
            <w:tcW w:type="dxa" w:w="1656"/>
            <w:tcMar>
              <w:top w:w="90" w:type="dxa"/>
              <w:start w:w="120" w:type="dxa"/>
              <w:bottom w:w="90" w:type="dxa"/>
              <w:end w:w="120" w:type="dxa"/>
            </w:tcMar>
            <w:vAlign w:val="center"/>
            <w:shd w:fill="F8FAFB"/>
          </w:tcPr>
          <w:p>
            <w:pPr>
              <w:spacing w:after="0"/>
            </w:pPr>
            <w:r>
              <w:rPr>
                <w:rFonts w:ascii="Calibri" w:hAnsi="Calibri"/>
                <w:color w:val="17212B"/>
                <w:sz w:val="15"/>
              </w:rPr>
              <w:t>Evidence</w:t>
            </w:r>
          </w:p>
        </w:tc>
        <w:tc>
          <w:tcPr>
            <w:tcW w:type="dxa" w:w="2592"/>
            <w:tcMar>
              <w:top w:w="90" w:type="dxa"/>
              <w:start w:w="120" w:type="dxa"/>
              <w:bottom w:w="90" w:type="dxa"/>
              <w:end w:w="120" w:type="dxa"/>
            </w:tcMar>
            <w:vAlign w:val="center"/>
            <w:shd w:fill="F8FAFB"/>
          </w:tcPr>
          <w:p>
            <w:pPr>
              <w:spacing w:after="0"/>
            </w:pPr>
            <w:r>
              <w:rPr>
                <w:rFonts w:ascii="Calibri" w:hAnsi="Calibri"/>
                <w:color w:val="17212B"/>
                <w:sz w:val="15"/>
              </w:rPr>
              <w:t>Reproducible build/demo/tests and links</w:t>
            </w:r>
          </w:p>
        </w:tc>
        <w:tc>
          <w:tcPr>
            <w:tcW w:type="dxa" w:w="2592"/>
            <w:tcMar>
              <w:top w:w="90" w:type="dxa"/>
              <w:start w:w="120" w:type="dxa"/>
              <w:bottom w:w="90" w:type="dxa"/>
              <w:end w:w="120" w:type="dxa"/>
            </w:tcMar>
            <w:vAlign w:val="center"/>
            <w:shd w:fill="F8FAFB"/>
          </w:tcPr>
          <w:p>
            <w:pPr>
              <w:spacing w:after="0"/>
            </w:pPr>
            <w:r>
              <w:rPr>
                <w:rFonts w:ascii="Calibri" w:hAnsi="Calibri"/>
                <w:color w:val="17212B"/>
                <w:sz w:val="15"/>
              </w:rPr>
              <w:t>One replaceable evidence gap</w:t>
            </w:r>
          </w:p>
        </w:tc>
        <w:tc>
          <w:tcPr>
            <w:tcW w:type="dxa" w:w="2520"/>
            <w:tcMar>
              <w:top w:w="90" w:type="dxa"/>
              <w:start w:w="120" w:type="dxa"/>
              <w:bottom w:w="90" w:type="dxa"/>
              <w:end w:w="120" w:type="dxa"/>
            </w:tcMar>
            <w:vAlign w:val="center"/>
            <w:shd w:fill="F8FAFB"/>
          </w:tcPr>
          <w:p>
            <w:pPr>
              <w:spacing w:after="0"/>
            </w:pPr>
            <w:r>
              <w:rPr>
                <w:rFonts w:ascii="Calibri" w:hAnsi="Calibri"/>
                <w:color w:val="17212B"/>
                <w:sz w:val="15"/>
              </w:rPr>
              <w:t>Deployment/demo/source/submission evidence unavailable</w:t>
            </w:r>
          </w:p>
        </w:tc>
      </w:tr>
      <w:tr>
        <w:trPr>
          <w:cantSplit/>
        </w:trPr>
        <w:tc>
          <w:tcPr>
            <w:tcW w:type="dxa" w:w="1656"/>
            <w:tcMar>
              <w:top w:w="90" w:type="dxa"/>
              <w:start w:w="120" w:type="dxa"/>
              <w:bottom w:w="90" w:type="dxa"/>
              <w:end w:w="120" w:type="dxa"/>
            </w:tcMar>
            <w:vAlign w:val="center"/>
          </w:tcPr>
          <w:p>
            <w:pPr>
              <w:spacing w:after="0"/>
            </w:pPr>
            <w:r>
              <w:rPr>
                <w:rFonts w:ascii="Calibri" w:hAnsi="Calibri"/>
                <w:color w:val="17212B"/>
                <w:sz w:val="15"/>
              </w:rPr>
              <w:t>Accounts</w:t>
            </w:r>
          </w:p>
        </w:tc>
        <w:tc>
          <w:tcPr>
            <w:tcW w:type="dxa" w:w="2592"/>
            <w:tcMar>
              <w:top w:w="90" w:type="dxa"/>
              <w:start w:w="120" w:type="dxa"/>
              <w:bottom w:w="90" w:type="dxa"/>
              <w:end w:w="120" w:type="dxa"/>
            </w:tcMar>
            <w:vAlign w:val="center"/>
          </w:tcPr>
          <w:p>
            <w:pPr>
              <w:spacing w:after="0"/>
            </w:pPr>
            <w:r>
              <w:rPr>
                <w:rFonts w:ascii="Calibri" w:hAnsi="Calibri"/>
                <w:color w:val="17212B"/>
                <w:sz w:val="15"/>
              </w:rPr>
              <w:t>Access/quotas/store status verified</w:t>
            </w:r>
          </w:p>
        </w:tc>
        <w:tc>
          <w:tcPr>
            <w:tcW w:type="dxa" w:w="2592"/>
            <w:tcMar>
              <w:top w:w="90" w:type="dxa"/>
              <w:start w:w="120" w:type="dxa"/>
              <w:bottom w:w="90" w:type="dxa"/>
              <w:end w:w="120" w:type="dxa"/>
            </w:tcMar>
            <w:vAlign w:val="center"/>
          </w:tcPr>
          <w:p>
            <w:pPr>
              <w:spacing w:after="0"/>
            </w:pPr>
            <w:r>
              <w:rPr>
                <w:rFonts w:ascii="Calibri" w:hAnsi="Calibri"/>
                <w:color w:val="17212B"/>
                <w:sz w:val="15"/>
              </w:rPr>
              <w:t>Pending approval with fallback</w:t>
            </w:r>
          </w:p>
        </w:tc>
        <w:tc>
          <w:tcPr>
            <w:tcW w:type="dxa" w:w="2520"/>
            <w:tcMar>
              <w:top w:w="90" w:type="dxa"/>
              <w:start w:w="120" w:type="dxa"/>
              <w:bottom w:w="90" w:type="dxa"/>
              <w:end w:w="120" w:type="dxa"/>
            </w:tcMar>
            <w:vAlign w:val="center"/>
          </w:tcPr>
          <w:p>
            <w:pPr>
              <w:spacing w:after="0"/>
            </w:pPr>
            <w:r>
              <w:rPr>
                <w:rFonts w:ascii="Calibri" w:hAnsi="Calibri"/>
                <w:color w:val="17212B"/>
                <w:sz w:val="15"/>
              </w:rPr>
              <w:t>Required account/service unavailable</w:t>
            </w:r>
          </w:p>
        </w:tc>
      </w:tr>
    </w:tbl>
    <w:p>
      <w:pPr>
        <w:spacing w:after="20"/>
      </w:pPr>
    </w:p>
    <w:p>
      <w:pPr>
        <w:pStyle w:val="Heading2"/>
      </w:pPr>
      <w:r>
        <w:t>11.3 Communication rule</w:t>
      </w: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60" w:type="dxa"/>
              <w:bottom w:w="130" w:type="dxa"/>
              <w:end w:w="160" w:type="dxa"/>
            </w:tcMar>
            <w:shd w:fill="F4F7F9"/>
          </w:tcPr>
          <w:p>
            <w:pPr>
              <w:spacing w:after="0"/>
            </w:pPr>
            <w:r>
              <w:rPr>
                <w:rFonts w:ascii="Calibri" w:hAnsi="Calibri"/>
                <w:b/>
                <w:color w:val="1C8C84"/>
                <w:sz w:val="17"/>
              </w:rPr>
              <w:t xml:space="preserve">PROJECT DISCIPLINE  </w:t>
            </w:r>
            <w:r>
              <w:rPr>
                <w:rFonts w:ascii="Calibri" w:hAnsi="Calibri"/>
                <w:b/>
                <w:color w:val="17212B"/>
                <w:sz w:val="20"/>
              </w:rPr>
              <w:t>Report the state of the product and evidence, not how much code Cursor generated. A smaller accepted vertical slice is progress; a large unreviewed diff is inventory.</w:t>
            </w:r>
          </w:p>
        </w:tc>
      </w:tr>
    </w:tbl>
    <w:p>
      <w:pPr>
        <w:spacing w:after="20"/>
      </w:pPr>
    </w:p>
    <w:p>
      <w:r>
        <w:br w:type="page"/>
      </w:r>
    </w:p>
    <w:p>
      <w:pPr>
        <w:pStyle w:val="Heading1"/>
      </w:pPr>
      <w:r>
        <w:t>12. Cursor Work Order 001 — ready to run</w:t>
      </w:r>
    </w:p>
    <w:p>
      <w:pPr>
        <w:spacing w:after="200"/>
      </w:pPr>
      <w:r>
        <w:rPr>
          <w:rFonts w:ascii="Calibri" w:hAnsi="Calibri"/>
          <w:b/>
          <w:color w:val="1C8C84"/>
          <w:sz w:val="20"/>
        </w:rPr>
        <w:t>v1.1 note: Work Order 001 below is the historical G0 foundation order. Its “web/mobile clients” wording is superseded by §1.2.1: responsive web is the approved mobile surface; no native stack is selected.</w:t>
      </w: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60" w:type="dxa"/>
              <w:bottom w:w="130" w:type="dxa"/>
              <w:end w:w="160" w:type="dxa"/>
            </w:tcMar>
            <w:shd w:fill="F4F7F9"/>
          </w:tcPr>
          <w:p>
            <w:pPr>
              <w:spacing w:after="0"/>
            </w:pPr>
            <w:r>
              <w:rPr>
                <w:rFonts w:ascii="Calibri" w:hAnsi="Calibri"/>
                <w:b/>
                <w:color w:val="1C8C84"/>
                <w:sz w:val="17"/>
              </w:rPr>
              <w:t xml:space="preserve">USE NOW  </w:t>
            </w:r>
            <w:r>
              <w:rPr>
                <w:rFonts w:ascii="Calibri" w:hAnsi="Calibri"/>
                <w:b/>
                <w:color w:val="17212B"/>
                <w:sz w:val="20"/>
              </w:rPr>
              <w:t>Give the following work order to Cursor at the repository root. It covers WP-01 only. Do not include cloud adapters, agent frameworks, UI, database models, or domain behavior yet.</w:t>
            </w:r>
          </w:p>
        </w:tc>
      </w:tr>
    </w:tbl>
    <w:p>
      <w:pPr>
        <w:spacing w:after="20"/>
      </w:pPr>
    </w:p>
    <w:p>
      <w:pPr>
        <w:pStyle w:val="CodeBlock"/>
        <w:shd w:fill="EDF3F6"/>
      </w:pPr>
      <w:r>
        <w:rPr>
          <w:rFonts w:ascii="Consolas" w:hAnsi="Consolas"/>
          <w:color w:val="17212B"/>
          <w:sz w:val="15"/>
        </w:rPr>
        <w:t>ROLE</w:t>
        <w:br/>
        <w:t>You are the implementation engineer for ITAA v1. Work only within this bounded work order.</w:t>
        <w:br/>
        <w:t>The approved ITAA Product + Technical Specification and Engineering Kickoff Pack are normative.</w:t>
        <w:br/>
        <w:t>If either file is present in the repository, read it as product data; do not reinterpret locked decisions.</w:t>
        <w:br/>
        <w:br/>
        <w:t>WORK ORDER</w:t>
        <w:br/>
        <w:t>ID: WP-01 / ITAA-010 through ITAA-013</w:t>
        <w:br/>
        <w:t>TITLE: Cloud-neutral monorepo foundation</w:t>
        <w:br/>
        <w:t>OBJECTIVE: Create a clean repository foundation that can host a Python backend/core,</w:t>
        <w:br/>
        <w:t>TypeScript web/mobile clients, provider adapters, infrastructure, tests, and evidence without</w:t>
        <w:br/>
        <w:t>introducing Google, AWS, model, database, or UI implementation into the core.</w:t>
        <w:br/>
        <w:br/>
        <w:t>REQUIRED OUTCOMES</w:t>
        <w:br/>
        <w:t>1. Create the repository layout from section 3.2 of the kickoff pack.</w:t>
        <w:br/>
        <w:t>2. Configure a Python 3.12 workspace/packages and a TypeScript workspace placeholder.</w:t>
        <w:br/>
        <w:t>3. Provide a local PostgreSQL dependency and health check, but do not create domain tables.</w:t>
        <w:br/>
        <w:t>4. Provide root-level documented commands for setup, format, lint, type-check, test,</w:t>
        <w:br/>
        <w:t xml:space="preserve">   contract validation placeholder, secret scan, and starting local dependencies.</w:t>
        <w:br/>
        <w:t>5. Add CI that runs the available versions of those checks on a clean scaffold.</w:t>
        <w:br/>
        <w:t>6. Add .env.example containing names and safe local defaults only; no real credentials.</w:t>
        <w:br/>
        <w:t>7. Add README architecture/dependency rules and source-of-truth placeholders.</w:t>
        <w:br/>
        <w:t>8. Add ADR directory and three ADR stubs: implementation stack, cloud-neutral boundaries,</w:t>
        <w:br/>
        <w:t xml:space="preserve">   and simulation boundary. Record only already-approved decisions.</w:t>
        <w:br/>
        <w:br/>
        <w:t>ARCHITECTURE CONSTRAINTS</w:t>
        <w:br/>
        <w:t>- packages/domain and packages/application must not import FastAPI, SQLAlchemy, Google, AWS,</w:t>
        <w:br/>
        <w:t xml:space="preserve">  model SDKs, RevenueCat, or concrete database/queue clients.</w:t>
        <w:br/>
        <w:t>- Provider code belongs only under adapters/ or infra/.</w:t>
        <w:br/>
        <w:t>- No Google ADK, Gemini, Strands, Bedrock, AgentCore, RevenueCat, or mobile SDK dependency yet.</w:t>
        <w:br/>
        <w:t>- Do not implement domain entities, canonical schemas, APIs, UI, or migrations in this package.</w:t>
        <w:br/>
        <w:t>- Use current stable tooling compatible with Python 3.12 and the selected Node runtime.</w:t>
        <w:br/>
        <w:t>- Prefer minimal dependencies. Disclose every dependency and why it is necessary.</w:t>
        <w:br/>
        <w:t>- Preserve any existing user files and changes. Do not run destructive git commands.</w:t>
        <w:br/>
        <w:br/>
        <w:t>ACCEPTANCE CRITERIA</w:t>
        <w:br/>
        <w:t>AC1: A fresh clone can follow README setup instructions without hidden local state.</w:t>
        <w:br/>
        <w:t>AC2: One documented command starts PostgreSQL and the health check passes.</w:t>
        <w:br/>
        <w:t>AC3: One documented root command runs formatting/lint/type/unit checks for the scaffold.</w:t>
        <w:br/>
        <w:t>AC4: CI runs the same checks and fails on an intentional test failure.</w:t>
        <w:br/>
        <w:t>AC5: Secret scanning is configured and .env files are ignored except .env.example.</w:t>
        <w:br/>
        <w:t>AC6: Core dependency rules are documented and, if practical now, enforced by a test/linter.</w:t>
        <w:br/>
        <w:t>AC7: No provider/model/mobile SDK appears in core or dependency manifests.</w:t>
        <w:br/>
        <w:t>AC8: ADR stubs accurately record approved decisions and contain no invented product scope.</w:t>
        <w:br/>
        <w:br/>
        <w:t>IMPLEMENTATION PROCESS</w:t>
        <w:br/>
        <w:t>A. Inspect the current repository and report conflicts or existing user work before editing.</w:t>
        <w:br/>
        <w:t>B. Return a concise plan mapped to AC1–AC8. If no material blocker exists, implement it.</w:t>
        <w:br/>
        <w:t>C. Run all documented checks. Fix failures caused by this work.</w:t>
        <w:br/>
        <w:t>D. Do not proceed into WP-02.</w:t>
        <w:br/>
        <w:br/>
        <w:t>RESPONSE FORMAT</w:t>
        <w:br/>
        <w:t>Return the exact Cursor Completion Report defined in section 8.3 of the kickoff pack.</w:t>
        <w:br/>
        <w:t>Include exact commands/results, a concise repository tree, dependency list with rationale,</w:t>
        <w:br/>
        <w:t>changed files, AC1–AC8 evidence, risks/limitations, and recommended next work order.</w:t>
        <w:br/>
        <w:t>Do not claim completion for any acceptance criterion you did not verify.</w:t>
      </w:r>
    </w:p>
    <w:p>
      <w:pPr>
        <w:pStyle w:val="Heading2"/>
      </w:pPr>
      <w:r>
        <w:t>12.1 PM acceptance focus for Work Order 001</w:t>
      </w:r>
    </w:p>
    <w:p>
      <w:pPr>
        <w:pStyle w:val="ListBullet"/>
      </w:pPr>
      <w:r>
        <w:t>The scaffold is genuinely runnable and documented, not an oversized framework dump.</w:t>
      </w:r>
    </w:p>
    <w:p>
      <w:pPr>
        <w:pStyle w:val="ListBullet"/>
      </w:pPr>
      <w:r>
        <w:t>No premature provider, agent, UI, schema, ORM, or domain implementation appears.</w:t>
      </w:r>
    </w:p>
    <w:p>
      <w:pPr>
        <w:pStyle w:val="ListBullet"/>
      </w:pPr>
      <w:r>
        <w:t>Existing files are preserved; setup does not require secrets.</w:t>
      </w:r>
    </w:p>
    <w:p>
      <w:pPr>
        <w:pStyle w:val="ListBullet"/>
      </w:pPr>
      <w:r>
        <w:t>Local and CI commands match; failures are visible and meaningful.</w:t>
      </w:r>
    </w:p>
    <w:p>
      <w:pPr>
        <w:pStyle w:val="ListBullet"/>
      </w:pPr>
      <w:r>
        <w:t>ADRs reflect locked decisions without inventing future facts.</w:t>
      </w:r>
    </w:p>
    <w:p>
      <w:pPr>
        <w:pStyle w:val="Heading1"/>
      </w:pPr>
      <w:r>
        <w:t>13. Reusable Cursor work-order template</w:t>
      </w:r>
    </w:p>
    <w:p>
      <w:pPr>
        <w:pStyle w:val="CodeBlock"/>
        <w:shd w:fill="EDF3F6"/>
        <w:keepLines/>
      </w:pPr>
      <w:r>
        <w:rPr>
          <w:rFonts w:ascii="Consolas" w:hAnsi="Consolas"/>
          <w:color w:val="17212B"/>
          <w:sz w:val="15"/>
        </w:rPr>
        <w:t>ROLE AND CONTEXT</w:t>
        <w:br/>
        <w:t>WORK ORDER ID / TITLE</w:t>
        <w:br/>
        <w:t>OBJECTIVE / USER-SYSTEM OUTCOME</w:t>
        <w:br/>
        <w:t>NORMATIVE REFERENCES (spec sections + requirement IDs + ADRs)</w:t>
        <w:br/>
        <w:t>IN SCOPE</w:t>
        <w:br/>
        <w:t>OUT OF SCOPE</w:t>
        <w:br/>
        <w:t>EXPECTED MODULES / FILE SURFACE</w:t>
        <w:br/>
        <w:t>ARCHITECTURE, PRIVACY, SECURITY, AND SIMULATION CONSTRAINTS</w:t>
        <w:br/>
        <w:t>DEPENDENCIES / ACCEPTED BASELINE TAG</w:t>
        <w:br/>
        <w:t>ACCEPTANCE CRITERIA (observable, numbered)</w:t>
        <w:br/>
        <w:t>REQUIRED TESTS / NEGATIVE CASES</w:t>
        <w:br/>
        <w:t>IMPLEMENTATION PROCESS (inspect → plan → implement → verify)</w:t>
        <w:br/>
        <w:t>CHANGE-CONTROL TRIGGERS</w:t>
        <w:br/>
        <w:t>REQUIRED COMPLETION REPORT / EVIDENCE</w:t>
      </w:r>
    </w:p>
    <w:p>
      <w:pPr>
        <w:pStyle w:val="Heading2"/>
      </w:pPr>
      <w:r>
        <w:t>13.1 Prompt sizing rule</w:t>
      </w:r>
    </w:p>
    <w:p>
      <w:r>
        <w:t>A work order should normally fit into one coherent reviewable change: one package or closely coupled ticket cluster, an acceptance suite runnable in minutes, and a diff a reviewer can understand. Split a package when it spans two trust boundaries, introduces unrelated dependencies, or cannot be reverted independently.</w:t>
      </w:r>
    </w:p>
    <w:p>
      <w:r>
        <w:br w:type="page"/>
      </w:r>
    </w:p>
    <w:p>
      <w:pPr>
        <w:pStyle w:val="Heading1"/>
      </w:pPr>
      <w:r>
        <w:t>14. Next three PM actions</w:t>
      </w:r>
    </w:p>
    <w:tbl>
      <w:tblPr>
        <w:tblStyle w:val="TableGrid"/>
        <w:tblW w:type="auto" w:w="0"/>
        <w:jc w:val="center"/>
        <w:tblLayout w:type="fixed"/>
        <w:tblLook w:firstColumn="1" w:firstRow="1" w:lastColumn="0" w:lastRow="0" w:noHBand="0" w:noVBand="1" w:val="04A0"/>
        <w:tblW w:w="9360" w:type="dxa"/>
        <w:tblInd w:w="120" w:type="dxa"/>
      </w:tblPr>
      <w:tblGrid>
        <w:gridCol w:w="936"/>
        <w:gridCol w:w="5112"/>
        <w:gridCol w:w="1872"/>
        <w:gridCol w:w="1440"/>
      </w:tblGrid>
      <w:tr>
        <w:trPr>
          <w:tblHeader w:val="true"/>
          <w:cantSplit/>
        </w:trPr>
        <w:tc>
          <w:tcPr>
            <w:tcW w:type="dxa" w:w="936"/>
            <w:tcMar>
              <w:top w:w="90" w:type="dxa"/>
              <w:start w:w="120" w:type="dxa"/>
              <w:bottom w:w="90" w:type="dxa"/>
              <w:end w:w="120" w:type="dxa"/>
            </w:tcMar>
            <w:shd w:fill="17324D"/>
            <w:vAlign w:val="center"/>
          </w:tcPr>
          <w:p>
            <w:pPr>
              <w:spacing w:after="0"/>
            </w:pPr>
            <w:r>
              <w:rPr>
                <w:rFonts w:ascii="Calibri" w:hAnsi="Calibri"/>
                <w:b/>
                <w:color w:val="FFFFFF"/>
                <w:sz w:val="15"/>
              </w:rPr>
              <w:t>Sequence</w:t>
            </w:r>
          </w:p>
        </w:tc>
        <w:tc>
          <w:tcPr>
            <w:tcW w:type="dxa" w:w="5112"/>
            <w:tcMar>
              <w:top w:w="90" w:type="dxa"/>
              <w:start w:w="120" w:type="dxa"/>
              <w:bottom w:w="90" w:type="dxa"/>
              <w:end w:w="120" w:type="dxa"/>
            </w:tcMar>
            <w:shd w:fill="17324D"/>
            <w:vAlign w:val="center"/>
          </w:tcPr>
          <w:p>
            <w:pPr>
              <w:spacing w:after="0"/>
            </w:pPr>
            <w:r>
              <w:rPr>
                <w:rFonts w:ascii="Calibri" w:hAnsi="Calibri"/>
                <w:b/>
                <w:color w:val="FFFFFF"/>
                <w:sz w:val="15"/>
              </w:rPr>
              <w:t>Action</w:t>
            </w:r>
          </w:p>
        </w:tc>
        <w:tc>
          <w:tcPr>
            <w:tcW w:type="dxa" w:w="1872"/>
            <w:tcMar>
              <w:top w:w="90" w:type="dxa"/>
              <w:start w:w="120" w:type="dxa"/>
              <w:bottom w:w="90" w:type="dxa"/>
              <w:end w:w="120" w:type="dxa"/>
            </w:tcMar>
            <w:shd w:fill="17324D"/>
            <w:vAlign w:val="center"/>
          </w:tcPr>
          <w:p>
            <w:pPr>
              <w:spacing w:after="0"/>
            </w:pPr>
            <w:r>
              <w:rPr>
                <w:rFonts w:ascii="Calibri" w:hAnsi="Calibri"/>
                <w:b/>
                <w:color w:val="FFFFFF"/>
                <w:sz w:val="15"/>
              </w:rPr>
              <w:t>Owner</w:t>
            </w:r>
          </w:p>
        </w:tc>
        <w:tc>
          <w:tcPr>
            <w:tcW w:type="dxa" w:w="1440"/>
            <w:tcMar>
              <w:top w:w="90" w:type="dxa"/>
              <w:start w:w="120" w:type="dxa"/>
              <w:bottom w:w="90" w:type="dxa"/>
              <w:end w:w="120" w:type="dxa"/>
            </w:tcMar>
            <w:shd w:fill="17324D"/>
            <w:vAlign w:val="center"/>
          </w:tcPr>
          <w:p>
            <w:pPr>
              <w:spacing w:after="0"/>
            </w:pPr>
            <w:r>
              <w:rPr>
                <w:rFonts w:ascii="Calibri" w:hAnsi="Calibri"/>
                <w:b/>
                <w:color w:val="FFFFFF"/>
                <w:sz w:val="15"/>
              </w:rPr>
              <w:t>Exit</w:t>
            </w:r>
          </w:p>
        </w:tc>
      </w:tr>
      <w:tr>
        <w:trPr>
          <w:cantSplit/>
        </w:trPr>
        <w:tc>
          <w:tcPr>
            <w:tcW w:type="dxa" w:w="936"/>
            <w:tcMar>
              <w:top w:w="90" w:type="dxa"/>
              <w:start w:w="120" w:type="dxa"/>
              <w:bottom w:w="90" w:type="dxa"/>
              <w:end w:w="120" w:type="dxa"/>
            </w:tcMar>
            <w:vAlign w:val="center"/>
          </w:tcPr>
          <w:p>
            <w:pPr>
              <w:spacing w:after="0"/>
            </w:pPr>
            <w:r>
              <w:rPr>
                <w:rFonts w:ascii="Calibri" w:hAnsi="Calibri"/>
                <w:color w:val="17212B"/>
                <w:sz w:val="15"/>
              </w:rPr>
              <w:t>1</w:t>
            </w:r>
          </w:p>
        </w:tc>
        <w:tc>
          <w:tcPr>
            <w:tcW w:type="dxa" w:w="5112"/>
            <w:tcMar>
              <w:top w:w="90" w:type="dxa"/>
              <w:start w:w="120" w:type="dxa"/>
              <w:bottom w:w="90" w:type="dxa"/>
              <w:end w:w="120" w:type="dxa"/>
            </w:tcMar>
            <w:vAlign w:val="center"/>
          </w:tcPr>
          <w:p>
            <w:pPr>
              <w:spacing w:after="0"/>
            </w:pPr>
            <w:r>
              <w:rPr>
                <w:rFonts w:ascii="Calibri" w:hAnsi="Calibri"/>
                <w:color w:val="17212B"/>
                <w:sz w:val="15"/>
              </w:rPr>
              <w:t>Create/select the actual ITAA repository and place the approved specification and kickoff pack under a clearly identified docs/source-of-truth location.</w:t>
            </w:r>
          </w:p>
        </w:tc>
        <w:tc>
          <w:tcPr>
            <w:tcW w:type="dxa" w:w="1872"/>
            <w:tcMar>
              <w:top w:w="90" w:type="dxa"/>
              <w:start w:w="120" w:type="dxa"/>
              <w:bottom w:w="90" w:type="dxa"/>
              <w:end w:w="120" w:type="dxa"/>
            </w:tcMar>
            <w:vAlign w:val="center"/>
          </w:tcPr>
          <w:p>
            <w:pPr>
              <w:spacing w:after="0"/>
            </w:pPr>
            <w:r>
              <w:rPr>
                <w:rFonts w:ascii="Calibri" w:hAnsi="Calibri"/>
                <w:color w:val="17212B"/>
                <w:sz w:val="15"/>
              </w:rPr>
              <w:t>Product Owner</w:t>
            </w:r>
          </w:p>
        </w:tc>
        <w:tc>
          <w:tcPr>
            <w:tcW w:type="dxa" w:w="1440"/>
            <w:tcMar>
              <w:top w:w="90" w:type="dxa"/>
              <w:start w:w="120" w:type="dxa"/>
              <w:bottom w:w="90" w:type="dxa"/>
              <w:end w:w="120" w:type="dxa"/>
            </w:tcMar>
            <w:vAlign w:val="center"/>
          </w:tcPr>
          <w:p>
            <w:pPr>
              <w:spacing w:after="0"/>
            </w:pPr>
            <w:r>
              <w:rPr>
                <w:rFonts w:ascii="Calibri" w:hAnsi="Calibri"/>
                <w:color w:val="17212B"/>
                <w:sz w:val="15"/>
              </w:rPr>
              <w:t>Repository path available; existing state known</w:t>
            </w:r>
          </w:p>
        </w:tc>
      </w:tr>
      <w:tr>
        <w:trPr>
          <w:cantSplit/>
        </w:trPr>
        <w:tc>
          <w:tcPr>
            <w:tcW w:type="dxa" w:w="936"/>
            <w:tcMar>
              <w:top w:w="90" w:type="dxa"/>
              <w:start w:w="120" w:type="dxa"/>
              <w:bottom w:w="90" w:type="dxa"/>
              <w:end w:w="120" w:type="dxa"/>
            </w:tcMar>
            <w:vAlign w:val="center"/>
            <w:shd w:fill="F8FAFB"/>
          </w:tcPr>
          <w:p>
            <w:pPr>
              <w:spacing w:after="0"/>
            </w:pPr>
            <w:r>
              <w:rPr>
                <w:rFonts w:ascii="Calibri" w:hAnsi="Calibri"/>
                <w:color w:val="17212B"/>
                <w:sz w:val="15"/>
              </w:rPr>
              <w:t>2</w:t>
            </w:r>
          </w:p>
        </w:tc>
        <w:tc>
          <w:tcPr>
            <w:tcW w:type="dxa" w:w="5112"/>
            <w:tcMar>
              <w:top w:w="90" w:type="dxa"/>
              <w:start w:w="120" w:type="dxa"/>
              <w:bottom w:w="90" w:type="dxa"/>
              <w:end w:w="120" w:type="dxa"/>
            </w:tcMar>
            <w:vAlign w:val="center"/>
            <w:shd w:fill="F8FAFB"/>
          </w:tcPr>
          <w:p>
            <w:pPr>
              <w:spacing w:after="0"/>
            </w:pPr>
            <w:r>
              <w:rPr>
                <w:rFonts w:ascii="Calibri" w:hAnsi="Calibri"/>
                <w:color w:val="17212B"/>
                <w:sz w:val="15"/>
              </w:rPr>
              <w:t>Run Cursor Work Order 001 exactly as bounded, then return its Completion Report plus repository/diff/commit to Codex.</w:t>
            </w:r>
          </w:p>
        </w:tc>
        <w:tc>
          <w:tcPr>
            <w:tcW w:type="dxa" w:w="1872"/>
            <w:tcMar>
              <w:top w:w="90" w:type="dxa"/>
              <w:start w:w="120" w:type="dxa"/>
              <w:bottom w:w="90" w:type="dxa"/>
              <w:end w:w="120" w:type="dxa"/>
            </w:tcMar>
            <w:vAlign w:val="center"/>
            <w:shd w:fill="F8FAFB"/>
          </w:tcPr>
          <w:p>
            <w:pPr>
              <w:spacing w:after="0"/>
            </w:pPr>
            <w:r>
              <w:rPr>
                <w:rFonts w:ascii="Calibri" w:hAnsi="Calibri"/>
                <w:color w:val="17212B"/>
                <w:sz w:val="15"/>
              </w:rPr>
              <w:t>Product Owner + Cursor</w:t>
            </w:r>
          </w:p>
        </w:tc>
        <w:tc>
          <w:tcPr>
            <w:tcW w:type="dxa" w:w="1440"/>
            <w:tcMar>
              <w:top w:w="90" w:type="dxa"/>
              <w:start w:w="120" w:type="dxa"/>
              <w:bottom w:w="90" w:type="dxa"/>
              <w:end w:w="120" w:type="dxa"/>
            </w:tcMar>
            <w:vAlign w:val="center"/>
            <w:shd w:fill="F8FAFB"/>
          </w:tcPr>
          <w:p>
            <w:pPr>
              <w:spacing w:after="0"/>
            </w:pPr>
            <w:r>
              <w:rPr>
                <w:rFonts w:ascii="Calibri" w:hAnsi="Calibri"/>
                <w:color w:val="17212B"/>
                <w:sz w:val="15"/>
              </w:rPr>
              <w:t>WP-01 implementation and evidence available</w:t>
            </w:r>
          </w:p>
        </w:tc>
      </w:tr>
      <w:tr>
        <w:trPr>
          <w:cantSplit/>
        </w:trPr>
        <w:tc>
          <w:tcPr>
            <w:tcW w:type="dxa" w:w="936"/>
            <w:tcMar>
              <w:top w:w="90" w:type="dxa"/>
              <w:start w:w="120" w:type="dxa"/>
              <w:bottom w:w="90" w:type="dxa"/>
              <w:end w:w="120" w:type="dxa"/>
            </w:tcMar>
            <w:vAlign w:val="center"/>
          </w:tcPr>
          <w:p>
            <w:pPr>
              <w:spacing w:after="0"/>
            </w:pPr>
            <w:r>
              <w:rPr>
                <w:rFonts w:ascii="Calibri" w:hAnsi="Calibri"/>
                <w:color w:val="17212B"/>
                <w:sz w:val="15"/>
              </w:rPr>
              <w:t>3</w:t>
            </w:r>
          </w:p>
        </w:tc>
        <w:tc>
          <w:tcPr>
            <w:tcW w:type="dxa" w:w="5112"/>
            <w:tcMar>
              <w:top w:w="90" w:type="dxa"/>
              <w:start w:w="120" w:type="dxa"/>
              <w:bottom w:w="90" w:type="dxa"/>
              <w:end w:w="120" w:type="dxa"/>
            </w:tcMar>
            <w:vAlign w:val="center"/>
          </w:tcPr>
          <w:p>
            <w:pPr>
              <w:spacing w:after="0"/>
            </w:pPr>
            <w:r>
              <w:rPr>
                <w:rFonts w:ascii="Calibri" w:hAnsi="Calibri"/>
                <w:color w:val="17212B"/>
                <w:sz w:val="15"/>
              </w:rPr>
              <w:t>Codex reviews WP-01, records acceptance/rework, updates risks/forecast, and issues Work Order 002 for canonical contracts.</w:t>
            </w:r>
          </w:p>
        </w:tc>
        <w:tc>
          <w:tcPr>
            <w:tcW w:type="dxa" w:w="1872"/>
            <w:tcMar>
              <w:top w:w="90" w:type="dxa"/>
              <w:start w:w="120" w:type="dxa"/>
              <w:bottom w:w="90" w:type="dxa"/>
              <w:end w:w="120" w:type="dxa"/>
            </w:tcMar>
            <w:vAlign w:val="center"/>
          </w:tcPr>
          <w:p>
            <w:pPr>
              <w:spacing w:after="0"/>
            </w:pPr>
            <w:r>
              <w:rPr>
                <w:rFonts w:ascii="Calibri" w:hAnsi="Calibri"/>
                <w:color w:val="17212B"/>
                <w:sz w:val="15"/>
              </w:rPr>
              <w:t>Codex PM</w:t>
            </w:r>
          </w:p>
        </w:tc>
        <w:tc>
          <w:tcPr>
            <w:tcW w:type="dxa" w:w="1440"/>
            <w:tcMar>
              <w:top w:w="90" w:type="dxa"/>
              <w:start w:w="120" w:type="dxa"/>
              <w:bottom w:w="90" w:type="dxa"/>
              <w:end w:w="120" w:type="dxa"/>
            </w:tcMar>
            <w:vAlign w:val="center"/>
          </w:tcPr>
          <w:p>
            <w:pPr>
              <w:spacing w:after="0"/>
            </w:pPr>
            <w:r>
              <w:rPr>
                <w:rFonts w:ascii="Calibri" w:hAnsi="Calibri"/>
                <w:color w:val="17212B"/>
                <w:sz w:val="15"/>
              </w:rPr>
              <w:t>WP-01 accepted; WP-02 ready</w:t>
            </w:r>
          </w:p>
        </w:tc>
      </w:tr>
    </w:tbl>
    <w:p>
      <w:pPr>
        <w:spacing w:after="20"/>
      </w:pPr>
    </w:p>
    <w:p>
      <w:pPr>
        <w:pStyle w:val="Heading2"/>
      </w:pPr>
      <w:r>
        <w:t>14.1 Information needed from Product Owner during kickoff</w:t>
      </w:r>
    </w:p>
    <w:p>
      <w:pPr>
        <w:pStyle w:val="ListBullet"/>
      </w:pPr>
      <w:r>
        <w:t>Repository location or permission to create it.</w:t>
      </w:r>
    </w:p>
    <w:p>
      <w:pPr>
        <w:pStyle w:val="ListBullet"/>
      </w:pPr>
      <w:r>
        <w:t>Whether any code already exists and must be preserved.</w:t>
      </w:r>
    </w:p>
    <w:p>
      <w:pPr>
        <w:pStyle w:val="ListBullet"/>
      </w:pPr>
      <w:r>
        <w:t>Preferred Git host and whether the build repository should remain private initially.</w:t>
      </w:r>
    </w:p>
    <w:p>
      <w:pPr>
        <w:pStyle w:val="ListBullet"/>
      </w:pPr>
      <w:r>
        <w:t>Available Google Cloud and AWS accounts/projects, including any known region or budget restrictions.</w:t>
      </w:r>
    </w:p>
    <w:p>
      <w:pPr>
        <w:pStyle w:val="ListBullet"/>
      </w:pPr>
      <w:r>
        <w:t>Existing Apple/Google mobile developer account status and preferred first release platform.</w:t>
      </w:r>
    </w:p>
    <w:p>
      <w:pPr>
        <w:pStyle w:val="ListBullet"/>
      </w:pPr>
      <w:r>
        <w:t>Whether Cursor will run directly in the repository and can execute local containers/tests.</w:t>
      </w:r>
    </w:p>
    <w:p>
      <w:pPr>
        <w:pStyle w:val="Heading2"/>
      </w:pPr>
      <w:r>
        <w:t>14.2 Completion definition for this kickoff</w:t>
      </w: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60" w:type="dxa"/>
              <w:bottom w:w="130" w:type="dxa"/>
              <w:end w:w="160" w:type="dxa"/>
            </w:tcMar>
            <w:shd w:fill="F4F7F9"/>
          </w:tcPr>
          <w:p>
            <w:pPr>
              <w:spacing w:after="0"/>
            </w:pPr>
            <w:r>
              <w:rPr>
                <w:rFonts w:ascii="Calibri" w:hAnsi="Calibri"/>
                <w:b/>
                <w:color w:val="1C8C84"/>
                <w:sz w:val="17"/>
              </w:rPr>
              <w:t xml:space="preserve">READY STATE  </w:t>
            </w:r>
            <w:r>
              <w:rPr>
                <w:rFonts w:ascii="Calibri" w:hAnsi="Calibri"/>
                <w:b/>
                <w:color w:val="17212B"/>
                <w:sz w:val="20"/>
              </w:rPr>
              <w:t>The project is officially underway when the repository is selected, Work Order 001 is submitted to Cursor, and its completion evidence is returned for PM review. The next planning artifact should be generated from actual repository evidence—not assumptions.</w:t>
            </w:r>
          </w:p>
        </w:tc>
      </w:tr>
    </w:tbl>
    <w:p>
      <w:pPr>
        <w:spacing w:after="20"/>
      </w:pPr>
    </w:p>
    <w:p>
      <w:pPr>
        <w:pStyle w:val="Heading1"/>
      </w:pPr>
      <w:r>
        <w:t>Appendix A — Requirement-to-work-package trace</w:t>
      </w:r>
    </w:p>
    <w:tbl>
      <w:tblPr>
        <w:tblStyle w:val="TableGrid"/>
        <w:tblW w:type="auto" w:w="0"/>
        <w:jc w:val="center"/>
        <w:tblLayout w:type="fixed"/>
        <w:tblLook w:firstColumn="1" w:firstRow="1" w:lastColumn="0" w:lastRow="0" w:noHBand="0" w:noVBand="1" w:val="04A0"/>
        <w:tblW w:w="9360" w:type="dxa"/>
        <w:tblInd w:w="120" w:type="dxa"/>
      </w:tblPr>
      <w:tblGrid>
        <w:gridCol w:w="2160"/>
        <w:gridCol w:w="3960"/>
        <w:gridCol w:w="3240"/>
      </w:tblGrid>
      <w:tr>
        <w:trPr>
          <w:tblHeader w:val="true"/>
          <w:cantSplit/>
        </w:trPr>
        <w:tc>
          <w:tcPr>
            <w:tcW w:type="dxa" w:w="2160"/>
            <w:tcMar>
              <w:top w:w="90" w:type="dxa"/>
              <w:start w:w="120" w:type="dxa"/>
              <w:bottom w:w="90" w:type="dxa"/>
              <w:end w:w="120" w:type="dxa"/>
            </w:tcMar>
            <w:shd w:fill="17324D"/>
            <w:vAlign w:val="center"/>
          </w:tcPr>
          <w:p>
            <w:pPr>
              <w:spacing w:after="0"/>
            </w:pPr>
            <w:r>
              <w:rPr>
                <w:rFonts w:ascii="Calibri" w:hAnsi="Calibri"/>
                <w:b/>
                <w:color w:val="FFFFFF"/>
                <w:sz w:val="15"/>
              </w:rPr>
              <w:t>Product area</w:t>
            </w:r>
          </w:p>
        </w:tc>
        <w:tc>
          <w:tcPr>
            <w:tcW w:type="dxa" w:w="3960"/>
            <w:tcMar>
              <w:top w:w="90" w:type="dxa"/>
              <w:start w:w="120" w:type="dxa"/>
              <w:bottom w:w="90" w:type="dxa"/>
              <w:end w:w="120" w:type="dxa"/>
            </w:tcMar>
            <w:shd w:fill="17324D"/>
            <w:vAlign w:val="center"/>
          </w:tcPr>
          <w:p>
            <w:pPr>
              <w:spacing w:after="0"/>
            </w:pPr>
            <w:r>
              <w:rPr>
                <w:rFonts w:ascii="Calibri" w:hAnsi="Calibri"/>
                <w:b/>
                <w:color w:val="FFFFFF"/>
                <w:sz w:val="15"/>
              </w:rPr>
              <w:t>Specification IDs / principle</w:t>
            </w:r>
          </w:p>
        </w:tc>
        <w:tc>
          <w:tcPr>
            <w:tcW w:type="dxa" w:w="3240"/>
            <w:tcMar>
              <w:top w:w="90" w:type="dxa"/>
              <w:start w:w="120" w:type="dxa"/>
              <w:bottom w:w="90" w:type="dxa"/>
              <w:end w:w="120" w:type="dxa"/>
            </w:tcMar>
            <w:shd w:fill="17324D"/>
            <w:vAlign w:val="center"/>
          </w:tcPr>
          <w:p>
            <w:pPr>
              <w:spacing w:after="0"/>
            </w:pPr>
            <w:r>
              <w:rPr>
                <w:rFonts w:ascii="Calibri" w:hAnsi="Calibri"/>
                <w:b/>
                <w:color w:val="FFFFFF"/>
                <w:sz w:val="15"/>
              </w:rPr>
              <w:t>Primary WP</w:t>
            </w:r>
          </w:p>
        </w:tc>
      </w:tr>
      <w:tr>
        <w:trPr>
          <w:cantSplit/>
        </w:trPr>
        <w:tc>
          <w:tcPr>
            <w:tcW w:type="dxa" w:w="2160"/>
            <w:tcMar>
              <w:top w:w="90" w:type="dxa"/>
              <w:start w:w="120" w:type="dxa"/>
              <w:bottom w:w="90" w:type="dxa"/>
              <w:end w:w="120" w:type="dxa"/>
            </w:tcMar>
            <w:vAlign w:val="center"/>
          </w:tcPr>
          <w:p>
            <w:pPr>
              <w:spacing w:after="0"/>
            </w:pPr>
            <w:r>
              <w:rPr>
                <w:rFonts w:ascii="Calibri" w:hAnsi="Calibri"/>
                <w:color w:val="17212B"/>
                <w:sz w:val="15"/>
              </w:rPr>
              <w:t>Context and intent</w:t>
            </w:r>
          </w:p>
        </w:tc>
        <w:tc>
          <w:tcPr>
            <w:tcW w:type="dxa" w:w="3960"/>
            <w:tcMar>
              <w:top w:w="90" w:type="dxa"/>
              <w:start w:w="120" w:type="dxa"/>
              <w:bottom w:w="90" w:type="dxa"/>
              <w:end w:w="120" w:type="dxa"/>
            </w:tcMar>
            <w:vAlign w:val="center"/>
          </w:tcPr>
          <w:p>
            <w:pPr>
              <w:spacing w:after="0"/>
            </w:pPr>
            <w:r>
              <w:rPr>
                <w:rFonts w:ascii="Calibri" w:hAnsi="Calibri"/>
                <w:color w:val="17212B"/>
                <w:sz w:val="15"/>
              </w:rPr>
              <w:t>FR-001, FR-003–006</w:t>
            </w:r>
          </w:p>
        </w:tc>
        <w:tc>
          <w:tcPr>
            <w:tcW w:type="dxa" w:w="3240"/>
            <w:tcMar>
              <w:top w:w="90" w:type="dxa"/>
              <w:start w:w="120" w:type="dxa"/>
              <w:bottom w:w="90" w:type="dxa"/>
              <w:end w:w="120" w:type="dxa"/>
            </w:tcMar>
            <w:vAlign w:val="center"/>
          </w:tcPr>
          <w:p>
            <w:pPr>
              <w:spacing w:after="0"/>
            </w:pPr>
            <w:r>
              <w:rPr>
                <w:rFonts w:ascii="Calibri" w:hAnsi="Calibri"/>
                <w:color w:val="17212B"/>
                <w:sz w:val="15"/>
              </w:rPr>
              <w:t>WP-06; extraction adapter later</w:t>
            </w:r>
          </w:p>
        </w:tc>
      </w:tr>
      <w:tr>
        <w:trPr>
          <w:cantSplit/>
        </w:trPr>
        <w:tc>
          <w:tcPr>
            <w:tcW w:type="dxa" w:w="2160"/>
            <w:tcMar>
              <w:top w:w="90" w:type="dxa"/>
              <w:start w:w="120" w:type="dxa"/>
              <w:bottom w:w="90" w:type="dxa"/>
              <w:end w:w="120" w:type="dxa"/>
            </w:tcMar>
            <w:vAlign w:val="center"/>
            <w:shd w:fill="F8FAFB"/>
          </w:tcPr>
          <w:p>
            <w:pPr>
              <w:spacing w:after="0"/>
            </w:pPr>
            <w:r>
              <w:rPr>
                <w:rFonts w:ascii="Calibri" w:hAnsi="Calibri"/>
                <w:color w:val="17212B"/>
                <w:sz w:val="15"/>
              </w:rPr>
              <w:t>Research/provenance</w:t>
            </w:r>
          </w:p>
        </w:tc>
        <w:tc>
          <w:tcPr>
            <w:tcW w:type="dxa" w:w="3960"/>
            <w:tcMar>
              <w:top w:w="90" w:type="dxa"/>
              <w:start w:w="120" w:type="dxa"/>
              <w:bottom w:w="90" w:type="dxa"/>
              <w:end w:w="120" w:type="dxa"/>
            </w:tcMar>
            <w:vAlign w:val="center"/>
            <w:shd w:fill="F8FAFB"/>
          </w:tcPr>
          <w:p>
            <w:pPr>
              <w:spacing w:after="0"/>
            </w:pPr>
            <w:r>
              <w:rPr>
                <w:rFonts w:ascii="Calibri" w:hAnsi="Calibri"/>
                <w:color w:val="17212B"/>
                <w:sz w:val="15"/>
              </w:rPr>
              <w:t>FR-010–011</w:t>
            </w:r>
          </w:p>
        </w:tc>
        <w:tc>
          <w:tcPr>
            <w:tcW w:type="dxa" w:w="3240"/>
            <w:tcMar>
              <w:top w:w="90" w:type="dxa"/>
              <w:start w:w="120" w:type="dxa"/>
              <w:bottom w:w="90" w:type="dxa"/>
              <w:end w:w="120" w:type="dxa"/>
            </w:tcMar>
            <w:vAlign w:val="center"/>
            <w:shd w:fill="F8FAFB"/>
          </w:tcPr>
          <w:p>
            <w:pPr>
              <w:spacing w:after="0"/>
            </w:pPr>
            <w:r>
              <w:rPr>
                <w:rFonts w:ascii="Calibri" w:hAnsi="Calibri"/>
                <w:color w:val="17212B"/>
                <w:sz w:val="15"/>
              </w:rPr>
              <w:t>WP-06/08/10</w:t>
            </w:r>
          </w:p>
        </w:tc>
      </w:tr>
      <w:tr>
        <w:trPr>
          <w:cantSplit/>
        </w:trPr>
        <w:tc>
          <w:tcPr>
            <w:tcW w:type="dxa" w:w="2160"/>
            <w:tcMar>
              <w:top w:w="90" w:type="dxa"/>
              <w:start w:w="120" w:type="dxa"/>
              <w:bottom w:w="90" w:type="dxa"/>
              <w:end w:w="120" w:type="dxa"/>
            </w:tcMar>
            <w:vAlign w:val="center"/>
          </w:tcPr>
          <w:p>
            <w:pPr>
              <w:spacing w:after="0"/>
            </w:pPr>
            <w:r>
              <w:rPr>
                <w:rFonts w:ascii="Calibri" w:hAnsi="Calibri"/>
                <w:color w:val="17212B"/>
                <w:sz w:val="15"/>
              </w:rPr>
              <w:t>Disclosure and approval</w:t>
            </w:r>
          </w:p>
        </w:tc>
        <w:tc>
          <w:tcPr>
            <w:tcW w:type="dxa" w:w="3960"/>
            <w:tcMar>
              <w:top w:w="90" w:type="dxa"/>
              <w:start w:w="120" w:type="dxa"/>
              <w:bottom w:w="90" w:type="dxa"/>
              <w:end w:w="120" w:type="dxa"/>
            </w:tcMar>
            <w:vAlign w:val="center"/>
          </w:tcPr>
          <w:p>
            <w:pPr>
              <w:spacing w:after="0"/>
            </w:pPr>
            <w:r>
              <w:rPr>
                <w:rFonts w:ascii="Calibri" w:hAnsi="Calibri"/>
                <w:color w:val="17212B"/>
                <w:sz w:val="15"/>
              </w:rPr>
              <w:t>FR-012–013; P1/P2/P4</w:t>
            </w:r>
          </w:p>
        </w:tc>
        <w:tc>
          <w:tcPr>
            <w:tcW w:type="dxa" w:w="3240"/>
            <w:tcMar>
              <w:top w:w="90" w:type="dxa"/>
              <w:start w:w="120" w:type="dxa"/>
              <w:bottom w:w="90" w:type="dxa"/>
              <w:end w:w="120" w:type="dxa"/>
            </w:tcMar>
            <w:vAlign w:val="center"/>
          </w:tcPr>
          <w:p>
            <w:pPr>
              <w:spacing w:after="0"/>
            </w:pPr>
            <w:r>
              <w:rPr>
                <w:rFonts w:ascii="Calibri" w:hAnsi="Calibri"/>
                <w:color w:val="17212B"/>
                <w:sz w:val="15"/>
              </w:rPr>
              <w:t>WP-04/06</w:t>
            </w:r>
          </w:p>
        </w:tc>
      </w:tr>
      <w:tr>
        <w:trPr>
          <w:cantSplit/>
        </w:trPr>
        <w:tc>
          <w:tcPr>
            <w:tcW w:type="dxa" w:w="2160"/>
            <w:tcMar>
              <w:top w:w="90" w:type="dxa"/>
              <w:start w:w="120" w:type="dxa"/>
              <w:bottom w:w="90" w:type="dxa"/>
              <w:end w:w="120" w:type="dxa"/>
            </w:tcMar>
            <w:vAlign w:val="center"/>
            <w:shd w:fill="F8FAFB"/>
          </w:tcPr>
          <w:p>
            <w:pPr>
              <w:spacing w:after="0"/>
            </w:pPr>
            <w:r>
              <w:rPr>
                <w:rFonts w:ascii="Calibri" w:hAnsi="Calibri"/>
                <w:color w:val="17212B"/>
                <w:sz w:val="15"/>
              </w:rPr>
              <w:t>Supplier isolation</w:t>
            </w:r>
          </w:p>
        </w:tc>
        <w:tc>
          <w:tcPr>
            <w:tcW w:type="dxa" w:w="3960"/>
            <w:tcMar>
              <w:top w:w="90" w:type="dxa"/>
              <w:start w:w="120" w:type="dxa"/>
              <w:bottom w:w="90" w:type="dxa"/>
              <w:end w:w="120" w:type="dxa"/>
            </w:tcMar>
            <w:vAlign w:val="center"/>
            <w:shd w:fill="F8FAFB"/>
          </w:tcPr>
          <w:p>
            <w:pPr>
              <w:spacing w:after="0"/>
            </w:pPr>
            <w:r>
              <w:rPr>
                <w:rFonts w:ascii="Calibri" w:hAnsi="Calibri"/>
                <w:color w:val="17212B"/>
                <w:sz w:val="15"/>
              </w:rPr>
              <w:t>FR-014–015; NFR-003; P3</w:t>
            </w:r>
          </w:p>
        </w:tc>
        <w:tc>
          <w:tcPr>
            <w:tcW w:type="dxa" w:w="3240"/>
            <w:tcMar>
              <w:top w:w="90" w:type="dxa"/>
              <w:start w:w="120" w:type="dxa"/>
              <w:bottom w:w="90" w:type="dxa"/>
              <w:end w:w="120" w:type="dxa"/>
            </w:tcMar>
            <w:vAlign w:val="center"/>
            <w:shd w:fill="F8FAFB"/>
          </w:tcPr>
          <w:p>
            <w:pPr>
              <w:spacing w:after="0"/>
            </w:pPr>
            <w:r>
              <w:rPr>
                <w:rFonts w:ascii="Calibri" w:hAnsi="Calibri"/>
                <w:color w:val="17212B"/>
                <w:sz w:val="15"/>
              </w:rPr>
              <w:t>WP-04/05/06</w:t>
            </w:r>
          </w:p>
        </w:tc>
      </w:tr>
      <w:tr>
        <w:trPr>
          <w:cantSplit/>
        </w:trPr>
        <w:tc>
          <w:tcPr>
            <w:tcW w:type="dxa" w:w="2160"/>
            <w:tcMar>
              <w:top w:w="90" w:type="dxa"/>
              <w:start w:w="120" w:type="dxa"/>
              <w:bottom w:w="90" w:type="dxa"/>
              <w:end w:w="120" w:type="dxa"/>
            </w:tcMar>
            <w:vAlign w:val="center"/>
          </w:tcPr>
          <w:p>
            <w:pPr>
              <w:spacing w:after="0"/>
            </w:pPr>
            <w:r>
              <w:rPr>
                <w:rFonts w:ascii="Calibri" w:hAnsi="Calibri"/>
                <w:color w:val="17212B"/>
                <w:sz w:val="15"/>
              </w:rPr>
              <w:t>Offers/counteroffers</w:t>
            </w:r>
          </w:p>
        </w:tc>
        <w:tc>
          <w:tcPr>
            <w:tcW w:type="dxa" w:w="3960"/>
            <w:tcMar>
              <w:top w:w="90" w:type="dxa"/>
              <w:start w:w="120" w:type="dxa"/>
              <w:bottom w:w="90" w:type="dxa"/>
              <w:end w:w="120" w:type="dxa"/>
            </w:tcMar>
            <w:vAlign w:val="center"/>
          </w:tcPr>
          <w:p>
            <w:pPr>
              <w:spacing w:after="0"/>
            </w:pPr>
            <w:r>
              <w:rPr>
                <w:rFonts w:ascii="Calibri" w:hAnsi="Calibri"/>
                <w:color w:val="17212B"/>
                <w:sz w:val="15"/>
              </w:rPr>
              <w:t>FR-020–022; P5/P8</w:t>
            </w:r>
          </w:p>
        </w:tc>
        <w:tc>
          <w:tcPr>
            <w:tcW w:type="dxa" w:w="3240"/>
            <w:tcMar>
              <w:top w:w="90" w:type="dxa"/>
              <w:start w:w="120" w:type="dxa"/>
              <w:bottom w:w="90" w:type="dxa"/>
              <w:end w:w="120" w:type="dxa"/>
            </w:tcMar>
            <w:vAlign w:val="center"/>
          </w:tcPr>
          <w:p>
            <w:pPr>
              <w:spacing w:after="0"/>
            </w:pPr>
            <w:r>
              <w:rPr>
                <w:rFonts w:ascii="Calibri" w:hAnsi="Calibri"/>
                <w:color w:val="17212B"/>
                <w:sz w:val="15"/>
              </w:rPr>
              <w:t>WP-02/05/11</w:t>
            </w:r>
          </w:p>
        </w:tc>
      </w:tr>
      <w:tr>
        <w:trPr>
          <w:cantSplit/>
        </w:trPr>
        <w:tc>
          <w:tcPr>
            <w:tcW w:type="dxa" w:w="2160"/>
            <w:tcMar>
              <w:top w:w="90" w:type="dxa"/>
              <w:start w:w="120" w:type="dxa"/>
              <w:bottom w:w="90" w:type="dxa"/>
              <w:end w:w="120" w:type="dxa"/>
            </w:tcMar>
            <w:vAlign w:val="center"/>
            <w:shd w:fill="F8FAFB"/>
          </w:tcPr>
          <w:p>
            <w:pPr>
              <w:spacing w:after="0"/>
            </w:pPr>
            <w:r>
              <w:rPr>
                <w:rFonts w:ascii="Calibri" w:hAnsi="Calibri"/>
                <w:color w:val="17212B"/>
                <w:sz w:val="15"/>
              </w:rPr>
              <w:t>Ranking/explanation</w:t>
            </w:r>
          </w:p>
        </w:tc>
        <w:tc>
          <w:tcPr>
            <w:tcW w:type="dxa" w:w="3960"/>
            <w:tcMar>
              <w:top w:w="90" w:type="dxa"/>
              <w:start w:w="120" w:type="dxa"/>
              <w:bottom w:w="90" w:type="dxa"/>
              <w:end w:w="120" w:type="dxa"/>
            </w:tcMar>
            <w:vAlign w:val="center"/>
            <w:shd w:fill="F8FAFB"/>
          </w:tcPr>
          <w:p>
            <w:pPr>
              <w:spacing w:after="0"/>
            </w:pPr>
            <w:r>
              <w:rPr>
                <w:rFonts w:ascii="Calibri" w:hAnsi="Calibri"/>
                <w:color w:val="17212B"/>
                <w:sz w:val="15"/>
              </w:rPr>
              <w:t>FR-023–025; P6</w:t>
            </w:r>
          </w:p>
        </w:tc>
        <w:tc>
          <w:tcPr>
            <w:tcW w:type="dxa" w:w="3240"/>
            <w:tcMar>
              <w:top w:w="90" w:type="dxa"/>
              <w:start w:w="120" w:type="dxa"/>
              <w:bottom w:w="90" w:type="dxa"/>
              <w:end w:w="120" w:type="dxa"/>
            </w:tcMar>
            <w:vAlign w:val="center"/>
            <w:shd w:fill="F8FAFB"/>
          </w:tcPr>
          <w:p>
            <w:pPr>
              <w:spacing w:after="0"/>
            </w:pPr>
            <w:r>
              <w:rPr>
                <w:rFonts w:ascii="Calibri" w:hAnsi="Calibri"/>
                <w:color w:val="17212B"/>
                <w:sz w:val="15"/>
              </w:rPr>
              <w:t>WP-05</w:t>
            </w:r>
          </w:p>
        </w:tc>
      </w:tr>
      <w:tr>
        <w:trPr>
          <w:cantSplit/>
        </w:trPr>
        <w:tc>
          <w:tcPr>
            <w:tcW w:type="dxa" w:w="2160"/>
            <w:tcMar>
              <w:top w:w="90" w:type="dxa"/>
              <w:start w:w="120" w:type="dxa"/>
              <w:bottom w:w="90" w:type="dxa"/>
              <w:end w:w="120" w:type="dxa"/>
            </w:tcMar>
            <w:vAlign w:val="center"/>
          </w:tcPr>
          <w:p>
            <w:pPr>
              <w:spacing w:after="0"/>
            </w:pPr>
            <w:r>
              <w:rPr>
                <w:rFonts w:ascii="Calibri" w:hAnsi="Calibri"/>
                <w:color w:val="17212B"/>
                <w:sz w:val="15"/>
              </w:rPr>
              <w:t>Acceptance/action</w:t>
            </w:r>
          </w:p>
        </w:tc>
        <w:tc>
          <w:tcPr>
            <w:tcW w:type="dxa" w:w="3960"/>
            <w:tcMar>
              <w:top w:w="90" w:type="dxa"/>
              <w:start w:w="120" w:type="dxa"/>
              <w:bottom w:w="90" w:type="dxa"/>
              <w:end w:w="120" w:type="dxa"/>
            </w:tcMar>
            <w:vAlign w:val="center"/>
          </w:tcPr>
          <w:p>
            <w:pPr>
              <w:spacing w:after="0"/>
            </w:pPr>
            <w:r>
              <w:rPr>
                <w:rFonts w:ascii="Calibri" w:hAnsi="Calibri"/>
                <w:color w:val="17212B"/>
                <w:sz w:val="15"/>
              </w:rPr>
              <w:t>FR-030–033; P4/P8</w:t>
            </w:r>
          </w:p>
        </w:tc>
        <w:tc>
          <w:tcPr>
            <w:tcW w:type="dxa" w:w="3240"/>
            <w:tcMar>
              <w:top w:w="90" w:type="dxa"/>
              <w:start w:w="120" w:type="dxa"/>
              <w:bottom w:w="90" w:type="dxa"/>
              <w:end w:w="120" w:type="dxa"/>
            </w:tcMar>
            <w:vAlign w:val="center"/>
          </w:tcPr>
          <w:p>
            <w:pPr>
              <w:spacing w:after="0"/>
            </w:pPr>
            <w:r>
              <w:rPr>
                <w:rFonts w:ascii="Calibri" w:hAnsi="Calibri"/>
                <w:color w:val="17212B"/>
                <w:sz w:val="15"/>
              </w:rPr>
              <w:t>WP-02/03/04/06</w:t>
            </w:r>
          </w:p>
        </w:tc>
      </w:tr>
      <w:tr>
        <w:trPr>
          <w:cantSplit/>
        </w:trPr>
        <w:tc>
          <w:tcPr>
            <w:tcW w:type="dxa" w:w="2160"/>
            <w:tcMar>
              <w:top w:w="90" w:type="dxa"/>
              <w:start w:w="120" w:type="dxa"/>
              <w:bottom w:w="90" w:type="dxa"/>
              <w:end w:w="120" w:type="dxa"/>
            </w:tcMar>
            <w:vAlign w:val="center"/>
            <w:shd w:fill="F8FAFB"/>
          </w:tcPr>
          <w:p>
            <w:pPr>
              <w:spacing w:after="0"/>
            </w:pPr>
            <w:r>
              <w:rPr>
                <w:rFonts w:ascii="Calibri" w:hAnsi="Calibri"/>
                <w:color w:val="17212B"/>
                <w:sz w:val="15"/>
              </w:rPr>
              <w:t>Preferences</w:t>
            </w:r>
          </w:p>
        </w:tc>
        <w:tc>
          <w:tcPr>
            <w:tcW w:type="dxa" w:w="3960"/>
            <w:tcMar>
              <w:top w:w="90" w:type="dxa"/>
              <w:start w:w="120" w:type="dxa"/>
              <w:bottom w:w="90" w:type="dxa"/>
              <w:end w:w="120" w:type="dxa"/>
            </w:tcMar>
            <w:vAlign w:val="center"/>
            <w:shd w:fill="F8FAFB"/>
          </w:tcPr>
          <w:p>
            <w:pPr>
              <w:spacing w:after="0"/>
            </w:pPr>
            <w:r>
              <w:rPr>
                <w:rFonts w:ascii="Calibri" w:hAnsi="Calibri"/>
                <w:color w:val="17212B"/>
                <w:sz w:val="15"/>
              </w:rPr>
              <w:t>FR-040–042</w:t>
            </w:r>
          </w:p>
        </w:tc>
        <w:tc>
          <w:tcPr>
            <w:tcW w:type="dxa" w:w="3240"/>
            <w:tcMar>
              <w:top w:w="90" w:type="dxa"/>
              <w:start w:w="120" w:type="dxa"/>
              <w:bottom w:w="90" w:type="dxa"/>
              <w:end w:w="120" w:type="dxa"/>
            </w:tcMar>
            <w:vAlign w:val="center"/>
            <w:shd w:fill="F8FAFB"/>
          </w:tcPr>
          <w:p>
            <w:pPr>
              <w:spacing w:after="0"/>
            </w:pPr>
            <w:r>
              <w:rPr>
                <w:rFonts w:ascii="Calibri" w:hAnsi="Calibri"/>
                <w:color w:val="17212B"/>
                <w:sz w:val="15"/>
              </w:rPr>
              <w:t>After G1 core; WP-11/13</w:t>
            </w:r>
          </w:p>
        </w:tc>
      </w:tr>
      <w:tr>
        <w:trPr>
          <w:cantSplit/>
        </w:trPr>
        <w:tc>
          <w:tcPr>
            <w:tcW w:type="dxa" w:w="2160"/>
            <w:tcMar>
              <w:top w:w="90" w:type="dxa"/>
              <w:start w:w="120" w:type="dxa"/>
              <w:bottom w:w="90" w:type="dxa"/>
              <w:end w:w="120" w:type="dxa"/>
            </w:tcMar>
            <w:vAlign w:val="center"/>
          </w:tcPr>
          <w:p>
            <w:pPr>
              <w:spacing w:after="0"/>
            </w:pPr>
            <w:r>
              <w:rPr>
                <w:rFonts w:ascii="Calibri" w:hAnsi="Calibri"/>
                <w:color w:val="17212B"/>
                <w:sz w:val="15"/>
              </w:rPr>
              <w:t>Entitlements/mobile</w:t>
            </w:r>
          </w:p>
        </w:tc>
        <w:tc>
          <w:tcPr>
            <w:tcW w:type="dxa" w:w="3960"/>
            <w:tcMar>
              <w:top w:w="90" w:type="dxa"/>
              <w:start w:w="120" w:type="dxa"/>
              <w:bottom w:w="90" w:type="dxa"/>
              <w:end w:w="120" w:type="dxa"/>
            </w:tcMar>
            <w:vAlign w:val="center"/>
          </w:tcPr>
          <w:p>
            <w:pPr>
              <w:spacing w:after="0"/>
            </w:pPr>
            <w:r>
              <w:rPr>
                <w:rFonts w:ascii="Calibri" w:hAnsi="Calibri"/>
                <w:color w:val="17212B"/>
                <w:sz w:val="15"/>
              </w:rPr>
              <w:t>FR-002, FR-043</w:t>
            </w:r>
          </w:p>
        </w:tc>
        <w:tc>
          <w:tcPr>
            <w:tcW w:type="dxa" w:w="3240"/>
            <w:tcMar>
              <w:top w:w="90" w:type="dxa"/>
              <w:start w:w="120" w:type="dxa"/>
              <w:bottom w:w="90" w:type="dxa"/>
              <w:end w:w="120" w:type="dxa"/>
            </w:tcMar>
            <w:vAlign w:val="center"/>
          </w:tcPr>
          <w:p>
            <w:pPr>
              <w:spacing w:after="0"/>
            </w:pPr>
            <w:r>
              <w:rPr>
                <w:rFonts w:ascii="Calibri" w:hAnsi="Calibri"/>
                <w:color w:val="17212B"/>
                <w:sz w:val="15"/>
              </w:rPr>
              <w:t>WP-13/14/15</w:t>
            </w:r>
          </w:p>
        </w:tc>
      </w:tr>
      <w:tr>
        <w:trPr>
          <w:cantSplit/>
        </w:trPr>
        <w:tc>
          <w:tcPr>
            <w:tcW w:type="dxa" w:w="2160"/>
            <w:tcMar>
              <w:top w:w="90" w:type="dxa"/>
              <w:start w:w="120" w:type="dxa"/>
              <w:bottom w:w="90" w:type="dxa"/>
              <w:end w:w="120" w:type="dxa"/>
            </w:tcMar>
            <w:vAlign w:val="center"/>
            <w:shd w:fill="F8FAFB"/>
          </w:tcPr>
          <w:p>
            <w:pPr>
              <w:spacing w:after="0"/>
            </w:pPr>
            <w:r>
              <w:rPr>
                <w:rFonts w:ascii="Calibri" w:hAnsi="Calibri"/>
                <w:color w:val="17212B"/>
                <w:sz w:val="15"/>
              </w:rPr>
              <w:t>Cloud neutrality</w:t>
            </w:r>
          </w:p>
        </w:tc>
        <w:tc>
          <w:tcPr>
            <w:tcW w:type="dxa" w:w="3960"/>
            <w:tcMar>
              <w:top w:w="90" w:type="dxa"/>
              <w:start w:w="120" w:type="dxa"/>
              <w:bottom w:w="90" w:type="dxa"/>
              <w:end w:w="120" w:type="dxa"/>
            </w:tcMar>
            <w:vAlign w:val="center"/>
            <w:shd w:fill="F8FAFB"/>
          </w:tcPr>
          <w:p>
            <w:pPr>
              <w:spacing w:after="0"/>
            </w:pPr>
            <w:r>
              <w:rPr>
                <w:rFonts w:ascii="Calibri" w:hAnsi="Calibri"/>
                <w:color w:val="17212B"/>
                <w:sz w:val="15"/>
              </w:rPr>
              <w:t>NFR-007; P7</w:t>
            </w:r>
          </w:p>
        </w:tc>
        <w:tc>
          <w:tcPr>
            <w:tcW w:type="dxa" w:w="3240"/>
            <w:tcMar>
              <w:top w:w="90" w:type="dxa"/>
              <w:start w:w="120" w:type="dxa"/>
              <w:bottom w:w="90" w:type="dxa"/>
              <w:end w:w="120" w:type="dxa"/>
            </w:tcMar>
            <w:vAlign w:val="center"/>
            <w:shd w:fill="F8FAFB"/>
          </w:tcPr>
          <w:p>
            <w:pPr>
              <w:spacing w:after="0"/>
            </w:pPr>
            <w:r>
              <w:rPr>
                <w:rFonts w:ascii="Calibri" w:hAnsi="Calibri"/>
                <w:color w:val="17212B"/>
                <w:sz w:val="15"/>
              </w:rPr>
              <w:t>WP-01 onward; WP-08/10 conformance</w:t>
            </w:r>
          </w:p>
        </w:tc>
      </w:tr>
      <w:tr>
        <w:trPr>
          <w:cantSplit/>
        </w:trPr>
        <w:tc>
          <w:tcPr>
            <w:tcW w:type="dxa" w:w="2160"/>
            <w:tcMar>
              <w:top w:w="90" w:type="dxa"/>
              <w:start w:w="120" w:type="dxa"/>
              <w:bottom w:w="90" w:type="dxa"/>
              <w:end w:w="120" w:type="dxa"/>
            </w:tcMar>
            <w:vAlign w:val="center"/>
          </w:tcPr>
          <w:p>
            <w:pPr>
              <w:spacing w:after="0"/>
            </w:pPr>
            <w:r>
              <w:rPr>
                <w:rFonts w:ascii="Calibri" w:hAnsi="Calibri"/>
                <w:color w:val="17212B"/>
                <w:sz w:val="15"/>
              </w:rPr>
              <w:t>Security/audit/reliability</w:t>
            </w:r>
          </w:p>
        </w:tc>
        <w:tc>
          <w:tcPr>
            <w:tcW w:type="dxa" w:w="3960"/>
            <w:tcMar>
              <w:top w:w="90" w:type="dxa"/>
              <w:start w:w="120" w:type="dxa"/>
              <w:bottom w:w="90" w:type="dxa"/>
              <w:end w:w="120" w:type="dxa"/>
            </w:tcMar>
            <w:vAlign w:val="center"/>
          </w:tcPr>
          <w:p>
            <w:pPr>
              <w:spacing w:after="0"/>
            </w:pPr>
            <w:r>
              <w:rPr>
                <w:rFonts w:ascii="Calibri" w:hAnsi="Calibri"/>
                <w:color w:val="17212B"/>
                <w:sz w:val="15"/>
              </w:rPr>
              <w:t>NFR-004–006, 010</w:t>
            </w:r>
          </w:p>
        </w:tc>
        <w:tc>
          <w:tcPr>
            <w:tcW w:type="dxa" w:w="3240"/>
            <w:tcMar>
              <w:top w:w="90" w:type="dxa"/>
              <w:start w:w="120" w:type="dxa"/>
              <w:bottom w:w="90" w:type="dxa"/>
              <w:end w:w="120" w:type="dxa"/>
            </w:tcMar>
            <w:vAlign w:val="center"/>
          </w:tcPr>
          <w:p>
            <w:pPr>
              <w:spacing w:after="0"/>
            </w:pPr>
            <w:r>
              <w:rPr>
                <w:rFonts w:ascii="Calibri" w:hAnsi="Calibri"/>
                <w:color w:val="17212B"/>
                <w:sz w:val="15"/>
              </w:rPr>
              <w:t>WP-04/06/09/11/14</w:t>
            </w:r>
          </w:p>
        </w:tc>
      </w:tr>
    </w:tbl>
    <w:p>
      <w:pPr>
        <w:spacing w:after="20"/>
      </w:pPr>
    </w:p>
    <w:p>
      <w:pPr>
        <w:pStyle w:val="Heading1"/>
      </w:pPr>
      <w:r>
        <w:t>Appendix B — PM acceptance record</w:t>
      </w:r>
    </w:p>
    <w:tbl>
      <w:tblPr>
        <w:tblStyle w:val="TableGrid"/>
        <w:tblW w:type="auto" w:w="0"/>
        <w:jc w:val="center"/>
        <w:tblLayout w:type="fixed"/>
        <w:tblLook w:firstColumn="1" w:firstRow="1" w:lastColumn="0" w:lastRow="0" w:noHBand="0" w:noVBand="1" w:val="04A0"/>
        <w:tblW w:w="9360" w:type="dxa"/>
        <w:tblInd w:w="120" w:type="dxa"/>
      </w:tblPr>
      <w:tblGrid>
        <w:gridCol w:w="2592"/>
        <w:gridCol w:w="6768"/>
      </w:tblGrid>
      <w:tr>
        <w:trPr>
          <w:tblHeader w:val="true"/>
          <w:cantSplit/>
        </w:trPr>
        <w:tc>
          <w:tcPr>
            <w:tcW w:type="dxa" w:w="2592"/>
            <w:tcMar>
              <w:top w:w="90" w:type="dxa"/>
              <w:start w:w="120" w:type="dxa"/>
              <w:bottom w:w="90" w:type="dxa"/>
              <w:end w:w="120" w:type="dxa"/>
            </w:tcMar>
            <w:shd w:fill="17324D"/>
            <w:vAlign w:val="center"/>
          </w:tcPr>
          <w:p>
            <w:pPr>
              <w:spacing w:after="0"/>
            </w:pPr>
            <w:r>
              <w:rPr>
                <w:rFonts w:ascii="Calibri" w:hAnsi="Calibri"/>
                <w:b/>
                <w:color w:val="FFFFFF"/>
                <w:sz w:val="16"/>
              </w:rPr>
              <w:t>Field</w:t>
            </w:r>
          </w:p>
        </w:tc>
        <w:tc>
          <w:tcPr>
            <w:tcW w:type="dxa" w:w="6768"/>
            <w:tcMar>
              <w:top w:w="90" w:type="dxa"/>
              <w:start w:w="120" w:type="dxa"/>
              <w:bottom w:w="90" w:type="dxa"/>
              <w:end w:w="120" w:type="dxa"/>
            </w:tcMar>
            <w:shd w:fill="17324D"/>
            <w:vAlign w:val="center"/>
          </w:tcPr>
          <w:p>
            <w:pPr>
              <w:spacing w:after="0"/>
            </w:pPr>
            <w:r>
              <w:rPr>
                <w:rFonts w:ascii="Calibri" w:hAnsi="Calibri"/>
                <w:b/>
                <w:color w:val="FFFFFF"/>
                <w:sz w:val="16"/>
              </w:rPr>
              <w:t>Entry</w:t>
            </w:r>
          </w:p>
        </w:tc>
      </w:tr>
      <w:tr>
        <w:trPr>
          <w:cantSplit/>
        </w:trPr>
        <w:tc>
          <w:tcPr>
            <w:tcW w:type="dxa" w:w="2592"/>
            <w:tcMar>
              <w:top w:w="90" w:type="dxa"/>
              <w:start w:w="120" w:type="dxa"/>
              <w:bottom w:w="90" w:type="dxa"/>
              <w:end w:w="120" w:type="dxa"/>
            </w:tcMar>
            <w:vAlign w:val="center"/>
          </w:tcPr>
          <w:p>
            <w:pPr>
              <w:spacing w:after="0"/>
            </w:pPr>
            <w:r>
              <w:rPr>
                <w:rFonts w:ascii="Calibri" w:hAnsi="Calibri"/>
                <w:color w:val="17212B"/>
                <w:sz w:val="16"/>
              </w:rPr>
              <w:t>Work package</w:t>
            </w:r>
          </w:p>
        </w:tc>
        <w:tc>
          <w:tcPr>
            <w:tcW w:type="dxa" w:w="6768"/>
            <w:tcMar>
              <w:top w:w="90" w:type="dxa"/>
              <w:start w:w="120" w:type="dxa"/>
              <w:bottom w:w="90" w:type="dxa"/>
              <w:end w:w="120" w:type="dxa"/>
            </w:tcMar>
            <w:vAlign w:val="center"/>
          </w:tcPr>
          <w:p>
            <w:pPr>
              <w:spacing w:after="0"/>
            </w:pPr>
            <w:r>
              <w:rPr>
                <w:rFonts w:ascii="Calibri" w:hAnsi="Calibri"/>
                <w:color w:val="17212B"/>
                <w:sz w:val="16"/>
              </w:rPr>
            </w:r>
          </w:p>
        </w:tc>
      </w:tr>
      <w:tr>
        <w:trPr>
          <w:cantSplit/>
        </w:trPr>
        <w:tc>
          <w:tcPr>
            <w:tcW w:type="dxa" w:w="2592"/>
            <w:tcMar>
              <w:top w:w="90" w:type="dxa"/>
              <w:start w:w="120" w:type="dxa"/>
              <w:bottom w:w="90" w:type="dxa"/>
              <w:end w:w="120" w:type="dxa"/>
            </w:tcMar>
            <w:vAlign w:val="center"/>
            <w:shd w:fill="F8FAFB"/>
          </w:tcPr>
          <w:p>
            <w:pPr>
              <w:spacing w:after="0"/>
            </w:pPr>
            <w:r>
              <w:rPr>
                <w:rFonts w:ascii="Calibri" w:hAnsi="Calibri"/>
                <w:color w:val="17212B"/>
                <w:sz w:val="16"/>
              </w:rPr>
              <w:t>Baseline commit/tag</w:t>
            </w:r>
          </w:p>
        </w:tc>
        <w:tc>
          <w:tcPr>
            <w:tcW w:type="dxa" w:w="6768"/>
            <w:tcMar>
              <w:top w:w="90" w:type="dxa"/>
              <w:start w:w="120" w:type="dxa"/>
              <w:bottom w:w="90" w:type="dxa"/>
              <w:end w:w="120" w:type="dxa"/>
            </w:tcMar>
            <w:vAlign w:val="center"/>
            <w:shd w:fill="F8FAFB"/>
          </w:tcPr>
          <w:p>
            <w:pPr>
              <w:spacing w:after="0"/>
            </w:pPr>
            <w:r>
              <w:rPr>
                <w:rFonts w:ascii="Calibri" w:hAnsi="Calibri"/>
                <w:color w:val="17212B"/>
                <w:sz w:val="16"/>
              </w:rPr>
            </w:r>
          </w:p>
        </w:tc>
      </w:tr>
      <w:tr>
        <w:trPr>
          <w:cantSplit/>
        </w:trPr>
        <w:tc>
          <w:tcPr>
            <w:tcW w:type="dxa" w:w="2592"/>
            <w:tcMar>
              <w:top w:w="90" w:type="dxa"/>
              <w:start w:w="120" w:type="dxa"/>
              <w:bottom w:w="90" w:type="dxa"/>
              <w:end w:w="120" w:type="dxa"/>
            </w:tcMar>
            <w:vAlign w:val="center"/>
          </w:tcPr>
          <w:p>
            <w:pPr>
              <w:spacing w:after="0"/>
            </w:pPr>
            <w:r>
              <w:rPr>
                <w:rFonts w:ascii="Calibri" w:hAnsi="Calibri"/>
                <w:color w:val="17212B"/>
                <w:sz w:val="16"/>
              </w:rPr>
              <w:t>Review date</w:t>
            </w:r>
          </w:p>
        </w:tc>
        <w:tc>
          <w:tcPr>
            <w:tcW w:type="dxa" w:w="6768"/>
            <w:tcMar>
              <w:top w:w="90" w:type="dxa"/>
              <w:start w:w="120" w:type="dxa"/>
              <w:bottom w:w="90" w:type="dxa"/>
              <w:end w:w="120" w:type="dxa"/>
            </w:tcMar>
            <w:vAlign w:val="center"/>
          </w:tcPr>
          <w:p>
            <w:pPr>
              <w:spacing w:after="0"/>
            </w:pPr>
            <w:r>
              <w:rPr>
                <w:rFonts w:ascii="Calibri" w:hAnsi="Calibri"/>
                <w:color w:val="17212B"/>
                <w:sz w:val="16"/>
              </w:rPr>
            </w:r>
          </w:p>
        </w:tc>
      </w:tr>
      <w:tr>
        <w:trPr>
          <w:cantSplit/>
        </w:trPr>
        <w:tc>
          <w:tcPr>
            <w:tcW w:type="dxa" w:w="2592"/>
            <w:tcMar>
              <w:top w:w="90" w:type="dxa"/>
              <w:start w:w="120" w:type="dxa"/>
              <w:bottom w:w="90" w:type="dxa"/>
              <w:end w:w="120" w:type="dxa"/>
            </w:tcMar>
            <w:vAlign w:val="center"/>
            <w:shd w:fill="F8FAFB"/>
          </w:tcPr>
          <w:p>
            <w:pPr>
              <w:spacing w:after="0"/>
            </w:pPr>
            <w:r>
              <w:rPr>
                <w:rFonts w:ascii="Calibri" w:hAnsi="Calibri"/>
                <w:color w:val="17212B"/>
                <w:sz w:val="16"/>
              </w:rPr>
              <w:t>Completion report received</w:t>
            </w:r>
          </w:p>
        </w:tc>
        <w:tc>
          <w:tcPr>
            <w:tcW w:type="dxa" w:w="6768"/>
            <w:tcMar>
              <w:top w:w="90" w:type="dxa"/>
              <w:start w:w="120" w:type="dxa"/>
              <w:bottom w:w="90" w:type="dxa"/>
              <w:end w:w="120" w:type="dxa"/>
            </w:tcMar>
            <w:vAlign w:val="center"/>
            <w:shd w:fill="F8FAFB"/>
          </w:tcPr>
          <w:p>
            <w:pPr>
              <w:spacing w:after="0"/>
            </w:pPr>
            <w:r>
              <w:rPr>
                <w:rFonts w:ascii="Calibri" w:hAnsi="Calibri"/>
                <w:color w:val="17212B"/>
                <w:sz w:val="16"/>
              </w:rPr>
              <w:t>Yes / No</w:t>
            </w:r>
          </w:p>
        </w:tc>
      </w:tr>
      <w:tr>
        <w:trPr>
          <w:cantSplit/>
        </w:trPr>
        <w:tc>
          <w:tcPr>
            <w:tcW w:type="dxa" w:w="2592"/>
            <w:tcMar>
              <w:top w:w="90" w:type="dxa"/>
              <w:start w:w="120" w:type="dxa"/>
              <w:bottom w:w="90" w:type="dxa"/>
              <w:end w:w="120" w:type="dxa"/>
            </w:tcMar>
            <w:vAlign w:val="center"/>
          </w:tcPr>
          <w:p>
            <w:pPr>
              <w:spacing w:after="0"/>
            </w:pPr>
            <w:r>
              <w:rPr>
                <w:rFonts w:ascii="Calibri" w:hAnsi="Calibri"/>
                <w:color w:val="17212B"/>
                <w:sz w:val="16"/>
              </w:rPr>
              <w:t>Acceptance criteria</w:t>
            </w:r>
          </w:p>
        </w:tc>
        <w:tc>
          <w:tcPr>
            <w:tcW w:type="dxa" w:w="6768"/>
            <w:tcMar>
              <w:top w:w="90" w:type="dxa"/>
              <w:start w:w="120" w:type="dxa"/>
              <w:bottom w:w="90" w:type="dxa"/>
              <w:end w:w="120" w:type="dxa"/>
            </w:tcMar>
            <w:vAlign w:val="center"/>
          </w:tcPr>
          <w:p>
            <w:pPr>
              <w:spacing w:after="0"/>
            </w:pPr>
            <w:r>
              <w:rPr>
                <w:rFonts w:ascii="Calibri" w:hAnsi="Calibri"/>
                <w:color w:val="17212B"/>
                <w:sz w:val="16"/>
              </w:rPr>
              <w:t>Pass / Partial / Fail</w:t>
            </w:r>
          </w:p>
        </w:tc>
      </w:tr>
      <w:tr>
        <w:trPr>
          <w:cantSplit/>
        </w:trPr>
        <w:tc>
          <w:tcPr>
            <w:tcW w:type="dxa" w:w="2592"/>
            <w:tcMar>
              <w:top w:w="90" w:type="dxa"/>
              <w:start w:w="120" w:type="dxa"/>
              <w:bottom w:w="90" w:type="dxa"/>
              <w:end w:w="120" w:type="dxa"/>
            </w:tcMar>
            <w:vAlign w:val="center"/>
            <w:shd w:fill="F8FAFB"/>
          </w:tcPr>
          <w:p>
            <w:pPr>
              <w:spacing w:after="0"/>
            </w:pPr>
            <w:r>
              <w:rPr>
                <w:rFonts w:ascii="Calibri" w:hAnsi="Calibri"/>
                <w:color w:val="17212B"/>
                <w:sz w:val="16"/>
              </w:rPr>
              <w:t>Architecture/privacy review</w:t>
            </w:r>
          </w:p>
        </w:tc>
        <w:tc>
          <w:tcPr>
            <w:tcW w:type="dxa" w:w="6768"/>
            <w:tcMar>
              <w:top w:w="90" w:type="dxa"/>
              <w:start w:w="120" w:type="dxa"/>
              <w:bottom w:w="90" w:type="dxa"/>
              <w:end w:w="120" w:type="dxa"/>
            </w:tcMar>
            <w:vAlign w:val="center"/>
            <w:shd w:fill="F8FAFB"/>
          </w:tcPr>
          <w:p>
            <w:pPr>
              <w:spacing w:after="0"/>
            </w:pPr>
            <w:r>
              <w:rPr>
                <w:rFonts w:ascii="Calibri" w:hAnsi="Calibri"/>
                <w:color w:val="17212B"/>
                <w:sz w:val="16"/>
              </w:rPr>
              <w:t>Pass / Findings attached</w:t>
            </w:r>
          </w:p>
        </w:tc>
      </w:tr>
      <w:tr>
        <w:trPr>
          <w:cantSplit/>
        </w:trPr>
        <w:tc>
          <w:tcPr>
            <w:tcW w:type="dxa" w:w="2592"/>
            <w:tcMar>
              <w:top w:w="90" w:type="dxa"/>
              <w:start w:w="120" w:type="dxa"/>
              <w:bottom w:w="90" w:type="dxa"/>
              <w:end w:w="120" w:type="dxa"/>
            </w:tcMar>
            <w:vAlign w:val="center"/>
          </w:tcPr>
          <w:p>
            <w:pPr>
              <w:spacing w:after="0"/>
            </w:pPr>
            <w:r>
              <w:rPr>
                <w:rFonts w:ascii="Calibri" w:hAnsi="Calibri"/>
                <w:color w:val="17212B"/>
                <w:sz w:val="16"/>
              </w:rPr>
              <w:t>Test evidence</w:t>
            </w:r>
          </w:p>
        </w:tc>
        <w:tc>
          <w:tcPr>
            <w:tcW w:type="dxa" w:w="6768"/>
            <w:tcMar>
              <w:top w:w="90" w:type="dxa"/>
              <w:start w:w="120" w:type="dxa"/>
              <w:bottom w:w="90" w:type="dxa"/>
              <w:end w:w="120" w:type="dxa"/>
            </w:tcMar>
            <w:vAlign w:val="center"/>
          </w:tcPr>
          <w:p>
            <w:pPr>
              <w:spacing w:after="0"/>
            </w:pPr>
            <w:r>
              <w:rPr>
                <w:rFonts w:ascii="Calibri" w:hAnsi="Calibri"/>
                <w:color w:val="17212B"/>
                <w:sz w:val="16"/>
              </w:rPr>
              <w:t>Pass / Missing</w:t>
            </w:r>
          </w:p>
        </w:tc>
      </w:tr>
      <w:tr>
        <w:trPr>
          <w:cantSplit/>
        </w:trPr>
        <w:tc>
          <w:tcPr>
            <w:tcW w:type="dxa" w:w="2592"/>
            <w:tcMar>
              <w:top w:w="90" w:type="dxa"/>
              <w:start w:w="120" w:type="dxa"/>
              <w:bottom w:w="90" w:type="dxa"/>
              <w:end w:w="120" w:type="dxa"/>
            </w:tcMar>
            <w:vAlign w:val="center"/>
            <w:shd w:fill="F8FAFB"/>
          </w:tcPr>
          <w:p>
            <w:pPr>
              <w:spacing w:after="0"/>
            </w:pPr>
            <w:r>
              <w:rPr>
                <w:rFonts w:ascii="Calibri" w:hAnsi="Calibri"/>
                <w:color w:val="17212B"/>
                <w:sz w:val="16"/>
              </w:rPr>
              <w:t>Decision</w:t>
            </w:r>
          </w:p>
        </w:tc>
        <w:tc>
          <w:tcPr>
            <w:tcW w:type="dxa" w:w="6768"/>
            <w:tcMar>
              <w:top w:w="90" w:type="dxa"/>
              <w:start w:w="120" w:type="dxa"/>
              <w:bottom w:w="90" w:type="dxa"/>
              <w:end w:w="120" w:type="dxa"/>
            </w:tcMar>
            <w:vAlign w:val="center"/>
            <w:shd w:fill="F8FAFB"/>
          </w:tcPr>
          <w:p>
            <w:pPr>
              <w:spacing w:after="0"/>
            </w:pPr>
            <w:r>
              <w:rPr>
                <w:rFonts w:ascii="Calibri" w:hAnsi="Calibri"/>
                <w:color w:val="17212B"/>
                <w:sz w:val="16"/>
              </w:rPr>
              <w:t>ACCEPTED / ACCEPTED WITH FOLLOW-UPS / REWORK REQUIRED</w:t>
            </w:r>
          </w:p>
        </w:tc>
      </w:tr>
      <w:tr>
        <w:trPr>
          <w:cantSplit/>
        </w:trPr>
        <w:tc>
          <w:tcPr>
            <w:tcW w:type="dxa" w:w="2592"/>
            <w:tcMar>
              <w:top w:w="90" w:type="dxa"/>
              <w:start w:w="120" w:type="dxa"/>
              <w:bottom w:w="90" w:type="dxa"/>
              <w:end w:w="120" w:type="dxa"/>
            </w:tcMar>
            <w:vAlign w:val="center"/>
          </w:tcPr>
          <w:p>
            <w:pPr>
              <w:spacing w:after="0"/>
            </w:pPr>
            <w:r>
              <w:rPr>
                <w:rFonts w:ascii="Calibri" w:hAnsi="Calibri"/>
                <w:color w:val="17212B"/>
                <w:sz w:val="16"/>
              </w:rPr>
              <w:t>Follow-ups / owner / due</w:t>
            </w:r>
          </w:p>
        </w:tc>
        <w:tc>
          <w:tcPr>
            <w:tcW w:type="dxa" w:w="6768"/>
            <w:tcMar>
              <w:top w:w="90" w:type="dxa"/>
              <w:start w:w="120" w:type="dxa"/>
              <w:bottom w:w="90" w:type="dxa"/>
              <w:end w:w="120" w:type="dxa"/>
            </w:tcMar>
            <w:vAlign w:val="center"/>
          </w:tcPr>
          <w:p>
            <w:pPr>
              <w:spacing w:after="0"/>
            </w:pPr>
            <w:r>
              <w:rPr>
                <w:rFonts w:ascii="Calibri" w:hAnsi="Calibri"/>
                <w:color w:val="17212B"/>
                <w:sz w:val="16"/>
              </w:rPr>
            </w:r>
          </w:p>
        </w:tc>
      </w:tr>
      <w:tr>
        <w:trPr>
          <w:cantSplit/>
        </w:trPr>
        <w:tc>
          <w:tcPr>
            <w:tcW w:type="dxa" w:w="2592"/>
            <w:tcMar>
              <w:top w:w="90" w:type="dxa"/>
              <w:start w:w="120" w:type="dxa"/>
              <w:bottom w:w="90" w:type="dxa"/>
              <w:end w:w="120" w:type="dxa"/>
            </w:tcMar>
            <w:vAlign w:val="center"/>
            <w:shd w:fill="F8FAFB"/>
          </w:tcPr>
          <w:p>
            <w:pPr>
              <w:spacing w:after="0"/>
            </w:pPr>
            <w:r>
              <w:rPr>
                <w:rFonts w:ascii="Calibri" w:hAnsi="Calibri"/>
                <w:color w:val="17212B"/>
                <w:sz w:val="16"/>
              </w:rPr>
              <w:t>Accepted by</w:t>
            </w:r>
          </w:p>
        </w:tc>
        <w:tc>
          <w:tcPr>
            <w:tcW w:type="dxa" w:w="6768"/>
            <w:tcMar>
              <w:top w:w="90" w:type="dxa"/>
              <w:start w:w="120" w:type="dxa"/>
              <w:bottom w:w="90" w:type="dxa"/>
              <w:end w:w="120" w:type="dxa"/>
            </w:tcMar>
            <w:vAlign w:val="center"/>
            <w:shd w:fill="F8FAFB"/>
          </w:tcPr>
          <w:p>
            <w:pPr>
              <w:spacing w:after="0"/>
            </w:pPr>
            <w:r>
              <w:rPr>
                <w:rFonts w:ascii="Calibri" w:hAnsi="Calibri"/>
                <w:color w:val="17212B"/>
                <w:sz w:val="16"/>
              </w:rPr>
              <w:t>Codex PM recommendation; Product Owner milestone approval where required</w:t>
            </w:r>
          </w:p>
        </w:tc>
      </w:tr>
    </w:tbl>
    <w:p>
      <w:pPr>
        <w:spacing w:after="20"/>
      </w:pPr>
    </w:p>
    <w:p>
      <w:pPr>
        <w:pStyle w:val="Heading2"/>
      </w:pPr>
      <w:r>
        <w:t>Final execution directive</w:t>
      </w: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60" w:type="dxa"/>
              <w:bottom w:w="130" w:type="dxa"/>
              <w:end w:w="160" w:type="dxa"/>
            </w:tcMar>
            <w:shd w:fill="F4F7F9"/>
          </w:tcPr>
          <w:p>
            <w:pPr>
              <w:spacing w:after="0"/>
            </w:pPr>
            <w:r>
              <w:rPr>
                <w:rFonts w:ascii="Calibri" w:hAnsi="Calibri"/>
                <w:b/>
                <w:color w:val="17324D"/>
                <w:sz w:val="17"/>
              </w:rPr>
              <w:t xml:space="preserve">START HERE  </w:t>
            </w:r>
            <w:r>
              <w:rPr>
                <w:rFonts w:ascii="Calibri" w:hAnsi="Calibri"/>
                <w:b/>
                <w:color w:val="17212B"/>
                <w:sz w:val="20"/>
              </w:rPr>
              <w:t>Select the repository, preserve any existing work, run Cursor Work Order 001, and return the completion evidence for review. Do not ask Cursor to build the full product in one prompt.</w:t>
            </w:r>
          </w:p>
        </w:tc>
      </w:tr>
    </w:tbl>
    <w:p>
      <w:pPr>
        <w:spacing w:after="20"/>
      </w:pPr>
    </w:p>
    <w:sectPr w:rsidR="00FC693F" w:rsidRPr="0006063C" w:rsidSect="00034616">
      <w:headerReference w:type="default" r:id="rId9"/>
      <w:footerReference w:type="default" r:id="rId10"/>
      <w:footerReference w:type="firs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875"/>
        <w:sz w:val="15"/>
      </w:rPr>
      <w:t xml:space="preserve">IMPLEMENTATION CONTROL DOCUMENT  •  1 SEPTEMBER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875"/>
        <w:sz w:val="16"/>
      </w:rPr>
      <w:t>ReservEdge  |  ENGINEERING KICKOFF PACK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6B8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176B8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line="240" w:lineRule="auto"/>
      <w:ind w:left="230" w:right="173"/>
    </w:pPr>
    <w:rPr>
      <w:rFonts w:ascii="Consolas" w:hAnsi="Consolas"/>
      <w:color w:val="17212B"/>
      <w:sz w:val="15"/>
    </w:rPr>
  </w:style>
  <w:style w:type="paragraph" w:customStyle="1" w:styleId="SmallNote">
    <w:name w:val="SmallNote"/>
    <w:pPr>
      <w:spacing w:after="80"/>
    </w:pPr>
    <w:rPr>
      <w:rFonts w:ascii="Calibri" w:hAnsi="Calibri"/>
      <w:color w:val="5B6875"/>
      <w:sz w:val="16"/>
    </w:rPr>
  </w:style>
  <w:style w:type="paragraph" w:customStyle="1" w:styleId="Ticket">
    <w:name w:val="Ticket"/>
    <w:pPr>
      <w:spacing w:after="100"/>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ReservEdge / ITAA v1 Engineering Kickoff Pack</dc:title>
  <dc:subject>Implementation backlog, operating model, and Cursor work orders</dc:subject>
  <dc:creator>ITAA Product Team</dc:creator>
  <cp:keywords>ITAA, engineering kickoff, backlog, Cursor, project management, acceptance, ReservEdge, Intent-first</cp:keywords>
  <dc:description>v1.1 revision 2 after Product Owner G0-CHANGE-CONTROL review. Not registered.</dc:description>
  <cp:lastModifiedBy>ITAA Product Team</cp:lastModifiedBy>
  <cp:revision>2</cp:revision>
  <dcterms:created xsi:type="dcterms:W3CDTF">2013-12-23T23:15:00Z</dcterms:created>
  <dcterms:modified xsi:type="dcterms:W3CDTF">2026-09-01T15:00:00Z</dcterms:modified>
  <cp:category/>
</cp:coreProperties>
</file>