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00"/>
      </w:pPr>
      <w:r>
        <w:rPr>
          <w:rFonts w:ascii="Consolas" w:hAnsi="Consolas"/>
          <w:b/>
          <w:i w:val="0"/>
          <w:color w:val="2F7A58"/>
          <w:sz w:val="20"/>
        </w:rPr>
        <w:t>ReservEdge</w:t>
      </w:r>
    </w:p>
    <w:p>
      <w:pPr>
        <w:spacing w:after="100"/>
      </w:pPr>
      <w:r>
        <w:rPr>
          <w:rFonts w:ascii="Georgia" w:hAnsi="Georgia"/>
          <w:b/>
          <w:i w:val="0"/>
          <w:color w:val="171B20"/>
          <w:sz w:val="54"/>
        </w:rPr>
        <w:t>Unified UI/UX Design Specification</w:t>
      </w:r>
    </w:p>
    <w:p>
      <w:pPr>
        <w:spacing w:after="400"/>
      </w:pPr>
      <w:r>
        <w:rPr>
          <w:rFonts w:ascii="Aptos" w:hAnsi="Aptos"/>
          <w:b w:val="0"/>
          <w:i w:val="0"/>
          <w:color w:val="586069"/>
          <w:sz w:val="26"/>
        </w:rPr>
        <w:t>One authoritative design and implementation handoff for ReservEdge web and responsive mobile. Native iOS/Android is not selected in this change.</w:t>
      </w:r>
    </w:p>
    <w:p>
      <w:pPr>
        <w:spacing w:after="60"/>
      </w:pPr>
      <w:r>
        <w:rPr>
          <w:rFonts w:ascii="Aptos" w:hAnsi="Aptos"/>
          <w:b/>
          <w:i w:val="0"/>
          <w:color w:val="586069"/>
          <w:sz w:val="20"/>
        </w:rPr>
        <w:t>Version: 1.1 - Intent-first change-control candidate</w:t>
      </w:r>
      <w:r>
        <w:rPr>
          <w:rFonts w:ascii="Aptos" w:hAnsi="Aptos"/>
          <w:b w:val="0"/>
          <w:i w:val="0"/>
          <w:color w:val="171B20"/>
          <w:sz w:val="20"/>
        </w:rPr>
      </w:r>
    </w:p>
    <w:p>
      <w:pPr>
        <w:spacing w:after="60"/>
      </w:pPr>
      <w:r>
        <w:rPr>
          <w:rFonts w:ascii="Aptos" w:hAnsi="Aptos"/>
          <w:b/>
          <w:i w:val="0"/>
          <w:color w:val="586069"/>
          <w:sz w:val="20"/>
        </w:rPr>
        <w:t>Status: v1.1 candidate for Product Owner replacement approval; v1.0 remains registered until then</w:t>
      </w:r>
      <w:r>
        <w:rPr>
          <w:rFonts w:ascii="Aptos" w:hAnsi="Aptos"/>
          <w:b w:val="0"/>
          <w:i w:val="0"/>
          <w:color w:val="171B20"/>
          <w:sz w:val="20"/>
        </w:rPr>
      </w:r>
    </w:p>
    <w:p>
      <w:pPr>
        <w:spacing w:after="60"/>
      </w:pPr>
      <w:r>
        <w:rPr>
          <w:rFonts w:ascii="Aptos" w:hAnsi="Aptos"/>
          <w:b/>
          <w:i w:val="0"/>
          <w:color w:val="586069"/>
          <w:sz w:val="20"/>
        </w:rPr>
        <w:t>Date: 1 September 2026</w:t>
      </w:r>
      <w:r>
        <w:rPr>
          <w:rFonts w:ascii="Aptos" w:hAnsi="Aptos"/>
          <w:b w:val="0"/>
          <w:i w:val="0"/>
          <w:color w:val="171B20"/>
          <w:sz w:val="20"/>
        </w:rPr>
      </w:r>
    </w:p>
    <w:p>
      <w:pPr>
        <w:spacing w:after="60"/>
      </w:pPr>
      <w:r>
        <w:rPr>
          <w:rFonts w:ascii="Aptos" w:hAnsi="Aptos"/>
          <w:b/>
          <w:i w:val="0"/>
          <w:color w:val="586069"/>
          <w:sz w:val="20"/>
        </w:rPr>
        <w:t xml:space="preserve">Delivery gates: </w:t>
      </w:r>
      <w:r>
        <w:rPr>
          <w:rFonts w:ascii="Aptos" w:hAnsi="Aptos"/>
          <w:b w:val="0"/>
          <w:i w:val="0"/>
          <w:color w:val="171B20"/>
          <w:sz w:val="20"/>
        </w:rPr>
        <w:t>Google All Things Agentic - Aug 31; AWS Agents for Humans - Sep 14; RevenueCat Shipaton - Sep 30</w:t>
      </w:r>
    </w:p>
    <w:p>
      <w:pPr>
        <w:spacing w:after="60"/>
      </w:pPr>
      <w:r>
        <w:rPr>
          <w:rFonts w:ascii="Aptos" w:hAnsi="Aptos"/>
          <w:b/>
          <w:i w:val="0"/>
          <w:color w:val="586069"/>
          <w:sz w:val="20"/>
        </w:rPr>
        <w:t xml:space="preserve">Normative parents: </w:t>
      </w:r>
      <w:r>
        <w:rPr>
          <w:rFonts w:ascii="Aptos" w:hAnsi="Aptos"/>
          <w:b w:val="0"/>
          <w:i w:val="0"/>
          <w:color w:val="171B20"/>
          <w:sz w:val="20"/>
        </w:rPr>
        <w:t>ITAA v1 Product + Technical Specification; ITAA Engineering Kickoff Pack</w:t>
      </w:r>
    </w:p>
    <w:p>
      <w:pPr>
        <w:spacing w:after="60"/>
      </w:pPr>
      <w:r>
        <w:rPr>
          <w:rFonts w:ascii="Aptos" w:hAnsi="Aptos"/>
          <w:b/>
          <w:i w:val="0"/>
          <w:color w:val="586069"/>
          <w:sz w:val="20"/>
        </w:rPr>
        <w:t>Primary live use case: JFK airport parking (parking-first implementation). Architecture is multi-domain. Supplier offers and transaction authorization remain simulated.</w:t>
      </w:r>
      <w:r>
        <w:rPr>
          <w:rFonts w:ascii="Aptos" w:hAnsi="Aptos"/>
          <w:b w:val="0"/>
          <w:i w:val="0"/>
          <w:color w:val="171B20"/>
          <w:sz w:val="20"/>
        </w:rPr>
      </w:r>
    </w:p>
    <w:p>
      <w:pPr>
        <w:spacing w:after="12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EAF3EE"/>
            <w:tcMar>
              <w:top w:w="90" w:type="dxa"/>
              <w:start w:w="120" w:type="dxa"/>
              <w:bottom w:w="90" w:type="dxa"/>
              <w:end w:w="120" w:type="dxa"/>
            </w:tcMar>
            <w:vAlign w:val="center"/>
          </w:tcPr>
          <w:p>
            <w:pPr>
              <w:spacing w:after="60"/>
            </w:pPr>
            <w:r>
              <w:rPr>
                <w:rFonts w:ascii="Consolas" w:hAnsi="Consolas"/>
                <w:b/>
                <w:i w:val="0"/>
                <w:color w:val="245D44"/>
                <w:sz w:val="17"/>
              </w:rPr>
              <w:t>DESIGN DECISION | ReservEdge visual identity (warm cream/canvas, coral accent, dark rail, Schibsted Grotesk, JetBrains Mono, responsive shell) is the approved presentation baseline. Genspark operational depth remains for states/recovery. Privacy, governance, ranking, and simulation semantics are unchanged by this visual reconciliation. Cursor must not restore the older cool-slate ITAA palette.</w:t>
            </w:r>
          </w:p>
          <w:p>
            <w:pPr>
              <w:spacing w:after="0" w:line="271" w:lineRule="auto"/>
            </w:pPr>
            <w:r>
              <w:rPr>
                <w:rFonts w:ascii="Aptos" w:hAnsi="Aptos"/>
                <w:b w:val="0"/>
                <w:i w:val="0"/>
                <w:color w:val="171B20"/>
                <w:sz w:val="20"/>
              </w:rPr>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7EBE5"/>
            <w:tcMar>
              <w:top w:w="90" w:type="dxa"/>
              <w:start w:w="120" w:type="dxa"/>
              <w:bottom w:w="90" w:type="dxa"/>
              <w:end w:w="120" w:type="dxa"/>
            </w:tcMar>
            <w:vAlign w:val="center"/>
          </w:tcPr>
          <w:p>
            <w:pPr>
              <w:spacing w:after="60"/>
            </w:pPr>
            <w:r>
              <w:rPr>
                <w:rFonts w:ascii="Consolas" w:hAnsi="Consolas"/>
                <w:b/>
                <w:i w:val="0"/>
                <w:color w:val="B25A34"/>
                <w:sz w:val="17"/>
              </w:rPr>
              <w:t>MVP BOUNDARY</w:t>
            </w:r>
          </w:p>
          <w:p>
            <w:pPr>
              <w:spacing w:after="0" w:line="271" w:lineRule="auto"/>
            </w:pPr>
            <w:r>
              <w:rPr>
                <w:rFonts w:ascii="Aptos" w:hAnsi="Aptos"/>
                <w:b w:val="0"/>
                <w:i w:val="0"/>
                <w:color w:val="171B20"/>
                <w:sz w:val="20"/>
              </w:rPr>
              <w:t>All three supplier agents and the final transaction are simulated. The interface must never imply that a real reservation, payment, charge, or supplier integration occurred.</w:t>
            </w:r>
          </w:p>
        </w:tc>
      </w:tr>
    </w:tbl>
    <w:p>
      <w:pPr>
        <w:spacing w:after="20"/>
      </w:pPr>
    </w:p>
    <w:p>
      <w:r>
        <w:br w:type="page"/>
      </w:r>
    </w:p>
    <w:p>
      <w:pPr>
        <w:pStyle w:val="Heading1"/>
        <w:keepNext/>
      </w:pPr>
      <w:r>
        <w:t>Document control</w:t>
      </w:r>
    </w:p>
    <w:tbl>
      <w:tblPr>
        <w:tblStyle w:val="TableGrid"/>
        <w:tblW w:type="dxa" w:w="9360"/>
        <w:jc w:val="left"/>
        <w:tblLayout w:type="fixed"/>
        <w:tblLook w:firstColumn="1" w:firstRow="1" w:lastColumn="0" w:lastRow="0" w:noHBand="0" w:noVBand="1" w:val="04A0"/>
        <w:tblInd w:w="120" w:type="dxa"/>
      </w:tblPr>
      <w:tblGrid>
        <w:gridCol w:w="1900"/>
        <w:gridCol w:w="7460"/>
      </w:tblGrid>
      <w:tr>
        <w:trPr>
          <w:cantSplit/>
          <w:tblHeader w:val="true"/>
        </w:trPr>
        <w:tc>
          <w:tcPr>
            <w:tcW w:type="dxa" w:w="190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8"/>
              </w:rPr>
              <w:t>Item</w:t>
            </w:r>
          </w:p>
        </w:tc>
        <w:tc>
          <w:tcPr>
            <w:tcW w:type="dxa" w:w="746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8"/>
              </w:rPr>
              <w:t>Authoritative value</w:t>
            </w:r>
          </w:p>
        </w:tc>
      </w:tr>
      <w:tr>
        <w:trPr>
          <w:cantSplit/>
        </w:trPr>
        <w:tc>
          <w:tcPr>
            <w:tcW w:type="dxa" w:w="19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Document owner</w:t>
            </w:r>
          </w:p>
        </w:tc>
        <w:tc>
          <w:tcPr>
            <w:tcW w:type="dxa" w:w="74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Product Owner, with Codex acting as project manager and specification steward</w:t>
            </w:r>
          </w:p>
        </w:tc>
      </w:tr>
      <w:tr>
        <w:trPr>
          <w:cantSplit/>
        </w:trPr>
        <w:tc>
          <w:tcPr>
            <w:tcW w:type="dxa" w:w="19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Implementation user</w:t>
            </w:r>
          </w:p>
        </w:tc>
        <w:tc>
          <w:tcPr>
            <w:tcW w:type="dxa" w:w="74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Cursor engineering agent and human reviewers</w:t>
            </w:r>
          </w:p>
        </w:tc>
      </w:tr>
      <w:tr>
        <w:trPr>
          <w:cantSplit/>
        </w:trPr>
        <w:tc>
          <w:tcPr>
            <w:tcW w:type="dxa" w:w="19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Change control</w:t>
            </w:r>
          </w:p>
        </w:tc>
        <w:tc>
          <w:tcPr>
            <w:tcW w:type="dxa" w:w="74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Any change to privacy promises, approval semantics, simulation labeling, navigation, or monetization assumptions requires an ADR and Product Owner approval</w:t>
            </w:r>
          </w:p>
        </w:tc>
      </w:tr>
      <w:tr>
        <w:trPr>
          <w:cantSplit/>
        </w:trPr>
        <w:tc>
          <w:tcPr>
            <w:tcW w:type="dxa" w:w="19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Terminology</w:t>
            </w:r>
          </w:p>
        </w:tc>
        <w:tc>
          <w:tcPr>
            <w:tcW w:type="dxa" w:w="7460"/>
            <w:shd w:fill="F5F7F8"/>
            <w:tcMar>
              <w:top w:w="90" w:type="dxa"/>
              <w:start w:w="120" w:type="dxa"/>
              <w:bottom w:w="90" w:type="dxa"/>
              <w:end w:w="120" w:type="dxa"/>
            </w:tcMar>
            <w:vAlign w:val="center"/>
          </w:tcPr>
          <w:p>
            <w:pPr>
              <w:spacing w:before="0" w:after="0" w:line="259" w:lineRule="auto"/>
              <w:jc w:val="left"/>
            </w:pPr>
            <w:r>
              <w:t>Intent is the parent objective; Conversation+Plan are child surfaces; Booking Task owns Requirement/PurchaseIntent/offers/approvals; Booking exists only after confirmation; A4 is not a Booking</w:t>
            </w:r>
            <w:r>
              <w:rPr>
                <w:rFonts w:ascii="Aptos" w:hAnsi="Aptos"/>
                <w:b w:val="0"/>
                <w:i w:val="0"/>
                <w:color w:val="171B20"/>
                <w:sz w:val="18"/>
              </w:rPr>
            </w:r>
          </w:p>
        </w:tc>
      </w:tr>
      <w:tr>
        <w:trPr>
          <w:cantSplit/>
        </w:trPr>
        <w:tc>
          <w:tcPr>
            <w:tcW w:type="dxa" w:w="19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Normative priority</w:t>
            </w:r>
          </w:p>
        </w:tc>
        <w:tc>
          <w:tcPr>
            <w:tcW w:type="dxa" w:w="74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Product + Technical Specification &gt; this UI/UX specification &gt; design source proposals &gt; implementation convenience</w:t>
            </w:r>
          </w:p>
        </w:tc>
      </w:tr>
      <w:tr>
        <w:trPr>
          <w:cantSplit/>
        </w:trPr>
        <w:tc>
          <w:tcPr>
            <w:tcW w:type="dxa" w:w="1900"/>
            <w:tcMar>
              <w:top w:w="90" w:type="dxa"/>
              <w:start w:w="120" w:type="dxa"/>
              <w:bottom w:w="90" w:type="dxa"/>
              <w:end w:w="120" w:type="dxa"/>
            </w:tcMar>
            <w:vAlign w:val="center"/>
          </w:tcPr>
          <w:p>
            <w:pPr>
              <w:spacing w:before="0" w:after="0" w:line="259" w:lineRule="auto"/>
              <w:jc w:val="left"/>
            </w:pPr>
            <w:r>
              <w:t>v1.1 amendment</w:t>
            </w:r>
            <w:r>
              <w:rPr>
                <w:rFonts w:ascii="Aptos" w:hAnsi="Aptos"/>
                <w:b w:val="0"/>
                <w:i w:val="0"/>
                <w:color w:val="171B20"/>
                <w:sz w:val="18"/>
              </w:rPr>
            </w:r>
          </w:p>
        </w:tc>
        <w:tc>
          <w:tcPr>
            <w:tcW w:type="dxa" w:w="7460"/>
            <w:tcMar>
              <w:top w:w="90" w:type="dxa"/>
              <w:start w:w="120" w:type="dxa"/>
              <w:bottom w:w="90" w:type="dxa"/>
              <w:end w:w="120" w:type="dxa"/>
            </w:tcMar>
            <w:vAlign w:val="center"/>
          </w:tcPr>
          <w:p>
            <w:pPr>
              <w:spacing w:before="0" w:after="0" w:line="259" w:lineRule="auto"/>
              <w:jc w:val="left"/>
            </w:pPr>
            <w:r>
              <w:t>1 September 2026 Intent-first candidate, revision 2. Completes UX-17–UX-28 contracts; separates Intent Plan from subscription PlanCard; preferences never A2; validity/inventory/transaction split; responsive web is current mobile; G3/native quarantined. Conversation/authority and parking-first scope aligned to DEFINITION_GATE.md.</w:t>
            </w:r>
            <w:r>
              <w:rPr>
                <w:rFonts w:ascii="Aptos" w:hAnsi="Aptos"/>
                <w:b w:val="0"/>
                <w:i w:val="0"/>
                <w:color w:val="171B20"/>
                <w:sz w:val="18"/>
              </w:rPr>
            </w:r>
          </w:p>
        </w:tc>
      </w:tr>
    </w:tbl>
    <w:p>
      <w:pPr>
        <w:spacing w:after="20"/>
      </w:pPr>
    </w:p>
    <w:p>
      <w:pPr>
        <w:pStyle w:val="Heading2"/>
        <w:keepNext/>
      </w:pPr>
      <w:r>
        <w:t>How Cursor must use this document</w:t>
      </w:r>
    </w:p>
    <w:p>
      <w:pPr>
        <w:numPr>
          <w:ilvl w:val="0"/>
          <w:numId w:val="10"/>
        </w:numPr>
        <w:spacing w:after="80" w:line="283" w:lineRule="auto"/>
      </w:pPr>
      <w:r>
        <w:rPr>
          <w:rFonts w:ascii="Aptos" w:hAnsi="Aptos"/>
          <w:b w:val="0"/>
          <w:i w:val="0"/>
          <w:color w:val="171B20"/>
          <w:sz w:val="21"/>
        </w:rPr>
        <w:t>Treat every MUST statement and acceptance criterion as binding.</w:t>
      </w:r>
    </w:p>
    <w:p>
      <w:pPr>
        <w:numPr>
          <w:ilvl w:val="0"/>
          <w:numId w:val="10"/>
        </w:numPr>
        <w:spacing w:after="80" w:line="283" w:lineRule="auto"/>
      </w:pPr>
      <w:r>
        <w:rPr>
          <w:rFonts w:ascii="Aptos" w:hAnsi="Aptos"/>
          <w:b w:val="0"/>
          <w:i w:val="0"/>
          <w:color w:val="171B20"/>
          <w:sz w:val="21"/>
        </w:rPr>
        <w:t>Implement one bounded work order at a time and cite the relevant screen, component, and requirement IDs in the completion report.</w:t>
      </w:r>
    </w:p>
    <w:p>
      <w:pPr>
        <w:numPr>
          <w:ilvl w:val="0"/>
          <w:numId w:val="10"/>
        </w:numPr>
        <w:spacing w:after="80" w:line="283" w:lineRule="auto"/>
      </w:pPr>
      <w:r>
        <w:rPr>
          <w:rFonts w:ascii="Aptos" w:hAnsi="Aptos"/>
          <w:b w:val="0"/>
          <w:i w:val="0"/>
          <w:color w:val="171B20"/>
          <w:sz w:val="21"/>
        </w:rPr>
        <w:t>Do not invent product behavior when a state is not specified. Raise a change-control question.</w:t>
      </w:r>
    </w:p>
    <w:p>
      <w:pPr>
        <w:numPr>
          <w:ilvl w:val="0"/>
          <w:numId w:val="10"/>
        </w:numPr>
        <w:spacing w:after="80" w:line="283" w:lineRule="auto"/>
      </w:pPr>
      <w:r>
        <w:rPr>
          <w:rFonts w:ascii="Aptos" w:hAnsi="Aptos"/>
          <w:b w:val="0"/>
          <w:i w:val="0"/>
          <w:color w:val="171B20"/>
          <w:sz w:val="21"/>
        </w:rPr>
        <w:t>Use the canonical domain and APIs from the Product + Technical Specification. UI state may mirror domain state but must not redefine it.</w:t>
      </w:r>
    </w:p>
    <w:p>
      <w:pPr>
        <w:numPr>
          <w:ilvl w:val="0"/>
          <w:numId w:val="10"/>
        </w:numPr>
        <w:spacing w:after="80" w:line="283" w:lineRule="auto"/>
      </w:pPr>
      <w:r>
        <w:rPr>
          <w:rFonts w:ascii="Aptos" w:hAnsi="Aptos"/>
          <w:b w:val="0"/>
          <w:i w:val="0"/>
          <w:color w:val="171B20"/>
          <w:sz w:val="21"/>
        </w:rPr>
        <w:t>Keep provider and cloud choices behind adapters. UI code must not branch into duplicated Google and AWS product implementations.</w:t>
      </w:r>
    </w:p>
    <w:p>
      <w:pPr>
        <w:numPr>
          <w:ilvl w:val="0"/>
          <w:numId w:val="10"/>
        </w:numPr>
        <w:spacing w:after="80" w:line="283" w:lineRule="auto"/>
      </w:pPr>
      <w:r>
        <w:rPr>
          <w:rFonts w:ascii="Aptos" w:hAnsi="Aptos"/>
          <w:b w:val="0"/>
          <w:i w:val="0"/>
          <w:color w:val="171B20"/>
          <w:sz w:val="21"/>
        </w:rPr>
        <w:t>Preserve all simulation labels until real transaction and supplier adapters are separately approved.</w:t>
      </w:r>
    </w:p>
    <w:p>
      <w:pPr>
        <w:pStyle w:val="Heading2"/>
        <w:keepNext/>
      </w:pPr>
      <w:r>
        <w:t>Document map</w:t>
      </w:r>
    </w:p>
    <w:p>
      <w:pPr>
        <w:pStyle w:val="ListBullet"/>
        <w:spacing w:after="80" w:line="283" w:lineRule="auto"/>
      </w:pPr>
      <w:r>
        <w:rPr>
          <w:rFonts w:ascii="Aptos" w:hAnsi="Aptos"/>
          <w:b w:val="0"/>
          <w:i w:val="0"/>
          <w:color w:val="171B20"/>
          <w:sz w:val="21"/>
        </w:rPr>
        <w:t>Sections 1-4: design thesis, principles, information architecture, and end-to-end journey.</w:t>
      </w:r>
    </w:p>
    <w:p>
      <w:pPr>
        <w:pStyle w:val="ListBullet"/>
        <w:spacing w:after="80" w:line="283" w:lineRule="auto"/>
      </w:pPr>
      <w:r>
        <w:rPr>
          <w:rFonts w:ascii="Aptos" w:hAnsi="Aptos"/>
          <w:b w:val="0"/>
          <w:i w:val="0"/>
          <w:color w:val="171B20"/>
          <w:sz w:val="21"/>
        </w:rPr>
        <w:t>Sections 5-7: parking-task screens, Intent-first UX-17–UX-29 contracts, privacy/approval, and recommendation behavior.</w:t>
      </w:r>
    </w:p>
    <w:p>
      <w:pPr>
        <w:pStyle w:val="ListBullet"/>
        <w:spacing w:after="80" w:line="283" w:lineRule="auto"/>
      </w:pPr>
      <w:r>
        <w:rPr>
          <w:rFonts w:ascii="Aptos" w:hAnsi="Aptos"/>
          <w:b w:val="0"/>
          <w:i w:val="0"/>
          <w:color w:val="171B20"/>
          <w:sz w:val="21"/>
        </w:rPr>
        <w:t>Sections 8-11: design system, responsive behavior, accessibility, content, and notifications.</w:t>
      </w:r>
    </w:p>
    <w:p>
      <w:pPr>
        <w:pStyle w:val="ListBullet"/>
        <w:spacing w:after="80" w:line="283" w:lineRule="auto"/>
      </w:pPr>
      <w:r>
        <w:rPr>
          <w:rFonts w:ascii="Aptos" w:hAnsi="Aptos"/>
          <w:b w:val="0"/>
          <w:i w:val="0"/>
          <w:color w:val="171B20"/>
          <w:sz w:val="21"/>
        </w:rPr>
        <w:t>Sections 12-16: current implementation contracts, analytics, testing, and phased delivery. Section 14 is future productization only.</w:t>
      </w:r>
    </w:p>
    <w:p>
      <w:pPr>
        <w:pStyle w:val="ListBullet"/>
        <w:spacing w:after="80" w:line="283" w:lineRule="auto"/>
      </w:pPr>
      <w:r>
        <w:rPr>
          <w:rFonts w:ascii="Aptos" w:hAnsi="Aptos"/>
          <w:b w:val="0"/>
          <w:i w:val="0"/>
          <w:color w:val="171B20"/>
          <w:sz w:val="21"/>
        </w:rPr>
        <w:t>Appendices: state matrix, analytics events, resolved conflicts, and decision log.</w:t>
      </w:r>
    </w:p>
    <w:p>
      <w:pPr>
        <w:pStyle w:val="Heading2"/>
        <w:keepNext/>
      </w:pPr>
      <w:r>
        <w:t>Normative language</w:t>
      </w:r>
    </w:p>
    <w:p>
      <w:pPr>
        <w:spacing w:before="0" w:after="120" w:line="300" w:lineRule="auto"/>
      </w:pPr>
      <w:r>
        <w:rPr>
          <w:rFonts w:ascii="Aptos" w:hAnsi="Aptos"/>
          <w:b w:val="0"/>
          <w:i w:val="0"/>
          <w:color w:val="171B20"/>
          <w:sz w:val="21"/>
        </w:rPr>
        <w:t>MUST means required for the stated delivery gate. SHOULD means expected unless a documented constraint justifies an exception. MAY means optional. 'Gate 1' always means disclosure approval; 'Gate 2' always means final transaction authorization.</w:t>
      </w:r>
    </w:p>
    <w:p>
      <w:r>
        <w:br w:type="page"/>
      </w:r>
    </w:p>
    <w:p>
      <w:pPr>
        <w:pStyle w:val="Heading1"/>
        <w:keepNext/>
      </w:pPr>
      <w:r>
        <w:t>1. Product experience thesis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EAF3EE"/>
            <w:tcMar>
              <w:top w:w="90" w:type="dxa"/>
              <w:start w:w="120" w:type="dxa"/>
              <w:bottom w:w="90" w:type="dxa"/>
              <w:end w:w="120" w:type="dxa"/>
            </w:tcMar>
            <w:vAlign w:val="center"/>
          </w:tcPr>
          <w:p>
            <w:pPr>
              <w:spacing w:after="60"/>
            </w:pPr>
            <w:r>
              <w:rPr>
                <w:rFonts w:ascii="Consolas" w:hAnsi="Consolas"/>
                <w:b/>
                <w:i w:val="0"/>
                <w:color w:val="245D44"/>
                <w:sz w:val="17"/>
              </w:rPr>
              <w:t>EXPERIENCE PROMISE | You do not search. You decide. ReservEdge quietly turns a need into a private, evidence-backed decision and returns only when the user must confirm information, approve disclosure, or authorize an exact action.</w:t>
            </w:r>
          </w:p>
          <w:p>
            <w:pPr>
              <w:spacing w:after="0" w:line="271" w:lineRule="auto"/>
            </w:pPr>
            <w:r>
              <w:rPr>
                <w:rFonts w:ascii="Aptos" w:hAnsi="Aptos"/>
                <w:b w:val="0"/>
                <w:i w:val="0"/>
                <w:color w:val="171B20"/>
                <w:sz w:val="20"/>
              </w:rPr>
            </w:r>
          </w:p>
        </w:tc>
      </w:tr>
    </w:tbl>
    <w:p>
      <w:pPr>
        <w:spacing w:after="20"/>
      </w:pPr>
    </w:p>
    <w:p>
      <w:pPr>
        <w:spacing w:before="0" w:after="120" w:line="300" w:lineRule="auto"/>
      </w:pPr>
      <w:r>
        <w:rPr>
          <w:rFonts w:ascii="Aptos" w:hAnsi="Aptos"/>
          <w:b w:val="0"/>
          <w:i w:val="0"/>
          <w:color w:val="171B20"/>
          <w:sz w:val="21"/>
        </w:rPr>
        <w:t>ReservEdge is an Intent inbox, not a shopping marketplace. Conversation is the primary intake, clarification, modification, and continuity surface. Conversation is not the authoritative decision record. It receives an objective, forms buyer-owned requirements on Booking Tasks, researches public market options, asks permission before sharing a minimized PurchaseIntent, collects private supplier offers, recommends with transparent tradeoffs, and requires a separate final authorization. Decisions must never be buried only in transcript text.</w:t>
      </w:r>
    </w:p>
    <w:p>
      <w:pPr>
        <w:pStyle w:val="Heading2"/>
        <w:keepNext/>
      </w:pPr>
      <w:r>
        <w:t>1.1 Primary user and job</w:t>
      </w:r>
    </w:p>
    <w:p>
      <w:pPr>
        <w:spacing w:before="0" w:after="120" w:line="300" w:lineRule="auto"/>
      </w:pPr>
      <w:r>
        <w:rPr>
          <w:rFonts w:ascii="Aptos" w:hAnsi="Aptos"/>
          <w:b w:val="0"/>
          <w:i w:val="0"/>
          <w:color w:val="171B20"/>
          <w:sz w:val="21"/>
        </w:rPr>
        <w:t>The primary user is a time-constrained individual or household manager who wants a trustworthy decision without repeatedly searching, comparing, re-entering personal information, or surrendering control to autonomous purchasing.</w:t>
      </w:r>
    </w:p>
    <w:p>
      <w:pPr>
        <w:pStyle w:val="ListBullet"/>
        <w:spacing w:after="80" w:line="283" w:lineRule="auto"/>
      </w:pPr>
      <w:r>
        <w:rPr>
          <w:rFonts w:ascii="Aptos" w:hAnsi="Aptos"/>
          <w:b w:val="0"/>
          <w:i w:val="0"/>
          <w:color w:val="171B20"/>
          <w:sz w:val="21"/>
        </w:rPr>
        <w:t>Functional job: turn a contextual need into an actionable, comparable set of offers.</w:t>
      </w:r>
    </w:p>
    <w:p>
      <w:pPr>
        <w:pStyle w:val="ListBullet"/>
        <w:spacing w:after="80" w:line="283" w:lineRule="auto"/>
      </w:pPr>
      <w:r>
        <w:rPr>
          <w:rFonts w:ascii="Aptos" w:hAnsi="Aptos"/>
          <w:b w:val="0"/>
          <w:i w:val="0"/>
          <w:color w:val="171B20"/>
          <w:sz w:val="21"/>
        </w:rPr>
        <w:t>Emotional job: reduce effort without creating fear that the agent disclosed or purchased too much.</w:t>
      </w:r>
    </w:p>
    <w:p>
      <w:pPr>
        <w:pStyle w:val="ListBullet"/>
        <w:spacing w:after="80" w:line="283" w:lineRule="auto"/>
      </w:pPr>
      <w:r>
        <w:rPr>
          <w:rFonts w:ascii="Aptos" w:hAnsi="Aptos"/>
          <w:b w:val="0"/>
          <w:i w:val="0"/>
          <w:color w:val="171B20"/>
          <w:sz w:val="21"/>
        </w:rPr>
        <w:t>Trust job: make every consequential data disclosure and action inspectable, bounded, and reversible where technically possible.</w:t>
      </w:r>
    </w:p>
    <w:p>
      <w:pPr>
        <w:pStyle w:val="Heading2"/>
        <w:keepNext/>
      </w:pPr>
      <w:r>
        <w:t>1.2 Experience success</w:t>
      </w:r>
    </w:p>
    <w:tbl>
      <w:tblPr>
        <w:tblStyle w:val="TableGrid"/>
        <w:tblW w:type="dxa" w:w="9360"/>
        <w:jc w:val="left"/>
        <w:tblLayout w:type="fixed"/>
        <w:tblLook w:firstColumn="1" w:firstRow="1" w:lastColumn="0" w:lastRow="0" w:noHBand="0" w:noVBand="1" w:val="04A0"/>
        <w:tblInd w:w="120" w:type="dxa"/>
      </w:tblPr>
      <w:tblGrid>
        <w:gridCol w:w="2100"/>
        <w:gridCol w:w="7260"/>
      </w:tblGrid>
      <w:tr>
        <w:trPr>
          <w:cantSplit/>
          <w:tblHeader w:val="true"/>
        </w:trPr>
        <w:tc>
          <w:tcPr>
            <w:tcW w:type="dxa" w:w="210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8"/>
              </w:rPr>
              <w:t>Outcome</w:t>
            </w:r>
          </w:p>
        </w:tc>
        <w:tc>
          <w:tcPr>
            <w:tcW w:type="dxa" w:w="726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8"/>
              </w:rPr>
              <w:t>Observable success condition</w:t>
            </w:r>
          </w:p>
        </w:tc>
      </w:tr>
      <w:tr>
        <w:trPr>
          <w:cantSplit/>
        </w:trPr>
        <w:tc>
          <w:tcPr>
            <w:tcW w:type="dxa" w:w="21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Fast comprehension</w:t>
            </w:r>
          </w:p>
        </w:tc>
        <w:tc>
          <w:tcPr>
            <w:tcW w:type="dxa" w:w="7260"/>
            <w:tcMar>
              <w:top w:w="90" w:type="dxa"/>
              <w:start w:w="120" w:type="dxa"/>
              <w:bottom w:w="90" w:type="dxa"/>
              <w:end w:w="120" w:type="dxa"/>
            </w:tcMar>
            <w:vAlign w:val="center"/>
          </w:tcPr>
          <w:p>
            <w:pPr>
              <w:spacing w:before="0" w:after="0" w:line="259" w:lineRule="auto"/>
              <w:jc w:val="left"/>
            </w:pPr>
            <w:r>
              <w:t>A first-time user can describe what ReservEdge does after onboarding and identify what needs attention in the Inbox.</w:t>
            </w:r>
            <w:r>
              <w:rPr>
                <w:rFonts w:ascii="Aptos" w:hAnsi="Aptos"/>
                <w:b w:val="0"/>
                <w:i w:val="0"/>
                <w:color w:val="171B20"/>
                <w:sz w:val="18"/>
              </w:rPr>
            </w:r>
          </w:p>
        </w:tc>
      </w:tr>
      <w:tr>
        <w:trPr>
          <w:cantSplit/>
        </w:trPr>
        <w:tc>
          <w:tcPr>
            <w:tcW w:type="dxa" w:w="21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Privacy comprehension</w:t>
            </w:r>
          </w:p>
        </w:tc>
        <w:tc>
          <w:tcPr>
            <w:tcW w:type="dxa" w:w="72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After Gate 1, the user can correctly recall the categories sent and withheld and knows no purchase occurred.</w:t>
            </w:r>
          </w:p>
        </w:tc>
      </w:tr>
      <w:tr>
        <w:trPr>
          <w:cantSplit/>
        </w:trPr>
        <w:tc>
          <w:tcPr>
            <w:tcW w:type="dxa" w:w="21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Decision confidence</w:t>
            </w:r>
          </w:p>
        </w:tc>
        <w:tc>
          <w:tcPr>
            <w:tcW w:type="dxa" w:w="72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The user can explain why the recommendation won and name its most important downside.</w:t>
            </w:r>
          </w:p>
        </w:tc>
      </w:tr>
      <w:tr>
        <w:trPr>
          <w:cantSplit/>
        </w:trPr>
        <w:tc>
          <w:tcPr>
            <w:tcW w:type="dxa" w:w="21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Authorization clarity</w:t>
            </w:r>
          </w:p>
        </w:tc>
        <w:tc>
          <w:tcPr>
            <w:tcW w:type="dxa" w:w="72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Before Gate 2, the user can state the supplier, exact total, cancellation terms, and simulated nature of the action.</w:t>
            </w:r>
          </w:p>
        </w:tc>
      </w:tr>
      <w:tr>
        <w:trPr>
          <w:cantSplit/>
        </w:trPr>
        <w:tc>
          <w:tcPr>
            <w:tcW w:type="dxa" w:w="21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Recovery trust</w:t>
            </w:r>
          </w:p>
        </w:tc>
        <w:tc>
          <w:tcPr>
            <w:tcW w:type="dxa" w:w="72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Timeouts, expiry, changed terms, denial, and offline states never imply unauthorized progress.</w:t>
            </w:r>
          </w:p>
        </w:tc>
      </w:tr>
    </w:tbl>
    <w:p>
      <w:pPr>
        <w:spacing w:after="20"/>
      </w:pPr>
    </w:p>
    <w:p>
      <w:pPr>
        <w:pStyle w:val="Heading2"/>
        <w:keepNext/>
      </w:pPr>
      <w:r>
        <w:t>1.3 Experience anti-patterns</w:t>
      </w:r>
    </w:p>
    <w:p>
      <w:pPr>
        <w:pStyle w:val="ListBullet"/>
        <w:spacing w:after="80" w:line="283" w:lineRule="auto"/>
      </w:pPr>
      <w:r>
        <w:rPr>
          <w:rFonts w:ascii="Aptos" w:hAnsi="Aptos"/>
          <w:b w:val="0"/>
          <w:i w:val="0"/>
          <w:color w:val="171B20"/>
          <w:sz w:val="21"/>
        </w:rPr>
        <w:t>No open-ended chatbot as the authoritative decision record. Conversation may be the primary intake and continuity surface; Plan, tasks, disclosures, offers, approvals, ledger, and audit remain structured and authoritative.</w:t>
      </w:r>
    </w:p>
    <w:p>
      <w:pPr>
        <w:pStyle w:val="ListBullet"/>
        <w:spacing w:after="80" w:line="283" w:lineRule="auto"/>
      </w:pPr>
      <w:r>
        <w:rPr>
          <w:rFonts w:ascii="Aptos" w:hAnsi="Aptos"/>
          <w:b w:val="0"/>
          <w:i w:val="0"/>
          <w:color w:val="171B20"/>
          <w:sz w:val="21"/>
        </w:rPr>
        <w:t>No numerical buyer-facing fit score, scoreMicros, opaque star rating, AI sparkle, or unexplained recommendation. Fit is Strong, Good, or Fair.</w:t>
      </w:r>
    </w:p>
    <w:p>
      <w:pPr>
        <w:pStyle w:val="ListBullet"/>
        <w:spacing w:after="80" w:line="283" w:lineRule="auto"/>
      </w:pPr>
      <w:r>
        <w:rPr>
          <w:rFonts w:ascii="Aptos" w:hAnsi="Aptos"/>
          <w:b w:val="0"/>
          <w:i w:val="0"/>
          <w:color w:val="171B20"/>
          <w:sz w:val="21"/>
        </w:rPr>
        <w:t>No dark patterns, preselected paid plan, artificial scarcity, countdown pressure, or paywall inserted into an active intent.</w:t>
      </w:r>
    </w:p>
    <w:p>
      <w:pPr>
        <w:pStyle w:val="ListBullet"/>
        <w:spacing w:after="80" w:line="283" w:lineRule="auto"/>
      </w:pPr>
      <w:r>
        <w:rPr>
          <w:rFonts w:ascii="Aptos" w:hAnsi="Aptos"/>
          <w:b w:val="0"/>
          <w:i w:val="0"/>
          <w:color w:val="171B20"/>
          <w:sz w:val="21"/>
        </w:rPr>
        <w:t>No statement that data stays on-device unless the released architecture actually guarantees on-device processing.</w:t>
      </w:r>
    </w:p>
    <w:p>
      <w:pPr>
        <w:pStyle w:val="ListBullet"/>
        <w:spacing w:after="80" w:line="283" w:lineRule="auto"/>
      </w:pPr>
      <w:r>
        <w:rPr>
          <w:rFonts w:ascii="Aptos" w:hAnsi="Aptos"/>
          <w:b w:val="0"/>
          <w:i w:val="0"/>
          <w:color w:val="171B20"/>
          <w:sz w:val="21"/>
        </w:rPr>
        <w:t>No claim that a completed disclosure can be undone. Future use can be stopped and deletion can be requested, but history remains auditable.</w:t>
      </w:r>
    </w:p>
    <w:p>
      <w:pPr>
        <w:pStyle w:val="Heading1"/>
        <w:keepNext/>
      </w:pPr>
      <w:r>
        <w:t>2. Locked principles and resolved product semantics</w:t>
      </w:r>
    </w:p>
    <w:tbl>
      <w:tblPr>
        <w:tblStyle w:val="TableGrid"/>
        <w:tblW w:type="dxa" w:w="9360"/>
        <w:jc w:val="left"/>
        <w:tblLayout w:type="fixed"/>
        <w:tblLook w:firstColumn="1" w:firstRow="1" w:lastColumn="0" w:lastRow="0" w:noHBand="0" w:noVBand="1" w:val="04A0"/>
        <w:tblInd w:w="120" w:type="dxa"/>
      </w:tblPr>
      <w:tblGrid>
        <w:gridCol w:w="850"/>
        <w:gridCol w:w="2100"/>
        <w:gridCol w:w="6410"/>
      </w:tblGrid>
      <w:tr>
        <w:trPr>
          <w:cantSplit/>
          <w:tblHeader w:val="true"/>
        </w:trPr>
        <w:tc>
          <w:tcPr>
            <w:tcW w:type="dxa" w:w="85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7"/>
              </w:rPr>
              <w:t>ID</w:t>
            </w:r>
          </w:p>
        </w:tc>
        <w:tc>
          <w:tcPr>
            <w:tcW w:type="dxa" w:w="210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7"/>
              </w:rPr>
              <w:t>Principle</w:t>
            </w:r>
          </w:p>
        </w:tc>
        <w:tc>
          <w:tcPr>
            <w:tcW w:type="dxa" w:w="641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7"/>
              </w:rPr>
              <w:t>Binding interpretation</w:t>
            </w:r>
          </w:p>
        </w:tc>
      </w:tr>
      <w:tr>
        <w:trPr>
          <w:cantSplit/>
        </w:trPr>
        <w:tc>
          <w:tcPr>
            <w:tcW w:type="dxa" w:w="85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P-01</w:t>
            </w:r>
          </w:p>
        </w:tc>
        <w:tc>
          <w:tcPr>
            <w:tcW w:type="dxa" w:w="21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Buyer data ownership</w:t>
            </w:r>
          </w:p>
        </w:tc>
        <w:tc>
          <w:tcPr>
            <w:tcW w:type="dxa" w:w="641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Buyer profile, raw shared context, preference evidence, identity, itinerary, payment data, and history belong to the buyer trust domain.</w:t>
            </w:r>
          </w:p>
        </w:tc>
      </w:tr>
      <w:tr>
        <w:trPr>
          <w:cantSplit/>
        </w:trPr>
        <w:tc>
          <w:tcPr>
            <w:tcW w:type="dxa" w:w="85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P-02</w:t>
            </w:r>
          </w:p>
        </w:tc>
        <w:tc>
          <w:tcPr>
            <w:tcW w:type="dxa" w:w="21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Minimum disclosure</w:t>
            </w:r>
          </w:p>
        </w:tc>
        <w:tc>
          <w:tcPr>
            <w:tcW w:type="dxa" w:w="641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Suppliers receive only allowlisted fields needed to formulate the current offer, with a purpose shown for every sent field.</w:t>
            </w:r>
          </w:p>
        </w:tc>
      </w:tr>
      <w:tr>
        <w:trPr>
          <w:cantSplit/>
        </w:trPr>
        <w:tc>
          <w:tcPr>
            <w:tcW w:type="dxa" w:w="85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P-03</w:t>
            </w:r>
          </w:p>
        </w:tc>
        <w:tc>
          <w:tcPr>
            <w:tcW w:type="dxa" w:w="21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Supplier isolation</w:t>
            </w:r>
          </w:p>
        </w:tc>
        <w:tc>
          <w:tcPr>
            <w:tcW w:type="dxa" w:w="641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Each supplier receives a supplier-specific envelope and cannot see another supplier, offer, rate, identity, or interaction.</w:t>
            </w:r>
          </w:p>
        </w:tc>
      </w:tr>
      <w:tr>
        <w:trPr>
          <w:cantSplit/>
        </w:trPr>
        <w:tc>
          <w:tcPr>
            <w:tcW w:type="dxa" w:w="85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P-04</w:t>
            </w:r>
          </w:p>
        </w:tc>
        <w:tc>
          <w:tcPr>
            <w:tcW w:type="dxa" w:w="21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Two consequential approvals</w:t>
            </w:r>
          </w:p>
        </w:tc>
        <w:tc>
          <w:tcPr>
            <w:tcW w:type="dxa" w:w="641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Gate 1 authorizes a specific disclosure. Gate 2 authorizes a specific action. Neither approval can satisfy the other.</w:t>
            </w:r>
          </w:p>
        </w:tc>
      </w:tr>
      <w:tr>
        <w:trPr>
          <w:cantSplit/>
        </w:trPr>
        <w:tc>
          <w:tcPr>
            <w:tcW w:type="dxa" w:w="85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P-05</w:t>
            </w:r>
          </w:p>
        </w:tc>
        <w:tc>
          <w:tcPr>
            <w:tcW w:type="dxa" w:w="21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Buyer-visible control</w:t>
            </w:r>
          </w:p>
        </w:tc>
        <w:tc>
          <w:tcPr>
            <w:tcW w:type="dxa" w:w="641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Requirement confirmation and offer selection are explicit user actions but are not authorization gates.</w:t>
            </w:r>
          </w:p>
        </w:tc>
      </w:tr>
      <w:tr>
        <w:trPr>
          <w:cantSplit/>
        </w:trPr>
        <w:tc>
          <w:tcPr>
            <w:tcW w:type="dxa" w:w="85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P-06</w:t>
            </w:r>
          </w:p>
        </w:tc>
        <w:tc>
          <w:tcPr>
            <w:tcW w:type="dxa" w:w="21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Evidence over assertion</w:t>
            </w:r>
          </w:p>
        </w:tc>
        <w:tc>
          <w:tcPr>
            <w:tcW w:type="dxa" w:w="641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Preferences and recommendations expose provenance, context, confidence, and uncertainty without revealing hidden chain-of-thought.</w:t>
            </w:r>
          </w:p>
        </w:tc>
      </w:tr>
      <w:tr>
        <w:trPr>
          <w:cantSplit/>
        </w:trPr>
        <w:tc>
          <w:tcPr>
            <w:tcW w:type="dxa" w:w="85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P-07</w:t>
            </w:r>
          </w:p>
        </w:tc>
        <w:tc>
          <w:tcPr>
            <w:tcW w:type="dxa" w:w="21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Honest simulation</w:t>
            </w:r>
          </w:p>
        </w:tc>
        <w:tc>
          <w:tcPr>
            <w:tcW w:type="dxa" w:w="641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Supplier agents, offers, confirmations, and transactions remain visibly labeled simulated throughout the MVP.</w:t>
            </w:r>
          </w:p>
        </w:tc>
      </w:tr>
      <w:tr>
        <w:trPr>
          <w:cantSplit/>
        </w:trPr>
        <w:tc>
          <w:tcPr>
            <w:tcW w:type="dxa" w:w="85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P-08</w:t>
            </w:r>
          </w:p>
        </w:tc>
        <w:tc>
          <w:tcPr>
            <w:tcW w:type="dxa" w:w="21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Cloud-neutral product</w:t>
            </w:r>
          </w:p>
        </w:tc>
        <w:tc>
          <w:tcPr>
            <w:tcW w:type="dxa" w:w="641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The same experience and domain contracts run with local, Google, and AWS adapters; provider capability does not change user semantics.</w:t>
            </w:r>
          </w:p>
        </w:tc>
      </w:tr>
      <w:tr>
        <w:trPr>
          <w:cantSplit/>
        </w:trPr>
        <w:tc>
          <w:tcPr>
            <w:tcW w:type="dxa" w:w="85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P-09</w:t>
            </w:r>
          </w:p>
        </w:tc>
        <w:tc>
          <w:tcPr>
            <w:tcW w:type="dxa" w:w="21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Accessible equivalence</w:t>
            </w:r>
          </w:p>
        </w:tc>
        <w:tc>
          <w:tcPr>
            <w:tcW w:type="dxa" w:w="641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Gestures, color, motion, and biometrics always have an accessible equivalent path.</w:t>
            </w:r>
          </w:p>
        </w:tc>
      </w:tr>
      <w:tr>
        <w:trPr>
          <w:cantSplit/>
        </w:trPr>
        <w:tc>
          <w:tcPr>
            <w:tcW w:type="dxa" w:w="85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P-10</w:t>
            </w:r>
          </w:p>
        </w:tc>
        <w:tc>
          <w:tcPr>
            <w:tcW w:type="dxa" w:w="21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Neutral urgency</w:t>
            </w:r>
          </w:p>
        </w:tc>
        <w:tc>
          <w:tcPr>
            <w:tcW w:type="dxa" w:w="641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Offer expiry is presented as factual validity information with a refresh path, never as manufactured pressure.</w:t>
            </w:r>
          </w:p>
        </w:tc>
      </w:tr>
    </w:tbl>
    <w:p>
      <w:pPr>
        <w:spacing w:after="20"/>
      </w:pPr>
    </w:p>
    <w:p>
      <w:pPr>
        <w:pStyle w:val="Heading2"/>
        <w:keepNext/>
      </w:pPr>
      <w:r>
        <w:t>2.1 Approval vocabulary</w:t>
      </w:r>
    </w:p>
    <w:tbl>
      <w:tblPr>
        <w:tblStyle w:val="TableGrid"/>
        <w:tblW w:type="dxa" w:w="9360"/>
        <w:jc w:val="left"/>
        <w:tblLayout w:type="fixed"/>
        <w:tblLook w:firstColumn="1" w:firstRow="1" w:lastColumn="0" w:lastRow="0" w:noHBand="0" w:noVBand="1" w:val="04A0"/>
        <w:tblInd w:w="120" w:type="dxa"/>
      </w:tblPr>
      <w:tblGrid>
        <w:gridCol w:w="2100"/>
        <w:gridCol w:w="2300"/>
        <w:gridCol w:w="1100"/>
        <w:gridCol w:w="3860"/>
      </w:tblGrid>
      <w:tr>
        <w:trPr>
          <w:cantSplit/>
          <w:tblHeader w:val="true"/>
        </w:trPr>
        <w:tc>
          <w:tcPr>
            <w:tcW w:type="dxa" w:w="210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7"/>
              </w:rPr>
              <w:t>User moment</w:t>
            </w:r>
          </w:p>
        </w:tc>
        <w:tc>
          <w:tcPr>
            <w:tcW w:type="dxa" w:w="230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7"/>
              </w:rPr>
              <w:t>Internal type</w:t>
            </w:r>
          </w:p>
        </w:tc>
        <w:tc>
          <w:tcPr>
            <w:tcW w:type="dxa" w:w="110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7"/>
              </w:rPr>
              <w:t>Gate?</w:t>
            </w:r>
          </w:p>
        </w:tc>
        <w:tc>
          <w:tcPr>
            <w:tcW w:type="dxa" w:w="386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7"/>
              </w:rPr>
              <w:t>Effect</w:t>
            </w:r>
          </w:p>
        </w:tc>
      </w:tr>
      <w:tr>
        <w:trPr>
          <w:cantSplit/>
        </w:trPr>
        <w:tc>
          <w:tcPr>
            <w:tcW w:type="dxa" w:w="21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Confirm requirement</w:t>
            </w:r>
          </w:p>
        </w:tc>
        <w:tc>
          <w:tcPr>
            <w:tcW w:type="dxa" w:w="23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A1 RequirementConfirmation</w:t>
            </w:r>
          </w:p>
        </w:tc>
        <w:tc>
          <w:tcPr>
            <w:tcW w:type="dxa" w:w="11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No</w:t>
            </w:r>
          </w:p>
        </w:tc>
        <w:tc>
          <w:tcPr>
            <w:tcW w:type="dxa" w:w="3860"/>
            <w:tcMar>
              <w:top w:w="90" w:type="dxa"/>
              <w:start w:w="120" w:type="dxa"/>
              <w:bottom w:w="90" w:type="dxa"/>
              <w:end w:w="120" w:type="dxa"/>
            </w:tcMar>
            <w:vAlign w:val="center"/>
          </w:tcPr>
          <w:p>
            <w:pPr>
              <w:spacing w:before="0" w:after="0" w:line="259" w:lineRule="auto"/>
              <w:jc w:val="left"/>
            </w:pPr>
            <w:r>
              <w:t>Confirms what ReservEdge should research for that Booking Task; does not disclose or buy.</w:t>
            </w:r>
            <w:r>
              <w:rPr>
                <w:rFonts w:ascii="Aptos" w:hAnsi="Aptos"/>
                <w:b w:val="0"/>
                <w:i w:val="0"/>
                <w:color w:val="171B20"/>
                <w:sz w:val="17"/>
              </w:rPr>
            </w:r>
          </w:p>
        </w:tc>
      </w:tr>
      <w:tr>
        <w:trPr>
          <w:cantSplit/>
        </w:trPr>
        <w:tc>
          <w:tcPr>
            <w:tcW w:type="dxa" w:w="21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Authorize Purchase Intent</w:t>
            </w:r>
          </w:p>
        </w:tc>
        <w:tc>
          <w:tcPr>
            <w:tcW w:type="dxa" w:w="23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A2 DisclosureApproval</w:t>
            </w:r>
          </w:p>
        </w:tc>
        <w:tc>
          <w:tcPr>
            <w:tcW w:type="dxa" w:w="11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Gate 1</w:t>
            </w:r>
          </w:p>
        </w:tc>
        <w:tc>
          <w:tcPr>
            <w:tcW w:type="dxa" w:w="38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Permits a versioned, hashed payload to be sent to the named/count-bounded supplier set.</w:t>
            </w:r>
          </w:p>
        </w:tc>
      </w:tr>
      <w:tr>
        <w:trPr>
          <w:cantSplit/>
        </w:trPr>
        <w:tc>
          <w:tcPr>
            <w:tcW w:type="dxa" w:w="21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Select offer</w:t>
            </w:r>
          </w:p>
        </w:tc>
        <w:tc>
          <w:tcPr>
            <w:tcW w:type="dxa" w:w="23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A3 OfferSelection</w:t>
            </w:r>
          </w:p>
        </w:tc>
        <w:tc>
          <w:tcPr>
            <w:tcW w:type="dxa" w:w="11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No</w:t>
            </w:r>
          </w:p>
        </w:tc>
        <w:tc>
          <w:tcPr>
            <w:tcW w:type="dxa" w:w="38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Chooses an eligible offer for final review; does not reserve or charge.</w:t>
            </w:r>
          </w:p>
        </w:tc>
      </w:tr>
      <w:tr>
        <w:trPr>
          <w:cantSplit/>
        </w:trPr>
        <w:tc>
          <w:tcPr>
            <w:tcW w:type="dxa" w:w="21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Authorize transaction</w:t>
            </w:r>
          </w:p>
        </w:tc>
        <w:tc>
          <w:tcPr>
            <w:tcW w:type="dxa" w:w="23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A4 TransactionApproval</w:t>
            </w:r>
          </w:p>
        </w:tc>
        <w:tc>
          <w:tcPr>
            <w:tcW w:type="dxa" w:w="11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Gate 2</w:t>
            </w:r>
          </w:p>
        </w:tc>
        <w:tc>
          <w:tcPr>
            <w:tcW w:type="dxa" w:w="38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Authorizes the exact supplier, action, total, and terms shown; MVP produces only a simulated authorization receipt.</w:t>
            </w:r>
          </w:p>
        </w:tc>
      </w:tr>
    </w:tbl>
    <w:p>
      <w:pPr>
        <w:spacing w:after="20"/>
      </w:pPr>
    </w:p>
    <w:p>
      <w:pPr>
        <w:pStyle w:val="Heading2"/>
        <w:keepNext/>
      </w:pPr>
      <w:r>
        <w:t>2.2 Truthful privacy language</w:t>
      </w:r>
    </w:p>
    <w:tbl>
      <w:tblPr>
        <w:tblStyle w:val="TableGrid"/>
        <w:tblW w:type="dxa" w:w="9360"/>
        <w:jc w:val="left"/>
        <w:tblLayout w:type="fixed"/>
        <w:tblLook w:firstColumn="1" w:firstRow="1" w:lastColumn="0" w:lastRow="0" w:noHBand="0" w:noVBand="1" w:val="04A0"/>
        <w:tblInd w:w="120" w:type="dxa"/>
      </w:tblPr>
      <w:tblGrid>
        <w:gridCol w:w="3700"/>
        <w:gridCol w:w="5660"/>
      </w:tblGrid>
      <w:tr>
        <w:trPr>
          <w:cantSplit/>
          <w:tblHeader w:val="true"/>
        </w:trPr>
        <w:tc>
          <w:tcPr>
            <w:tcW w:type="dxa" w:w="370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8"/>
              </w:rPr>
              <w:t>Do not say</w:t>
            </w:r>
          </w:p>
        </w:tc>
        <w:tc>
          <w:tcPr>
            <w:tcW w:type="dxa" w:w="566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8"/>
              </w:rPr>
              <w:t>Use instead</w:t>
            </w:r>
          </w:p>
        </w:tc>
      </w:tr>
      <w:tr>
        <w:trPr>
          <w:cantSplit/>
        </w:trPr>
        <w:tc>
          <w:tcPr>
            <w:tcW w:type="dxa" w:w="37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Your original never leaves this device.</w:t>
            </w:r>
          </w:p>
        </w:tc>
        <w:tc>
          <w:tcPr>
            <w:tcW w:type="dxa" w:w="5660"/>
            <w:tcMar>
              <w:top w:w="90" w:type="dxa"/>
              <w:start w:w="120" w:type="dxa"/>
              <w:bottom w:w="90" w:type="dxa"/>
              <w:end w:w="120" w:type="dxa"/>
            </w:tcMar>
            <w:vAlign w:val="center"/>
          </w:tcPr>
          <w:p>
            <w:pPr>
              <w:spacing w:before="0" w:after="0" w:line="259" w:lineRule="auto"/>
              <w:jc w:val="left"/>
            </w:pPr>
            <w:r>
              <w:t>Your original is private to your ReservEdge buyer agent and is never sent to suppliers.</w:t>
            </w:r>
            <w:r>
              <w:rPr>
                <w:rFonts w:ascii="Aptos" w:hAnsi="Aptos"/>
                <w:b w:val="0"/>
                <w:i w:val="0"/>
                <w:color w:val="171B20"/>
                <w:sz w:val="18"/>
              </w:rPr>
            </w:r>
          </w:p>
        </w:tc>
      </w:tr>
      <w:tr>
        <w:trPr>
          <w:cantSplit/>
        </w:trPr>
        <w:tc>
          <w:tcPr>
            <w:tcW w:type="dxa" w:w="37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Revoke a disclosure.</w:t>
            </w:r>
          </w:p>
        </w:tc>
        <w:tc>
          <w:tcPr>
            <w:tcW w:type="dxa" w:w="56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Stop future use, cancel the active request, or request supplier deletion.</w:t>
            </w:r>
          </w:p>
        </w:tc>
      </w:tr>
      <w:tr>
        <w:trPr>
          <w:cantSplit/>
        </w:trPr>
        <w:tc>
          <w:tcPr>
            <w:tcW w:type="dxa" w:w="37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Suppliers know nothing about you.</w:t>
            </w:r>
          </w:p>
        </w:tc>
        <w:tc>
          <w:tcPr>
            <w:tcW w:type="dxa" w:w="56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Suppliers receive only the minimized fields shown here; identity and listed private fields are withheld.</w:t>
            </w:r>
          </w:p>
        </w:tc>
      </w:tr>
      <w:tr>
        <w:trPr>
          <w:cantSplit/>
        </w:trPr>
        <w:tc>
          <w:tcPr>
            <w:tcW w:type="dxa" w:w="37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No one can access this data.</w:t>
            </w:r>
          </w:p>
        </w:tc>
        <w:tc>
          <w:tcPr>
            <w:tcW w:type="dxa" w:w="56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Access is limited by the buyer trust boundary and recorded in the audit log.</w:t>
            </w:r>
          </w:p>
        </w:tc>
      </w:tr>
    </w:tbl>
    <w:p>
      <w:pPr>
        <w:spacing w:after="20"/>
      </w:pPr>
    </w:p>
    <w:p>
      <w:pPr>
        <w:pStyle w:val="Heading1"/>
        <w:keepNext/>
      </w:pPr>
      <w:r>
        <w:t>3. Information architecture</w:t>
      </w:r>
    </w:p>
    <w:p>
      <w:pPr>
        <w:spacing w:before="0" w:after="120" w:line="300" w:lineRule="auto"/>
      </w:pPr>
      <w:r>
        <w:rPr>
          <w:rFonts w:ascii="Aptos" w:hAnsi="Aptos"/>
          <w:b w:val="0"/>
          <w:i w:val="0"/>
          <w:color w:val="171B20"/>
          <w:sz w:val="21"/>
        </w:rPr>
        <w:t>Privacy is a visible layer attached to every intent, disclosure, approval, receipt, and audit event. It is not dependent on a user remembering to visit a separate tab. A full Privacy Center still exists under Account and is reachable from contextual privacy controls.</w:t>
      </w:r>
    </w:p>
    <w:p>
      <w:pPr>
        <w:pStyle w:val="Heading2"/>
        <w:keepNext/>
      </w:pPr>
      <w:r>
        <w:t>3.1 Compact responsive-web navigation</w:t>
      </w:r>
    </w:p>
    <w:tbl>
      <w:tblPr>
        <w:tblStyle w:val="TableGrid"/>
        <w:tblW w:type="dxa" w:w="9360"/>
        <w:jc w:val="left"/>
        <w:tblLayout w:type="fixed"/>
        <w:tblLook w:firstColumn="1" w:firstRow="1" w:lastColumn="0" w:lastRow="0" w:noHBand="0" w:noVBand="1" w:val="04A0"/>
        <w:tblInd w:w="120" w:type="dxa"/>
      </w:tblPr>
      <w:tblGrid>
        <w:gridCol w:w="1500"/>
        <w:gridCol w:w="3300"/>
        <w:gridCol w:w="4560"/>
      </w:tblGrid>
      <w:tr>
        <w:trPr>
          <w:cantSplit/>
          <w:tblHeader w:val="true"/>
        </w:trPr>
        <w:tc>
          <w:tcPr>
            <w:tcW w:type="dxa" w:w="150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8"/>
              </w:rPr>
              <w:t>Destination</w:t>
            </w:r>
          </w:p>
        </w:tc>
        <w:tc>
          <w:tcPr>
            <w:tcW w:type="dxa" w:w="330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8"/>
              </w:rPr>
              <w:t>Purpose</w:t>
            </w:r>
          </w:p>
        </w:tc>
        <w:tc>
          <w:tcPr>
            <w:tcW w:type="dxa" w:w="456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8"/>
              </w:rPr>
              <w:t>Persistent content</w:t>
            </w:r>
          </w:p>
        </w:tc>
      </w:tr>
      <w:tr>
        <w:trPr>
          <w:cantSplit/>
        </w:trPr>
        <w:tc>
          <w:tcPr>
            <w:tcW w:type="dxa" w:w="15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Inbox</w:t>
            </w:r>
          </w:p>
        </w:tc>
        <w:tc>
          <w:tcPr>
            <w:tcW w:type="dxa" w:w="33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All intents and their live states</w:t>
            </w:r>
          </w:p>
        </w:tc>
        <w:tc>
          <w:tcPr>
            <w:tcW w:type="dxa" w:w="45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Awaiting you, working, resolved; new intent entry</w:t>
            </w:r>
          </w:p>
        </w:tc>
      </w:tr>
      <w:tr>
        <w:trPr>
          <w:cantSplit/>
        </w:trPr>
        <w:tc>
          <w:tcPr>
            <w:tcW w:type="dxa" w:w="15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Activity</w:t>
            </w:r>
          </w:p>
        </w:tc>
        <w:tc>
          <w:tcPr>
            <w:tcW w:type="dxa" w:w="33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User-readable audit history</w:t>
            </w:r>
          </w:p>
        </w:tc>
        <w:tc>
          <w:tcPr>
            <w:tcW w:type="dxa" w:w="45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State transitions, disclosures, approvals, simulated authorization events</w:t>
            </w:r>
          </w:p>
        </w:tc>
      </w:tr>
      <w:tr>
        <w:trPr>
          <w:cantSplit/>
        </w:trPr>
        <w:tc>
          <w:tcPr>
            <w:tcW w:type="dxa" w:w="15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Preferences</w:t>
            </w:r>
          </w:p>
        </w:tc>
        <w:tc>
          <w:tcPr>
            <w:tcW w:type="dxa" w:w="33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Evidence-backed buyer memory</w:t>
            </w:r>
          </w:p>
        </w:tc>
        <w:tc>
          <w:tcPr>
            <w:tcW w:type="dxa" w:w="45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Value, scope/context, confidence, evidence, edit/history/delete</w:t>
            </w:r>
          </w:p>
        </w:tc>
      </w:tr>
      <w:tr>
        <w:trPr>
          <w:cantSplit/>
        </w:trPr>
        <w:tc>
          <w:tcPr>
            <w:tcW w:type="dxa" w:w="15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Account</w:t>
            </w:r>
          </w:p>
        </w:tc>
        <w:tc>
          <w:tcPr>
            <w:tcW w:type="dxa" w:w="3300"/>
            <w:shd w:fill="F5F7F8"/>
            <w:tcMar>
              <w:top w:w="90" w:type="dxa"/>
              <w:start w:w="120" w:type="dxa"/>
              <w:bottom w:w="90" w:type="dxa"/>
              <w:end w:w="120" w:type="dxa"/>
            </w:tcMar>
            <w:vAlign w:val="center"/>
          </w:tcPr>
          <w:p>
            <w:pPr>
              <w:spacing w:before="0" w:after="0" w:line="259" w:lineRule="auto"/>
              <w:jc w:val="left"/>
            </w:pPr>
            <w:r>
              <w:t>Identity, support, Privacy Center; subscription/RevenueCat is future productization only</w:t>
            </w:r>
            <w:r>
              <w:rPr>
                <w:rFonts w:ascii="Aptos" w:hAnsi="Aptos"/>
                <w:b w:val="0"/>
                <w:i w:val="0"/>
                <w:color w:val="171B20"/>
                <w:sz w:val="18"/>
              </w:rPr>
            </w:r>
          </w:p>
        </w:tc>
        <w:tc>
          <w:tcPr>
            <w:tcW w:type="dxa" w:w="4560"/>
            <w:shd w:fill="F5F7F8"/>
            <w:tcMar>
              <w:top w:w="90" w:type="dxa"/>
              <w:start w:w="120" w:type="dxa"/>
              <w:bottom w:w="90" w:type="dxa"/>
              <w:end w:w="120" w:type="dxa"/>
            </w:tcMar>
            <w:vAlign w:val="center"/>
          </w:tcPr>
          <w:p>
            <w:pPr>
              <w:spacing w:before="0" w:after="0" w:line="259" w:lineRule="auto"/>
              <w:jc w:val="left"/>
            </w:pPr>
            <w:r>
              <w:t>Data controls, policy, export/deletion. RevenueCat status is future productization only.</w:t>
            </w:r>
            <w:r>
              <w:rPr>
                <w:rFonts w:ascii="Aptos" w:hAnsi="Aptos"/>
                <w:b w:val="0"/>
                <w:i w:val="0"/>
                <w:color w:val="171B20"/>
                <w:sz w:val="18"/>
              </w:rPr>
            </w:r>
          </w:p>
        </w:tc>
      </w:tr>
    </w:tbl>
    <w:p>
      <w:pPr>
        <w:spacing w:after="20"/>
      </w:pPr>
    </w:p>
    <w:p>
      <w:pPr>
        <w:spacing w:before="0" w:after="120" w:line="300" w:lineRule="auto"/>
      </w:pPr>
      <w:r>
        <w:rPr>
          <w:rFonts w:ascii="Aptos" w:hAnsi="Aptos"/>
          <w:b w:val="0"/>
          <w:i w:val="0"/>
          <w:color w:val="171B20"/>
          <w:sz w:val="21"/>
        </w:rPr>
        <w:t>Every Intent header MUST include a privacy-shield action. It opens a contextual sheet showing what ReservEdge knows for that Intent, what suppliers have received, and which requirement fields remain withheld. Preferences are not listed as withheld electable fields; they are never A2 candidates. On compact widths (320 / 390 / 410 CSS pixels) the approved mobile surface is responsive web with Plan/Conversation tabs and access to Tasks, combined recommendations, and Cost Ledger. Native tabs are not a current implementation.</w:t>
      </w:r>
    </w:p>
    <w:p>
      <w:pPr>
        <w:pStyle w:val="Heading2"/>
        <w:keepNext/>
      </w:pPr>
      <w:r>
        <w:t>3.2 Web navigation</w:t>
      </w:r>
    </w:p>
    <w:p>
      <w:pPr>
        <w:spacing w:before="0" w:after="120" w:line="300" w:lineRule="auto"/>
      </w:pPr>
      <w:r>
        <w:rPr>
          <w:rFonts w:ascii="Aptos" w:hAnsi="Aptos"/>
          <w:b w:val="0"/>
          <w:i w:val="0"/>
          <w:color w:val="171B20"/>
          <w:sz w:val="21"/>
        </w:rPr>
        <w:t>Desktop uses a left navigation rail, a center Intent workspace with Conversation and Plan, nested Booking Tasks, combined recommendations when two or more tasks are offer-ready, Cost Ledger, and a right context panel when width allows. Offer comparison uses an accessible data table; compact widths switch to stacked cards. Domain selection is not a mandatory front door.</w:t>
      </w:r>
    </w:p>
    <w:p>
      <w:pPr>
        <w:pStyle w:val="Heading2"/>
        <w:keepNext/>
      </w:pPr>
      <w:r>
        <w:t>3.3 Object hierarchy</w:t>
      </w:r>
    </w:p>
    <w:p>
      <w:pPr>
        <w:spacing w:before="600" w:after="100"/>
      </w:pPr>
      <w:r>
        <w:rPr>
          <w:rFonts w:ascii="Consolas" w:hAnsi="Consolas"/>
          <w:b/>
          <w:i w:val="0"/>
          <w:color w:val="2F7A58"/>
          <w:sz w:val="20"/>
        </w:rPr>
        <w:t>Normative object hierarchy (replaces the obsolete single-task diagram): Intent → Conversation + Plan → Booking Tasks → Requirements/PurchaseIntents → Offers/Recommendations → Selection → Authorization → confirmed Booking → Cost Ledger. PurchaseIntent is not the parent objective. Domain selection sits beneath the Intent. Optional domain shortcuts create a one-task Intent. Compatibility-wrapped pi_* snapshots render as one-task Intents with nested task routes. Task sequence is A1 requirement confirm, A2 disclosure approval, offers, A3 selected-offer review, A4 authorization. A4 does not create a Booking. Only authoritative supplier/connector confirmation creates a Booking.</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1F3F4"/>
            <w:tcMar>
              <w:top w:w="90" w:type="dxa"/>
              <w:start w:w="120" w:type="dxa"/>
              <w:bottom w:w="90" w:type="dxa"/>
              <w:end w:w="120" w:type="dxa"/>
            </w:tcMar>
            <w:vAlign w:val="center"/>
          </w:tcPr>
          <w:p>
            <w:pPr>
              <w:spacing w:after="0" w:line="240" w:lineRule="auto"/>
            </w:pPr>
            <w:r>
              <w:t>Intent → Conversation + Plan → Booking Tasks → Requirements/PurchaseIntents → Offers/Recommendations → Selection → Authorization → confirmed Booking → Cost Ledger. Task sequence: A1 Requirement confirmation | A2 Disclosure approval | Offers | A3 Offer selection | A4 Authorization (attempt permission, not a Booking) | confirmation/result. Booking exists only at confirmed_booking. Cross-cutting: PreferenceAssertions (local only; never A2), DisclosureRecords, AuditEvents, Cost Ledger. Compatibility: pi_* one-task Intents.</w:t>
            </w:r>
            <w:r>
              <w:rPr>
                <w:rFonts w:ascii="Consolas" w:hAnsi="Consolas"/>
                <w:b w:val="0"/>
                <w:i w:val="0"/>
                <w:color w:val="171B20"/>
                <w:sz w:val="16"/>
              </w:rPr>
            </w:r>
          </w:p>
        </w:tc>
      </w:tr>
    </w:tbl>
    <w:p>
      <w:pPr>
        <w:spacing w:after="20"/>
      </w:pPr>
    </w:p>
    <w:p>
      <w:pPr>
        <w:pStyle w:val="Heading2"/>
        <w:keepNext/>
      </w:pPr>
      <w:r>
        <w:t>3.4 Intent lifecycle vocabulary</w:t>
      </w:r>
    </w:p>
    <w:tbl>
      <w:tblPr>
        <w:tblStyle w:val="TableGrid"/>
        <w:tblW w:type="dxa" w:w="9360"/>
        <w:jc w:val="left"/>
        <w:tblLayout w:type="fixed"/>
        <w:tblLook w:firstColumn="1" w:firstRow="1" w:lastColumn="0" w:lastRow="0" w:noHBand="0" w:noVBand="1" w:val="04A0"/>
        <w:tblInd w:w="120" w:type="dxa"/>
      </w:tblPr>
      <w:tblGrid>
        <w:gridCol w:w="2300"/>
        <w:gridCol w:w="3400"/>
        <w:gridCol w:w="3660"/>
      </w:tblGrid>
      <w:tr>
        <w:trPr>
          <w:cantSplit/>
          <w:tblHeader w:val="true"/>
        </w:trPr>
        <w:tc>
          <w:tcPr>
            <w:tcW w:type="dxa" w:w="230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7"/>
              </w:rPr>
              <w:t>User-facing state</w:t>
            </w:r>
          </w:p>
        </w:tc>
        <w:tc>
          <w:tcPr>
            <w:tcW w:type="dxa" w:w="340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7"/>
              </w:rPr>
              <w:t>Domain states included</w:t>
            </w:r>
          </w:p>
        </w:tc>
        <w:tc>
          <w:tcPr>
            <w:tcW w:type="dxa" w:w="366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7"/>
              </w:rPr>
              <w:t>Primary CTA</w:t>
            </w:r>
          </w:p>
        </w:tc>
      </w:tr>
      <w:tr>
        <w:trPr>
          <w:cantSplit/>
        </w:trPr>
        <w:tc>
          <w:tcPr>
            <w:tcW w:type="dxa" w:w="23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Draft</w:t>
            </w:r>
          </w:p>
        </w:tc>
        <w:tc>
          <w:tcPr>
            <w:tcW w:type="dxa" w:w="34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captured, requirement_pending</w:t>
            </w:r>
          </w:p>
        </w:tc>
        <w:tc>
          <w:tcPr>
            <w:tcW w:type="dxa" w:w="36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Review requirement</w:t>
            </w:r>
          </w:p>
        </w:tc>
      </w:tr>
      <w:tr>
        <w:trPr>
          <w:cantSplit/>
        </w:trPr>
        <w:tc>
          <w:tcPr>
            <w:tcW w:type="dxa" w:w="23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Needs your review</w:t>
            </w:r>
          </w:p>
        </w:tc>
        <w:tc>
          <w:tcPr>
            <w:tcW w:type="dxa" w:w="34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clarification_required, requirement_ready</w:t>
            </w:r>
          </w:p>
        </w:tc>
        <w:tc>
          <w:tcPr>
            <w:tcW w:type="dxa" w:w="36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Confirm details</w:t>
            </w:r>
          </w:p>
        </w:tc>
      </w:tr>
      <w:tr>
        <w:trPr>
          <w:cantSplit/>
        </w:trPr>
        <w:tc>
          <w:tcPr>
            <w:tcW w:type="dxa" w:w="23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Researching</w:t>
            </w:r>
          </w:p>
        </w:tc>
        <w:tc>
          <w:tcPr>
            <w:tcW w:type="dxa" w:w="34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research_in_progress</w:t>
            </w:r>
          </w:p>
        </w:tc>
        <w:tc>
          <w:tcPr>
            <w:tcW w:type="dxa" w:w="36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View progress</w:t>
            </w:r>
          </w:p>
        </w:tc>
      </w:tr>
      <w:tr>
        <w:trPr>
          <w:cantSplit/>
        </w:trPr>
        <w:tc>
          <w:tcPr>
            <w:tcW w:type="dxa" w:w="23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Approve disclosure</w:t>
            </w:r>
          </w:p>
        </w:tc>
        <w:tc>
          <w:tcPr>
            <w:tcW w:type="dxa" w:w="34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disclosure_previewed</w:t>
            </w:r>
          </w:p>
        </w:tc>
        <w:tc>
          <w:tcPr>
            <w:tcW w:type="dxa" w:w="36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Review what will be shared</w:t>
            </w:r>
          </w:p>
        </w:tc>
      </w:tr>
      <w:tr>
        <w:trPr>
          <w:cantSplit/>
        </w:trPr>
        <w:tc>
          <w:tcPr>
            <w:tcW w:type="dxa" w:w="23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Suppliers responding</w:t>
            </w:r>
          </w:p>
        </w:tc>
        <w:tc>
          <w:tcPr>
            <w:tcW w:type="dxa" w:w="34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dispatched, offers_partial</w:t>
            </w:r>
          </w:p>
        </w:tc>
        <w:tc>
          <w:tcPr>
            <w:tcW w:type="dxa" w:w="36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View private progress</w:t>
            </w:r>
          </w:p>
        </w:tc>
      </w:tr>
      <w:tr>
        <w:trPr>
          <w:cantSplit/>
        </w:trPr>
        <w:tc>
          <w:tcPr>
            <w:tcW w:type="dxa" w:w="23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Decision ready</w:t>
            </w:r>
          </w:p>
        </w:tc>
        <w:tc>
          <w:tcPr>
            <w:tcW w:type="dxa" w:w="34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offers_validated, recommendation_ready</w:t>
            </w:r>
          </w:p>
        </w:tc>
        <w:tc>
          <w:tcPr>
            <w:tcW w:type="dxa" w:w="36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Review decision</w:t>
            </w:r>
          </w:p>
        </w:tc>
      </w:tr>
      <w:tr>
        <w:trPr>
          <w:cantSplit/>
        </w:trPr>
        <w:tc>
          <w:tcPr>
            <w:tcW w:type="dxa" w:w="23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Authorization required</w:t>
            </w:r>
          </w:p>
        </w:tc>
        <w:tc>
          <w:tcPr>
            <w:tcW w:type="dxa" w:w="34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offer_selected, approval_required</w:t>
            </w:r>
          </w:p>
        </w:tc>
        <w:tc>
          <w:tcPr>
            <w:tcW w:type="dxa" w:w="36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Review exact action</w:t>
            </w:r>
          </w:p>
        </w:tc>
      </w:tr>
      <w:tr>
        <w:trPr>
          <w:cantSplit/>
        </w:trPr>
        <w:tc>
          <w:tcPr>
            <w:tcW w:type="dxa" w:w="23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Done</w:t>
            </w:r>
          </w:p>
        </w:tc>
        <w:tc>
          <w:tcPr>
            <w:tcW w:type="dxa" w:w="3400"/>
            <w:shd w:fill="F5F7F8"/>
            <w:tcMar>
              <w:top w:w="90" w:type="dxa"/>
              <w:start w:w="120" w:type="dxa"/>
              <w:bottom w:w="90" w:type="dxa"/>
              <w:end w:w="120" w:type="dxa"/>
            </w:tcMar>
            <w:vAlign w:val="center"/>
          </w:tcPr>
          <w:p>
            <w:pPr>
              <w:spacing w:before="0" w:after="0" w:line="259" w:lineRule="auto"/>
              <w:jc w:val="left"/>
            </w:pPr>
            <w:r>
              <w:t>authorized_simulated, closed — not a Booking</w:t>
            </w:r>
            <w:r>
              <w:rPr>
                <w:rFonts w:ascii="Aptos" w:hAnsi="Aptos"/>
                <w:b w:val="0"/>
                <w:i w:val="0"/>
                <w:color w:val="171B20"/>
                <w:sz w:val="17"/>
              </w:rPr>
            </w:r>
          </w:p>
        </w:tc>
        <w:tc>
          <w:tcPr>
            <w:tcW w:type="dxa" w:w="36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View simulated receipt</w:t>
            </w:r>
          </w:p>
        </w:tc>
      </w:tr>
      <w:tr>
        <w:trPr>
          <w:cantSplit/>
        </w:trPr>
        <w:tc>
          <w:tcPr>
            <w:tcW w:type="dxa" w:w="23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Attention needed</w:t>
            </w:r>
          </w:p>
        </w:tc>
        <w:tc>
          <w:tcPr>
            <w:tcW w:type="dxa" w:w="34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expired, terms_changed, failed, offline_blocked</w:t>
            </w:r>
          </w:p>
        </w:tc>
        <w:tc>
          <w:tcPr>
            <w:tcW w:type="dxa" w:w="36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Resolve</w:t>
            </w:r>
          </w:p>
        </w:tc>
      </w:tr>
    </w:tbl>
    <w:p>
      <w:pPr>
        <w:spacing w:after="20"/>
      </w:pPr>
    </w:p>
    <w:p>
      <w:pPr>
        <w:pStyle w:val="Heading1"/>
        <w:keepNext/>
      </w:pPr>
      <w:r>
        <w:t>4. Airport-parking-first golden path</w:t>
      </w:r>
    </w:p>
    <w:tbl>
      <w:tblPr>
        <w:tblStyle w:val="TableGrid"/>
        <w:tblW w:type="dxa" w:w="9360"/>
        <w:jc w:val="left"/>
        <w:tblLayout w:type="fixed"/>
        <w:tblLook w:firstColumn="1" w:firstRow="1" w:lastColumn="0" w:lastRow="0" w:noHBand="0" w:noVBand="1" w:val="04A0"/>
        <w:tblInd w:w="120" w:type="dxa"/>
      </w:tblPr>
      <w:tblGrid>
        <w:gridCol w:w="500"/>
        <w:gridCol w:w="1650"/>
        <w:gridCol w:w="5190"/>
        <w:gridCol w:w="2020"/>
      </w:tblGrid>
      <w:tr>
        <w:trPr>
          <w:cantSplit/>
          <w:tblHeader w:val="true"/>
        </w:trPr>
        <w:tc>
          <w:tcPr>
            <w:tcW w:type="dxa" w:w="50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7"/>
              </w:rPr>
              <w:t>#</w:t>
            </w:r>
          </w:p>
        </w:tc>
        <w:tc>
          <w:tcPr>
            <w:tcW w:type="dxa" w:w="165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7"/>
              </w:rPr>
              <w:t>Stage</w:t>
            </w:r>
          </w:p>
        </w:tc>
        <w:tc>
          <w:tcPr>
            <w:tcW w:type="dxa" w:w="519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7"/>
              </w:rPr>
              <w:t>Experience</w:t>
            </w:r>
          </w:p>
        </w:tc>
        <w:tc>
          <w:tcPr>
            <w:tcW w:type="dxa" w:w="202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7"/>
              </w:rPr>
              <w:t>Control</w:t>
            </w:r>
          </w:p>
        </w:tc>
      </w:tr>
      <w:tr>
        <w:trPr>
          <w:cantSplit/>
        </w:trPr>
        <w:tc>
          <w:tcPr>
            <w:tcW w:type="dxa" w:w="5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1</w:t>
            </w:r>
          </w:p>
        </w:tc>
        <w:tc>
          <w:tcPr>
            <w:tcW w:type="dxa" w:w="165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Capture</w:t>
            </w:r>
          </w:p>
        </w:tc>
        <w:tc>
          <w:tcPr>
            <w:tcW w:type="dxa" w:w="5190"/>
            <w:tcMar>
              <w:top w:w="90" w:type="dxa"/>
              <w:start w:w="120" w:type="dxa"/>
              <w:bottom w:w="90" w:type="dxa"/>
              <w:end w:w="120" w:type="dxa"/>
            </w:tcMar>
            <w:vAlign w:val="center"/>
          </w:tcPr>
          <w:p>
            <w:pPr>
              <w:spacing w:before="0" w:after="0" w:line="259" w:lineRule="auto"/>
              <w:jc w:val="left"/>
            </w:pPr>
            <w:r>
              <w:t>State an objective, optionally use a domain shortcut, or (future G3) Share to ReservEdge. Direct entry is current.</w:t>
            </w:r>
            <w:r>
              <w:rPr>
                <w:rFonts w:ascii="Aptos" w:hAnsi="Aptos"/>
                <w:b w:val="0"/>
                <w:i w:val="0"/>
                <w:color w:val="171B20"/>
                <w:sz w:val="17"/>
              </w:rPr>
            </w:r>
          </w:p>
        </w:tc>
        <w:tc>
          <w:tcPr>
            <w:tcW w:type="dxa" w:w="202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User</w:t>
            </w:r>
          </w:p>
        </w:tc>
      </w:tr>
      <w:tr>
        <w:trPr>
          <w:cantSplit/>
        </w:trPr>
        <w:tc>
          <w:tcPr>
            <w:tcW w:type="dxa" w:w="5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2</w:t>
            </w:r>
          </w:p>
        </w:tc>
        <w:tc>
          <w:tcPr>
            <w:tcW w:type="dxa" w:w="165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Extract</w:t>
            </w:r>
          </w:p>
        </w:tc>
        <w:tc>
          <w:tcPr>
            <w:tcW w:type="dxa" w:w="519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Create a private draft requirement; flag uncertainty.</w:t>
            </w:r>
          </w:p>
        </w:tc>
        <w:tc>
          <w:tcPr>
            <w:tcW w:type="dxa" w:w="202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Background</w:t>
            </w:r>
          </w:p>
        </w:tc>
      </w:tr>
      <w:tr>
        <w:trPr>
          <w:cantSplit/>
        </w:trPr>
        <w:tc>
          <w:tcPr>
            <w:tcW w:type="dxa" w:w="5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3</w:t>
            </w:r>
          </w:p>
        </w:tc>
        <w:tc>
          <w:tcPr>
            <w:tcW w:type="dxa" w:w="165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Review</w:t>
            </w:r>
          </w:p>
        </w:tc>
        <w:tc>
          <w:tcPr>
            <w:tcW w:type="dxa" w:w="519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Confirm dates, airport, vehicle class, needs, and uncertain fields.</w:t>
            </w:r>
          </w:p>
        </w:tc>
        <w:tc>
          <w:tcPr>
            <w:tcW w:type="dxa" w:w="202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User action A1</w:t>
            </w:r>
          </w:p>
        </w:tc>
      </w:tr>
      <w:tr>
        <w:trPr>
          <w:cantSplit/>
        </w:trPr>
        <w:tc>
          <w:tcPr>
            <w:tcW w:type="dxa" w:w="5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4</w:t>
            </w:r>
          </w:p>
        </w:tc>
        <w:tc>
          <w:tcPr>
            <w:tcW w:type="dxa" w:w="165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Research</w:t>
            </w:r>
          </w:p>
        </w:tc>
        <w:tc>
          <w:tcPr>
            <w:tcW w:type="dxa" w:w="519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Gather normal public market references with provenance.</w:t>
            </w:r>
          </w:p>
        </w:tc>
        <w:tc>
          <w:tcPr>
            <w:tcW w:type="dxa" w:w="202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Background</w:t>
            </w:r>
          </w:p>
        </w:tc>
      </w:tr>
      <w:tr>
        <w:trPr>
          <w:cantSplit/>
        </w:trPr>
        <w:tc>
          <w:tcPr>
            <w:tcW w:type="dxa" w:w="5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5</w:t>
            </w:r>
          </w:p>
        </w:tc>
        <w:tc>
          <w:tcPr>
            <w:tcW w:type="dxa" w:w="165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Preview disclosure</w:t>
            </w:r>
          </w:p>
        </w:tc>
        <w:tc>
          <w:tcPr>
            <w:tcW w:type="dxa" w:w="519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Show sent/withheld fields, purposes, supplier count, and approval expiry.</w:t>
            </w:r>
          </w:p>
        </w:tc>
        <w:tc>
          <w:tcPr>
            <w:tcW w:type="dxa" w:w="202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User review</w:t>
            </w:r>
          </w:p>
        </w:tc>
      </w:tr>
      <w:tr>
        <w:trPr>
          <w:cantSplit/>
        </w:trPr>
        <w:tc>
          <w:tcPr>
            <w:tcW w:type="dxa" w:w="5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6</w:t>
            </w:r>
          </w:p>
        </w:tc>
        <w:tc>
          <w:tcPr>
            <w:tcW w:type="dxa" w:w="165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Authorize Purchase Intent</w:t>
            </w:r>
          </w:p>
        </w:tc>
        <w:tc>
          <w:tcPr>
            <w:tcW w:type="dxa" w:w="519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Approve the exact minimized payload and recipients.</w:t>
            </w:r>
          </w:p>
        </w:tc>
        <w:tc>
          <w:tcPr>
            <w:tcW w:type="dxa" w:w="202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Gate 1 / A2</w:t>
            </w:r>
          </w:p>
        </w:tc>
      </w:tr>
      <w:tr>
        <w:trPr>
          <w:cantSplit/>
        </w:trPr>
        <w:tc>
          <w:tcPr>
            <w:tcW w:type="dxa" w:w="5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7</w:t>
            </w:r>
          </w:p>
        </w:tc>
        <w:tc>
          <w:tcPr>
            <w:tcW w:type="dxa" w:w="165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Solicit privately</w:t>
            </w:r>
          </w:p>
        </w:tc>
        <w:tc>
          <w:tcPr>
            <w:tcW w:type="dxa" w:w="519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Three isolated simulated supplier agents prepare independent offers.</w:t>
            </w:r>
          </w:p>
        </w:tc>
        <w:tc>
          <w:tcPr>
            <w:tcW w:type="dxa" w:w="202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Background</w:t>
            </w:r>
          </w:p>
        </w:tc>
      </w:tr>
      <w:tr>
        <w:trPr>
          <w:cantSplit/>
        </w:trPr>
        <w:tc>
          <w:tcPr>
            <w:tcW w:type="dxa" w:w="5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8</w:t>
            </w:r>
          </w:p>
        </w:tc>
        <w:tc>
          <w:tcPr>
            <w:tcW w:type="dxa" w:w="165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Decide</w:t>
            </w:r>
          </w:p>
        </w:tc>
        <w:tc>
          <w:tcPr>
            <w:tcW w:type="dxa" w:w="519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Normalize offers and recommend one with reasons, downside, and alternatives.</w:t>
            </w:r>
          </w:p>
        </w:tc>
        <w:tc>
          <w:tcPr>
            <w:tcW w:type="dxa" w:w="202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Notification + user</w:t>
            </w:r>
          </w:p>
        </w:tc>
      </w:tr>
      <w:tr>
        <w:trPr>
          <w:cantSplit/>
        </w:trPr>
        <w:tc>
          <w:tcPr>
            <w:tcW w:type="dxa" w:w="5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9</w:t>
            </w:r>
          </w:p>
        </w:tc>
        <w:tc>
          <w:tcPr>
            <w:tcW w:type="dxa" w:w="165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Select</w:t>
            </w:r>
          </w:p>
        </w:tc>
        <w:tc>
          <w:tcPr>
            <w:tcW w:type="dxa" w:w="519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Choose the recommendation or another eligible offer.</w:t>
            </w:r>
          </w:p>
        </w:tc>
        <w:tc>
          <w:tcPr>
            <w:tcW w:type="dxa" w:w="202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User action A3</w:t>
            </w:r>
          </w:p>
        </w:tc>
      </w:tr>
      <w:tr>
        <w:trPr>
          <w:cantSplit/>
        </w:trPr>
        <w:tc>
          <w:tcPr>
            <w:tcW w:type="dxa" w:w="5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10</w:t>
            </w:r>
          </w:p>
        </w:tc>
        <w:tc>
          <w:tcPr>
            <w:tcW w:type="dxa" w:w="165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Authorize</w:t>
            </w:r>
          </w:p>
        </w:tc>
        <w:tc>
          <w:tcPr>
            <w:tcW w:type="dxa" w:w="519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Review exact action, supplier, total, and terms; deliberately confirm.</w:t>
            </w:r>
          </w:p>
        </w:tc>
        <w:tc>
          <w:tcPr>
            <w:tcW w:type="dxa" w:w="202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Gate 2 / A4</w:t>
            </w:r>
          </w:p>
        </w:tc>
      </w:tr>
      <w:tr>
        <w:trPr>
          <w:cantSplit/>
        </w:trPr>
        <w:tc>
          <w:tcPr>
            <w:tcW w:type="dxa" w:w="5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11</w:t>
            </w:r>
          </w:p>
        </w:tc>
        <w:tc>
          <w:tcPr>
            <w:tcW w:type="dxa" w:w="165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Receipt</w:t>
            </w:r>
          </w:p>
        </w:tc>
        <w:tc>
          <w:tcPr>
            <w:tcW w:type="dxa" w:w="519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Issue a simulated receipt and append audit events.</w:t>
            </w:r>
          </w:p>
        </w:tc>
        <w:tc>
          <w:tcPr>
            <w:tcW w:type="dxa" w:w="202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System</w:t>
            </w:r>
          </w:p>
        </w:tc>
      </w:tr>
    </w:tbl>
    <w:p>
      <w:pPr>
        <w:spacing w:after="20"/>
      </w:pPr>
    </w:p>
    <w:p>
      <w:pPr>
        <w:pStyle w:val="Heading2"/>
        <w:keepNext/>
      </w:pPr>
      <w:r>
        <w:t>4.1 Demo fixtures</w:t>
      </w:r>
    </w:p>
    <w:p>
      <w:pPr>
        <w:pStyle w:val="ListBullet"/>
        <w:spacing w:after="80" w:line="283" w:lineRule="auto"/>
      </w:pPr>
      <w:r>
        <w:rPr>
          <w:rFonts w:ascii="Aptos" w:hAnsi="Aptos"/>
          <w:b w:val="0"/>
          <w:i w:val="0"/>
          <w:color w:val="171B20"/>
          <w:sz w:val="21"/>
        </w:rPr>
        <w:t>Requirement: JFK airport parking, Aug 22-26, four days, Tesla Model Y or normalized SUV class, covered preferred, EV desired, terminal context uncertain until confirmed.</w:t>
      </w:r>
    </w:p>
    <w:p>
      <w:pPr>
        <w:pStyle w:val="ListBullet"/>
        <w:spacing w:after="80" w:line="283" w:lineRule="auto"/>
      </w:pPr>
      <w:r>
        <w:rPr>
          <w:rFonts w:ascii="Aptos" w:hAnsi="Aptos"/>
          <w:b w:val="0"/>
          <w:i w:val="0"/>
          <w:color w:val="171B20"/>
          <w:sz w:val="21"/>
        </w:rPr>
        <w:t>Suppliers: three visibly simulated suppliers with independent seeded policies and private offer generation. Supplier identity is visible to the buyer when an offer is presented; suppliers remain invisible to one another.</w:t>
      </w:r>
    </w:p>
    <w:p>
      <w:pPr>
        <w:pStyle w:val="ListBullet"/>
        <w:spacing w:after="80" w:line="283" w:lineRule="auto"/>
      </w:pPr>
      <w:r>
        <w:rPr>
          <w:rFonts w:ascii="Aptos" w:hAnsi="Aptos"/>
          <w:b w:val="0"/>
          <w:i w:val="0"/>
          <w:color w:val="171B20"/>
          <w:sz w:val="21"/>
        </w:rPr>
        <w:t>Recommendation fixture: one balanced recommended offer, one cheaper offer with a meaningful tradeoff, and one convenience-led higher-price offer with at least one unconfirmed dimension.</w:t>
      </w:r>
    </w:p>
    <w:p>
      <w:pPr>
        <w:pStyle w:val="ListBullet"/>
        <w:spacing w:after="80" w:line="283" w:lineRule="auto"/>
      </w:pPr>
      <w:r>
        <w:rPr>
          <w:rFonts w:ascii="Aptos" w:hAnsi="Aptos"/>
          <w:b w:val="0"/>
          <w:i w:val="0"/>
          <w:color w:val="171B20"/>
          <w:sz w:val="21"/>
        </w:rPr>
        <w:t>Transaction: SIMULATED mode only; inventory is not_held; no payment instrument, reservation API, supplier contact, or Booking is invoked. A4 success is authorized_simulated, not a Booking.</w:t>
      </w:r>
    </w:p>
    <w:p>
      <w:pPr>
        <w:pStyle w:val="Heading2"/>
        <w:keepNext/>
      </w:pPr>
      <w:r>
        <w:t>4.2 Ninety-second competition demo</w:t>
      </w:r>
    </w:p>
    <w:p>
      <w:pPr>
        <w:numPr>
          <w:ilvl w:val="0"/>
          <w:numId w:val="11"/>
        </w:numPr>
        <w:spacing w:after="80" w:line="283" w:lineRule="auto"/>
      </w:pPr>
      <w:r>
        <w:rPr>
          <w:rFonts w:ascii="Aptos" w:hAnsi="Aptos"/>
          <w:b w:val="0"/>
          <w:i w:val="0"/>
          <w:color w:val="171B20"/>
          <w:sz w:val="21"/>
        </w:rPr>
        <w:t>State an objective in the Intent composer, or use an optional parking domain shortcut, and show the private Intent draft.</w:t>
      </w:r>
    </w:p>
    <w:p>
      <w:pPr>
        <w:numPr>
          <w:ilvl w:val="0"/>
          <w:numId w:val="11"/>
        </w:numPr>
        <w:spacing w:after="80" w:line="283" w:lineRule="auto"/>
      </w:pPr>
      <w:r>
        <w:rPr>
          <w:rFonts w:ascii="Aptos" w:hAnsi="Aptos"/>
          <w:b w:val="0"/>
          <w:i w:val="0"/>
          <w:color w:val="171B20"/>
          <w:sz w:val="21"/>
        </w:rPr>
        <w:t>Confirm one low-confidence field and move to public market research.</w:t>
      </w:r>
    </w:p>
    <w:p>
      <w:pPr>
        <w:numPr>
          <w:ilvl w:val="0"/>
          <w:numId w:val="11"/>
        </w:numPr>
        <w:spacing w:after="80" w:line="283" w:lineRule="auto"/>
      </w:pPr>
      <w:r>
        <w:rPr>
          <w:rFonts w:ascii="Aptos" w:hAnsi="Aptos"/>
          <w:b w:val="0"/>
          <w:i w:val="0"/>
          <w:color w:val="171B20"/>
          <w:sz w:val="21"/>
        </w:rPr>
        <w:t>Dwell on the sent/withheld disclosure preview and authorize Gate 1.</w:t>
      </w:r>
    </w:p>
    <w:p>
      <w:pPr>
        <w:numPr>
          <w:ilvl w:val="0"/>
          <w:numId w:val="11"/>
        </w:numPr>
        <w:spacing w:after="80" w:line="283" w:lineRule="auto"/>
      </w:pPr>
      <w:r>
        <w:rPr>
          <w:rFonts w:ascii="Aptos" w:hAnsi="Aptos"/>
          <w:b w:val="0"/>
          <w:i w:val="0"/>
          <w:color w:val="171B20"/>
          <w:sz w:val="21"/>
        </w:rPr>
        <w:t>Show three supplier lanes working privately, then open the Decision Ready notification.</w:t>
      </w:r>
    </w:p>
    <w:p>
      <w:pPr>
        <w:numPr>
          <w:ilvl w:val="0"/>
          <w:numId w:val="11"/>
        </w:numPr>
        <w:spacing w:after="80" w:line="283" w:lineRule="auto"/>
      </w:pPr>
      <w:r>
        <w:rPr>
          <w:rFonts w:ascii="Aptos" w:hAnsi="Aptos"/>
          <w:b w:val="0"/>
          <w:i w:val="0"/>
          <w:color w:val="171B20"/>
          <w:sz w:val="21"/>
        </w:rPr>
        <w:t>Explain the recommended offer, one downside, and the comparison table.</w:t>
      </w:r>
    </w:p>
    <w:p>
      <w:pPr>
        <w:numPr>
          <w:ilvl w:val="0"/>
          <w:numId w:val="11"/>
        </w:numPr>
        <w:spacing w:after="80" w:line="283" w:lineRule="auto"/>
      </w:pPr>
      <w:r>
        <w:rPr>
          <w:rFonts w:ascii="Aptos" w:hAnsi="Aptos"/>
          <w:b w:val="0"/>
          <w:i w:val="0"/>
          <w:color w:val="171B20"/>
          <w:sz w:val="21"/>
        </w:rPr>
        <w:t>Select an offer, review Gate 2, authorize, and end on the unmistakably simulated receipt and audit event.</w:t>
      </w:r>
    </w:p>
    <w:p>
      <w:r>
        <w:br w:type="page"/>
      </w:r>
    </w:p>
    <w:p>
      <w:pPr>
        <w:pStyle w:val="Heading1"/>
        <w:keepNext/>
      </w:pPr>
      <w:r>
        <w:t>5. Screen contracts</w:t>
      </w:r>
    </w:p>
    <w:p>
      <w:pPr>
        <w:spacing w:before="0" w:after="120" w:line="300" w:lineRule="auto"/>
      </w:pPr>
      <w:r>
        <w:rPr>
          <w:rFonts w:ascii="Aptos" w:hAnsi="Aptos"/>
          <w:b w:val="0"/>
          <w:i w:val="0"/>
          <w:color w:val="171B20"/>
          <w:sz w:val="21"/>
        </w:rPr>
        <w:t>Each screen contract is normative, including UX-17–UX-29. Existing UX-03–UX-11 remain the task-scoped parking surfaces and MUST nest under an Intent/Task. Screen IDs should appear in component stories, end-to-end tests, analytics fixtures, and Cursor completion reports.</w:t>
      </w:r>
    </w:p>
    <w:p>
      <w:pPr>
        <w:pStyle w:val="Heading2"/>
        <w:keepNext/>
      </w:pPr>
      <w:r>
        <w:t>5.1 UX-00 - Onboarding and simulation framing</w:t>
      </w:r>
    </w:p>
    <w:p>
      <w:pPr>
        <w:spacing w:after="60"/>
      </w:pPr>
      <w:r>
        <w:rPr>
          <w:rFonts w:ascii="Aptos" w:hAnsi="Aptos"/>
          <w:b/>
          <w:i w:val="0"/>
          <w:color w:val="586069"/>
          <w:sz w:val="20"/>
        </w:rPr>
        <w:t>Delivery: FUTURE PRODUCTIZATION / G3 only. Not a current implementation requirement.</w:t>
      </w:r>
      <w:r>
        <w:rPr>
          <w:rFonts w:ascii="Aptos" w:hAnsi="Aptos"/>
          <w:b w:val="0"/>
          <w:i w:val="0"/>
          <w:color w:val="171B20"/>
          <w:sz w:val="20"/>
        </w:rPr>
      </w:r>
    </w:p>
    <w:p>
      <w:pPr>
        <w:spacing w:after="60"/>
      </w:pPr>
      <w:r>
        <w:rPr>
          <w:rFonts w:ascii="Aptos" w:hAnsi="Aptos"/>
          <w:b/>
          <w:i w:val="0"/>
          <w:color w:val="586069"/>
          <w:sz w:val="20"/>
        </w:rPr>
        <w:t xml:space="preserve">Purpose: </w:t>
      </w:r>
      <w:r>
        <w:rPr>
          <w:rFonts w:ascii="Aptos" w:hAnsi="Aptos"/>
          <w:b w:val="0"/>
          <w:i w:val="0"/>
          <w:color w:val="171B20"/>
          <w:sz w:val="20"/>
        </w:rPr>
        <w:t>Explain the value exchange and establish simulation, privacy, and human-control expectations before first use.</w:t>
      </w:r>
    </w:p>
    <w:p>
      <w:pPr>
        <w:spacing w:after="60"/>
      </w:pPr>
      <w:r>
        <w:rPr>
          <w:rFonts w:ascii="Aptos" w:hAnsi="Aptos"/>
          <w:b/>
          <w:i w:val="0"/>
          <w:color w:val="586069"/>
          <w:sz w:val="20"/>
        </w:rPr>
        <w:t xml:space="preserve">Entry: </w:t>
      </w:r>
      <w:r>
        <w:rPr>
          <w:rFonts w:ascii="Aptos" w:hAnsi="Aptos"/>
          <w:b w:val="0"/>
          <w:i w:val="0"/>
          <w:color w:val="171B20"/>
          <w:sz w:val="20"/>
        </w:rPr>
        <w:t>First launch or explicit replay from Account.</w:t>
      </w:r>
    </w:p>
    <w:p>
      <w:pPr>
        <w:spacing w:after="60"/>
      </w:pPr>
      <w:r>
        <w:rPr>
          <w:rFonts w:ascii="Aptos" w:hAnsi="Aptos"/>
          <w:b/>
          <w:i w:val="0"/>
          <w:color w:val="586069"/>
          <w:sz w:val="20"/>
        </w:rPr>
        <w:t xml:space="preserve">Required content: </w:t>
      </w:r>
      <w:r>
        <w:rPr>
          <w:rFonts w:ascii="Aptos" w:hAnsi="Aptos"/>
          <w:b w:val="0"/>
          <w:i w:val="0"/>
          <w:color w:val="171B20"/>
          <w:sz w:val="20"/>
        </w:rPr>
        <w:t>Headline 'Hand off the hunt. Keep the decision.' Three guarantees: suppliers see only what they must; nothing consequential happens without your approval; learned preferences expose evidence and controls. Persistent demo banner: 'DEMO BUILD - TRANSACTIONS ARE SIMULATED.'</w:t>
      </w:r>
    </w:p>
    <w:p>
      <w:pPr>
        <w:spacing w:after="60"/>
      </w:pPr>
      <w:r>
        <w:rPr>
          <w:rFonts w:ascii="Aptos" w:hAnsi="Aptos"/>
          <w:b/>
          <w:i w:val="0"/>
          <w:color w:val="586069"/>
          <w:sz w:val="20"/>
        </w:rPr>
        <w:t xml:space="preserve">Primary action: </w:t>
      </w:r>
      <w:r>
        <w:rPr>
          <w:rFonts w:ascii="Aptos" w:hAnsi="Aptos"/>
          <w:b w:val="0"/>
          <w:i w:val="0"/>
          <w:color w:val="171B20"/>
          <w:sz w:val="20"/>
        </w:rPr>
        <w:t>Get started</w:t>
      </w:r>
    </w:p>
    <w:p>
      <w:pPr>
        <w:spacing w:after="60"/>
      </w:pPr>
      <w:r>
        <w:rPr>
          <w:rFonts w:ascii="Aptos" w:hAnsi="Aptos"/>
          <w:b/>
          <w:i w:val="0"/>
          <w:color w:val="586069"/>
          <w:sz w:val="20"/>
        </w:rPr>
        <w:t xml:space="preserve">Secondary actions: </w:t>
      </w:r>
      <w:r>
        <w:rPr>
          <w:rFonts w:ascii="Aptos" w:hAnsi="Aptos"/>
          <w:b w:val="0"/>
          <w:i w:val="0"/>
          <w:color w:val="171B20"/>
          <w:sz w:val="20"/>
        </w:rPr>
        <w:t>How privacy works</w:t>
      </w:r>
    </w:p>
    <w:p>
      <w:pPr>
        <w:spacing w:after="60"/>
      </w:pPr>
      <w:r>
        <w:rPr>
          <w:rFonts w:ascii="Aptos" w:hAnsi="Aptos"/>
          <w:b/>
          <w:i w:val="0"/>
          <w:color w:val="586069"/>
          <w:sz w:val="20"/>
        </w:rPr>
        <w:t xml:space="preserve">Required states: </w:t>
      </w:r>
      <w:r>
        <w:rPr>
          <w:rFonts w:ascii="Aptos" w:hAnsi="Aptos"/>
          <w:b w:val="0"/>
          <w:i w:val="0"/>
          <w:color w:val="171B20"/>
          <w:sz w:val="20"/>
        </w:rPr>
        <w:t>Default; accessibility large-text; offline (onboarding remains readable).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5F7F8"/>
            <w:tcMar>
              <w:top w:w="90" w:type="dxa"/>
              <w:start w:w="120" w:type="dxa"/>
              <w:bottom w:w="90" w:type="dxa"/>
              <w:end w:w="120" w:type="dxa"/>
            </w:tcMar>
            <w:vAlign w:val="center"/>
          </w:tcPr>
          <w:p>
            <w:pPr>
              <w:spacing w:after="60"/>
            </w:pPr>
            <w:r>
              <w:rPr>
                <w:rFonts w:ascii="Consolas" w:hAnsi="Consolas"/>
                <w:b/>
                <w:i w:val="0"/>
                <w:color w:val="586069"/>
                <w:sz w:val="17"/>
              </w:rPr>
              <w:t>ACCEPTANCE</w:t>
            </w:r>
          </w:p>
          <w:p>
            <w:pPr>
              <w:spacing w:after="0" w:line="271" w:lineRule="auto"/>
            </w:pPr>
            <w:r>
              <w:rPr>
                <w:rFonts w:ascii="Aptos" w:hAnsi="Aptos"/>
                <w:b w:val="0"/>
                <w:i w:val="0"/>
                <w:color w:val="171B20"/>
                <w:sz w:val="20"/>
              </w:rPr>
              <w:t>Simulation is stated before any intent. Copy never claims processing remains on-device. The user can reach the Privacy Center without completing onboarding.</w:t>
            </w:r>
          </w:p>
        </w:tc>
      </w:tr>
    </w:tbl>
    <w:p>
      <w:pPr>
        <w:spacing w:after="20"/>
      </w:pPr>
    </w:p>
    <w:p>
      <w:pPr>
        <w:pStyle w:val="Heading2"/>
        <w:keepNext/>
      </w:pPr>
      <w:r>
        <w:t>5.2 UX-01 - Intent Inbox</w:t>
      </w:r>
    </w:p>
    <w:p>
      <w:pPr>
        <w:spacing w:after="60"/>
      </w:pPr>
      <w:r>
        <w:rPr>
          <w:rFonts w:ascii="Aptos" w:hAnsi="Aptos"/>
          <w:b/>
          <w:i w:val="0"/>
          <w:color w:val="586069"/>
          <w:sz w:val="20"/>
        </w:rPr>
        <w:t xml:space="preserve">Delivery: </w:t>
      </w:r>
      <w:r>
        <w:rPr>
          <w:rFonts w:ascii="Aptos" w:hAnsi="Aptos"/>
          <w:b w:val="0"/>
          <w:i w:val="0"/>
          <w:color w:val="171B20"/>
          <w:sz w:val="20"/>
        </w:rPr>
        <w:t>G1</w:t>
      </w:r>
    </w:p>
    <w:p>
      <w:pPr>
        <w:spacing w:after="60"/>
      </w:pPr>
      <w:r>
        <w:rPr>
          <w:rFonts w:ascii="Aptos" w:hAnsi="Aptos"/>
          <w:b/>
          <w:i w:val="0"/>
          <w:color w:val="586069"/>
          <w:sz w:val="20"/>
        </w:rPr>
        <w:t xml:space="preserve">Purpose: </w:t>
      </w:r>
      <w:r>
        <w:rPr>
          <w:rFonts w:ascii="Aptos" w:hAnsi="Aptos"/>
          <w:b w:val="0"/>
          <w:i w:val="0"/>
          <w:color w:val="171B20"/>
          <w:sz w:val="20"/>
        </w:rPr>
        <w:t>Make the next required decision obvious while allowing background work to stay quiet.</w:t>
      </w:r>
    </w:p>
    <w:p>
      <w:pPr>
        <w:spacing w:after="60"/>
      </w:pPr>
      <w:r>
        <w:rPr>
          <w:rFonts w:ascii="Aptos" w:hAnsi="Aptos"/>
          <w:b/>
          <w:i w:val="0"/>
          <w:color w:val="586069"/>
          <w:sz w:val="20"/>
        </w:rPr>
        <w:t xml:space="preserve">Entry: </w:t>
      </w:r>
      <w:r>
        <w:rPr>
          <w:rFonts w:ascii="Aptos" w:hAnsi="Aptos"/>
          <w:b w:val="0"/>
          <w:i w:val="0"/>
          <w:color w:val="171B20"/>
          <w:sz w:val="20"/>
        </w:rPr>
        <w:t>App home, notification fallback, or completed action.</w:t>
      </w:r>
    </w:p>
    <w:p>
      <w:pPr>
        <w:spacing w:after="60"/>
      </w:pPr>
      <w:r>
        <w:rPr>
          <w:rFonts w:ascii="Aptos" w:hAnsi="Aptos"/>
          <w:b/>
          <w:i w:val="0"/>
          <w:color w:val="586069"/>
          <w:sz w:val="20"/>
        </w:rPr>
        <w:t xml:space="preserve">Required content: </w:t>
      </w:r>
      <w:r>
        <w:rPr>
          <w:rFonts w:ascii="Aptos" w:hAnsi="Aptos"/>
          <w:b w:val="0"/>
          <w:i w:val="0"/>
          <w:color w:val="171B20"/>
          <w:sz w:val="20"/>
        </w:rPr>
        <w:t>Segmented filters: Active, Awaiting you, Done. Each IntentCard shows category/location, date window, live state label plus non-color indicator, last update, expiry if real, and a single next action. Decision-ready and approval-required cards sort above passive work.</w:t>
      </w:r>
    </w:p>
    <w:p>
      <w:pPr>
        <w:spacing w:after="60"/>
      </w:pPr>
      <w:r>
        <w:rPr>
          <w:rFonts w:ascii="Aptos" w:hAnsi="Aptos"/>
          <w:b/>
          <w:i w:val="0"/>
          <w:color w:val="586069"/>
          <w:sz w:val="20"/>
        </w:rPr>
        <w:t xml:space="preserve">Primary action: </w:t>
      </w:r>
      <w:r>
        <w:rPr>
          <w:rFonts w:ascii="Aptos" w:hAnsi="Aptos"/>
          <w:b w:val="0"/>
          <w:i w:val="0"/>
          <w:color w:val="171B20"/>
          <w:sz w:val="20"/>
        </w:rPr>
        <w:t>Contextual: Review details / Review disclosure / Review decision / Review authorization</w:t>
      </w:r>
    </w:p>
    <w:p>
      <w:pPr>
        <w:spacing w:after="60"/>
      </w:pPr>
      <w:r>
        <w:rPr>
          <w:rFonts w:ascii="Aptos" w:hAnsi="Aptos"/>
          <w:b/>
          <w:i w:val="0"/>
          <w:color w:val="586069"/>
          <w:sz w:val="20"/>
        </w:rPr>
        <w:t xml:space="preserve">Secondary actions: </w:t>
      </w:r>
      <w:r>
        <w:rPr>
          <w:rFonts w:ascii="Aptos" w:hAnsi="Aptos"/>
          <w:b w:val="0"/>
          <w:i w:val="0"/>
          <w:color w:val="171B20"/>
          <w:sz w:val="20"/>
        </w:rPr>
        <w:t>Create new intent</w:t>
      </w:r>
    </w:p>
    <w:p>
      <w:pPr>
        <w:spacing w:after="60"/>
      </w:pPr>
      <w:r>
        <w:rPr>
          <w:rFonts w:ascii="Aptos" w:hAnsi="Aptos"/>
          <w:b/>
          <w:i w:val="0"/>
          <w:color w:val="586069"/>
          <w:sz w:val="20"/>
        </w:rPr>
        <w:t xml:space="preserve">Required states: </w:t>
      </w:r>
      <w:r>
        <w:rPr>
          <w:rFonts w:ascii="Aptos" w:hAnsi="Aptos"/>
          <w:b w:val="0"/>
          <w:i w:val="0"/>
          <w:color w:val="171B20"/>
          <w:sz w:val="20"/>
        </w:rPr>
        <w:t>First-run empty; populated; loading skeleton; offline/read-only; free-limit information; sync error.</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5F7F8"/>
            <w:tcMar>
              <w:top w:w="90" w:type="dxa"/>
              <w:start w:w="120" w:type="dxa"/>
              <w:bottom w:w="90" w:type="dxa"/>
              <w:end w:w="120" w:type="dxa"/>
            </w:tcMar>
            <w:vAlign w:val="center"/>
          </w:tcPr>
          <w:p>
            <w:pPr>
              <w:spacing w:after="60"/>
            </w:pPr>
            <w:r>
              <w:rPr>
                <w:rFonts w:ascii="Consolas" w:hAnsi="Consolas"/>
                <w:b/>
                <w:i w:val="0"/>
                <w:color w:val="586069"/>
                <w:sz w:val="17"/>
              </w:rPr>
              <w:t>ACCEPTANCE</w:t>
            </w:r>
          </w:p>
          <w:p>
            <w:pPr>
              <w:spacing w:after="0" w:line="271" w:lineRule="auto"/>
            </w:pPr>
            <w:r>
              <w:rPr>
                <w:rFonts w:ascii="Aptos" w:hAnsi="Aptos"/>
                <w:b w:val="0"/>
                <w:i w:val="0"/>
                <w:color w:val="171B20"/>
                <w:sz w:val="20"/>
              </w:rPr>
              <w:t>No card exposes raw source text or sensitive preference evidence. Every state is announced in words. Background cards do not use attention color.</w:t>
            </w:r>
          </w:p>
        </w:tc>
      </w:tr>
    </w:tbl>
    <w:p>
      <w:pPr>
        <w:spacing w:after="20"/>
      </w:pPr>
    </w:p>
    <w:p>
      <w:pPr>
        <w:pStyle w:val="Heading2"/>
        <w:keepNext/>
      </w:pPr>
      <w:r>
        <w:t>5.3 UX-02 - Share to ReservEdge capture (future G3 UX)</w:t>
      </w:r>
    </w:p>
    <w:p>
      <w:pPr>
        <w:spacing w:after="60"/>
      </w:pPr>
      <w:r>
        <w:rPr>
          <w:rFonts w:ascii="Aptos" w:hAnsi="Aptos"/>
          <w:b/>
          <w:i w:val="0"/>
          <w:color w:val="586069"/>
          <w:sz w:val="20"/>
        </w:rPr>
        <w:t>Delivery: FUTURE PRODUCTIZATION / G3 UX only. Direct typed Intent entry is the current G1 path. Public name: Share to ReservEdge. Historical/internal contract label: Share-to-ITAA. No native share extension is selected now.</w:t>
      </w:r>
      <w:r>
        <w:rPr>
          <w:rFonts w:ascii="Aptos" w:hAnsi="Aptos"/>
          <w:b w:val="0"/>
          <w:i w:val="0"/>
          <w:color w:val="171B20"/>
          <w:sz w:val="20"/>
        </w:rPr>
      </w:r>
    </w:p>
    <w:p>
      <w:pPr>
        <w:spacing w:after="60"/>
      </w:pPr>
      <w:r>
        <w:rPr>
          <w:rFonts w:ascii="Aptos" w:hAnsi="Aptos"/>
          <w:b/>
          <w:i w:val="0"/>
          <w:color w:val="586069"/>
          <w:sz w:val="20"/>
        </w:rPr>
        <w:t xml:space="preserve">Purpose: </w:t>
      </w:r>
      <w:r>
        <w:rPr>
          <w:rFonts w:ascii="Aptos" w:hAnsi="Aptos"/>
          <w:b w:val="0"/>
          <w:i w:val="0"/>
          <w:color w:val="171B20"/>
          <w:sz w:val="20"/>
        </w:rPr>
        <w:t>Convert an explicit OS share action into a private draft without silently submitting anything to suppliers.</w:t>
      </w:r>
    </w:p>
    <w:p>
      <w:pPr>
        <w:spacing w:after="60"/>
      </w:pPr>
      <w:r>
        <w:rPr>
          <w:rFonts w:ascii="Aptos" w:hAnsi="Aptos"/>
          <w:b/>
          <w:i w:val="0"/>
          <w:color w:val="586069"/>
          <w:sz w:val="20"/>
        </w:rPr>
        <w:t>Entry (future only): OS share sheet. Current implementation uses typed/paste entry on responsive web.</w:t>
      </w:r>
      <w:r>
        <w:rPr>
          <w:rFonts w:ascii="Aptos" w:hAnsi="Aptos"/>
          <w:b w:val="0"/>
          <w:i w:val="0"/>
          <w:color w:val="171B20"/>
          <w:sz w:val="20"/>
        </w:rPr>
      </w:r>
    </w:p>
    <w:p>
      <w:pPr>
        <w:spacing w:after="60"/>
      </w:pPr>
      <w:r>
        <w:rPr>
          <w:rFonts w:ascii="Aptos" w:hAnsi="Aptos"/>
          <w:b/>
          <w:i w:val="0"/>
          <w:color w:val="586069"/>
          <w:sz w:val="20"/>
        </w:rPr>
        <w:t>Required content: Captured excerpt, source-app label, detected fields, uncertainty chips, and 'Your original is private to your ReservEdge buyer agent and is never sent to suppliers.'</w:t>
      </w:r>
      <w:r>
        <w:rPr>
          <w:rFonts w:ascii="Aptos" w:hAnsi="Aptos"/>
          <w:b w:val="0"/>
          <w:i w:val="0"/>
          <w:color w:val="171B20"/>
          <w:sz w:val="20"/>
        </w:rPr>
      </w:r>
    </w:p>
    <w:p>
      <w:pPr>
        <w:spacing w:after="60"/>
      </w:pPr>
      <w:r>
        <w:rPr>
          <w:rFonts w:ascii="Aptos" w:hAnsi="Aptos"/>
          <w:b/>
          <w:i w:val="0"/>
          <w:color w:val="586069"/>
          <w:sz w:val="20"/>
        </w:rPr>
        <w:t xml:space="preserve">Primary action: </w:t>
      </w:r>
      <w:r>
        <w:rPr>
          <w:rFonts w:ascii="Aptos" w:hAnsi="Aptos"/>
          <w:b w:val="0"/>
          <w:i w:val="0"/>
          <w:color w:val="171B20"/>
          <w:sz w:val="20"/>
        </w:rPr>
        <w:t>Create private draft</w:t>
      </w:r>
    </w:p>
    <w:p>
      <w:pPr>
        <w:spacing w:after="60"/>
      </w:pPr>
      <w:r>
        <w:rPr>
          <w:rFonts w:ascii="Aptos" w:hAnsi="Aptos"/>
          <w:b/>
          <w:i w:val="0"/>
          <w:color w:val="586069"/>
          <w:sz w:val="20"/>
        </w:rPr>
        <w:t xml:space="preserve">Secondary actions: </w:t>
      </w:r>
      <w:r>
        <w:rPr>
          <w:rFonts w:ascii="Aptos" w:hAnsi="Aptos"/>
          <w:b w:val="0"/>
          <w:i w:val="0"/>
          <w:color w:val="171B20"/>
          <w:sz w:val="20"/>
        </w:rPr>
        <w:t>Cancel</w:t>
      </w:r>
    </w:p>
    <w:p>
      <w:pPr>
        <w:spacing w:after="60"/>
      </w:pPr>
      <w:r>
        <w:rPr>
          <w:rFonts w:ascii="Aptos" w:hAnsi="Aptos"/>
          <w:b/>
          <w:i w:val="0"/>
          <w:color w:val="586069"/>
          <w:sz w:val="20"/>
        </w:rPr>
        <w:t xml:space="preserve">Required states: </w:t>
      </w:r>
      <w:r>
        <w:rPr>
          <w:rFonts w:ascii="Aptos" w:hAnsi="Aptos"/>
          <w:b w:val="0"/>
          <w:i w:val="0"/>
          <w:color w:val="171B20"/>
          <w:sz w:val="20"/>
        </w:rPr>
        <w:t>Supported content; unsupported attachment; extraction unavailable; no network; oversized item; permission denied.</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5F7F8"/>
            <w:tcMar>
              <w:top w:w="90" w:type="dxa"/>
              <w:start w:w="120" w:type="dxa"/>
              <w:bottom w:w="90" w:type="dxa"/>
              <w:end w:w="120" w:type="dxa"/>
            </w:tcMar>
            <w:vAlign w:val="center"/>
          </w:tcPr>
          <w:p>
            <w:pPr>
              <w:spacing w:after="60"/>
            </w:pPr>
            <w:r>
              <w:rPr>
                <w:rFonts w:ascii="Consolas" w:hAnsi="Consolas"/>
                <w:b/>
                <w:i w:val="0"/>
                <w:color w:val="586069"/>
                <w:sz w:val="17"/>
              </w:rPr>
              <w:t>ACCEPTANCE</w:t>
            </w:r>
          </w:p>
          <w:p>
            <w:pPr>
              <w:spacing w:after="0" w:line="271" w:lineRule="auto"/>
            </w:pPr>
            <w:r>
              <w:rPr>
                <w:rFonts w:ascii="Aptos" w:hAnsi="Aptos"/>
                <w:b w:val="0"/>
                <w:i w:val="0"/>
                <w:color w:val="171B20"/>
                <w:sz w:val="20"/>
              </w:rPr>
              <w:t>Nothing is dispatched from the extension. Cancellation creates no intent. Sensitive raw content is excluded from analytics and supplier envelopes.</w:t>
            </w:r>
          </w:p>
        </w:tc>
      </w:tr>
    </w:tbl>
    <w:p>
      <w:pPr>
        <w:spacing w:after="20"/>
      </w:pPr>
    </w:p>
    <w:p>
      <w:pPr>
        <w:pStyle w:val="Heading2"/>
        <w:keepNext/>
      </w:pPr>
      <w:r>
        <w:t>5.4 UX-03 - Requirement review and clarification</w:t>
      </w:r>
    </w:p>
    <w:p>
      <w:pPr>
        <w:spacing w:after="60"/>
      </w:pPr>
      <w:r>
        <w:rPr>
          <w:rFonts w:ascii="Aptos" w:hAnsi="Aptos"/>
          <w:b/>
          <w:i w:val="0"/>
          <w:color w:val="586069"/>
          <w:sz w:val="20"/>
        </w:rPr>
        <w:t xml:space="preserve">Delivery: </w:t>
      </w:r>
      <w:r>
        <w:rPr>
          <w:rFonts w:ascii="Aptos" w:hAnsi="Aptos"/>
          <w:b w:val="0"/>
          <w:i w:val="0"/>
          <w:color w:val="171B20"/>
          <w:sz w:val="20"/>
        </w:rPr>
        <w:t>G1</w:t>
      </w:r>
    </w:p>
    <w:p>
      <w:pPr>
        <w:spacing w:after="60"/>
      </w:pPr>
      <w:r>
        <w:rPr>
          <w:rFonts w:ascii="Aptos" w:hAnsi="Aptos"/>
          <w:b/>
          <w:i w:val="0"/>
          <w:color w:val="586069"/>
          <w:sz w:val="20"/>
        </w:rPr>
        <w:t>Purpose: Task-scoped A1. Let the user confirm the exact Booking Task Requirement/version ReservEdge will research. Nested under /intents/:intentId/tasks/:taskId/a1.</w:t>
      </w:r>
      <w:r>
        <w:rPr>
          <w:rFonts w:ascii="Aptos" w:hAnsi="Aptos"/>
          <w:b w:val="0"/>
          <w:i w:val="0"/>
          <w:color w:val="171B20"/>
          <w:sz w:val="20"/>
        </w:rPr>
      </w:r>
    </w:p>
    <w:p>
      <w:pPr>
        <w:spacing w:after="60"/>
      </w:pPr>
      <w:r>
        <w:rPr>
          <w:rFonts w:ascii="Aptos" w:hAnsi="Aptos"/>
          <w:b/>
          <w:i w:val="0"/>
          <w:color w:val="586069"/>
          <w:sz w:val="20"/>
        </w:rPr>
        <w:t xml:space="preserve">Entry: </w:t>
      </w:r>
      <w:r>
        <w:rPr>
          <w:rFonts w:ascii="Aptos" w:hAnsi="Aptos"/>
          <w:b w:val="0"/>
          <w:i w:val="0"/>
          <w:color w:val="171B20"/>
          <w:sz w:val="20"/>
        </w:rPr>
        <w:t>New draft or clarification notification.</w:t>
      </w:r>
    </w:p>
    <w:p>
      <w:pPr>
        <w:spacing w:after="60"/>
      </w:pPr>
      <w:r>
        <w:rPr>
          <w:rFonts w:ascii="Aptos" w:hAnsi="Aptos"/>
          <w:b/>
          <w:i w:val="0"/>
          <w:color w:val="586069"/>
          <w:sz w:val="20"/>
        </w:rPr>
        <w:t xml:space="preserve">Required content: </w:t>
      </w:r>
      <w:r>
        <w:rPr>
          <w:rFonts w:ascii="Aptos" w:hAnsi="Aptos"/>
          <w:b w:val="0"/>
          <w:i w:val="0"/>
          <w:color w:val="171B20"/>
          <w:sz w:val="20"/>
        </w:rPr>
        <w:t>Field rows for airport, dates, vehicle class, terminal context, and needs. Each row shows value, source/evidence, qualitative confidence, and edit action. Low-confidence fields receive a targeted question; 'Not sure - do not use this field' is always available.</w:t>
      </w:r>
    </w:p>
    <w:p>
      <w:pPr>
        <w:spacing w:after="60"/>
      </w:pPr>
      <w:r>
        <w:rPr>
          <w:rFonts w:ascii="Aptos" w:hAnsi="Aptos"/>
          <w:b/>
          <w:i w:val="0"/>
          <w:color w:val="586069"/>
          <w:sz w:val="20"/>
        </w:rPr>
        <w:t xml:space="preserve">Primary action: </w:t>
      </w:r>
      <w:r>
        <w:rPr>
          <w:rFonts w:ascii="Aptos" w:hAnsi="Aptos"/>
          <w:b w:val="0"/>
          <w:i w:val="0"/>
          <w:color w:val="171B20"/>
          <w:sz w:val="20"/>
        </w:rPr>
        <w:t>Confirm requirement</w:t>
      </w:r>
    </w:p>
    <w:p>
      <w:pPr>
        <w:spacing w:after="60"/>
      </w:pPr>
      <w:r>
        <w:rPr>
          <w:rFonts w:ascii="Aptos" w:hAnsi="Aptos"/>
          <w:b/>
          <w:i w:val="0"/>
          <w:color w:val="586069"/>
          <w:sz w:val="20"/>
        </w:rPr>
        <w:t xml:space="preserve">Secondary actions: </w:t>
      </w:r>
      <w:r>
        <w:rPr>
          <w:rFonts w:ascii="Aptos" w:hAnsi="Aptos"/>
          <w:b w:val="0"/>
          <w:i w:val="0"/>
          <w:color w:val="171B20"/>
          <w:sz w:val="20"/>
        </w:rPr>
        <w:t>Save draft / Cancel intent</w:t>
      </w:r>
    </w:p>
    <w:p>
      <w:pPr>
        <w:spacing w:after="60"/>
      </w:pPr>
      <w:r>
        <w:rPr>
          <w:rFonts w:ascii="Aptos" w:hAnsi="Aptos"/>
          <w:b/>
          <w:i w:val="0"/>
          <w:color w:val="586069"/>
          <w:sz w:val="20"/>
        </w:rPr>
        <w:t xml:space="preserve">Required states: </w:t>
      </w:r>
      <w:r>
        <w:rPr>
          <w:rFonts w:ascii="Aptos" w:hAnsi="Aptos"/>
          <w:b w:val="0"/>
          <w:i w:val="0"/>
          <w:color w:val="171B20"/>
          <w:sz w:val="20"/>
        </w:rPr>
        <w:t>Ready; low-confidence question; validation error; conflicting evidence; offline draft.</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5F7F8"/>
            <w:tcMar>
              <w:top w:w="90" w:type="dxa"/>
              <w:start w:w="120" w:type="dxa"/>
              <w:bottom w:w="90" w:type="dxa"/>
              <w:end w:w="120" w:type="dxa"/>
            </w:tcMar>
            <w:vAlign w:val="center"/>
          </w:tcPr>
          <w:p>
            <w:pPr>
              <w:spacing w:after="60"/>
            </w:pPr>
            <w:r>
              <w:rPr>
                <w:rFonts w:ascii="Consolas" w:hAnsi="Consolas"/>
                <w:b/>
                <w:i w:val="0"/>
                <w:color w:val="586069"/>
                <w:sz w:val="17"/>
              </w:rPr>
              <w:t>ACCEPTANCE</w:t>
            </w:r>
          </w:p>
          <w:p>
            <w:pPr>
              <w:spacing w:after="0" w:line="271" w:lineRule="auto"/>
            </w:pPr>
            <w:r>
              <w:rPr>
                <w:rFonts w:ascii="Aptos" w:hAnsi="Aptos"/>
                <w:b w:val="0"/>
                <w:i w:val="0"/>
                <w:color w:val="171B20"/>
                <w:sz w:val="20"/>
              </w:rPr>
              <w:t>Confirmation is labeled as requirement confirmation, not disclosure or purchase authorization. Removing a field updates downstream research and preview versions.</w:t>
            </w:r>
          </w:p>
        </w:tc>
      </w:tr>
    </w:tbl>
    <w:p>
      <w:pPr>
        <w:spacing w:after="20"/>
      </w:pPr>
    </w:p>
    <w:p>
      <w:pPr>
        <w:pStyle w:val="Heading2"/>
        <w:keepNext/>
      </w:pPr>
      <w:r>
        <w:t>5.5 UX-04 - Market research progress</w:t>
      </w:r>
    </w:p>
    <w:p>
      <w:pPr>
        <w:spacing w:after="60"/>
      </w:pPr>
      <w:r>
        <w:rPr>
          <w:rFonts w:ascii="Aptos" w:hAnsi="Aptos"/>
          <w:b/>
          <w:i w:val="0"/>
          <w:color w:val="586069"/>
          <w:sz w:val="20"/>
        </w:rPr>
        <w:t xml:space="preserve">Delivery: </w:t>
      </w:r>
      <w:r>
        <w:rPr>
          <w:rFonts w:ascii="Aptos" w:hAnsi="Aptos"/>
          <w:b w:val="0"/>
          <w:i w:val="0"/>
          <w:color w:val="171B20"/>
          <w:sz w:val="20"/>
        </w:rPr>
        <w:t>G1</w:t>
      </w:r>
    </w:p>
    <w:p>
      <w:pPr>
        <w:spacing w:after="60"/>
      </w:pPr>
      <w:r>
        <w:rPr>
          <w:rFonts w:ascii="Aptos" w:hAnsi="Aptos"/>
          <w:b/>
          <w:i w:val="0"/>
          <w:color w:val="586069"/>
          <w:sz w:val="20"/>
        </w:rPr>
        <w:t xml:space="preserve">Purpose: </w:t>
      </w:r>
      <w:r>
        <w:rPr>
          <w:rFonts w:ascii="Aptos" w:hAnsi="Aptos"/>
          <w:b w:val="0"/>
          <w:i w:val="0"/>
          <w:color w:val="171B20"/>
          <w:sz w:val="20"/>
        </w:rPr>
        <w:t>Make background work legible without blocking or pretending the model is thinking.</w:t>
      </w:r>
    </w:p>
    <w:p>
      <w:pPr>
        <w:spacing w:after="60"/>
      </w:pPr>
      <w:r>
        <w:rPr>
          <w:rFonts w:ascii="Aptos" w:hAnsi="Aptos"/>
          <w:b/>
          <w:i w:val="0"/>
          <w:color w:val="586069"/>
          <w:sz w:val="20"/>
        </w:rPr>
        <w:t xml:space="preserve">Entry: </w:t>
      </w:r>
      <w:r>
        <w:rPr>
          <w:rFonts w:ascii="Aptos" w:hAnsi="Aptos"/>
          <w:b w:val="0"/>
          <w:i w:val="0"/>
          <w:color w:val="171B20"/>
          <w:sz w:val="20"/>
        </w:rPr>
        <w:t>After requirement confirmation.</w:t>
      </w:r>
    </w:p>
    <w:p>
      <w:pPr>
        <w:spacing w:after="60"/>
      </w:pPr>
      <w:r>
        <w:rPr>
          <w:rFonts w:ascii="Aptos" w:hAnsi="Aptos"/>
          <w:b/>
          <w:i w:val="0"/>
          <w:color w:val="586069"/>
          <w:sz w:val="20"/>
        </w:rPr>
        <w:t xml:space="preserve">Required content: </w:t>
      </w:r>
      <w:r>
        <w:rPr>
          <w:rFonts w:ascii="Aptos" w:hAnsi="Aptos"/>
          <w:b w:val="0"/>
          <w:i w:val="0"/>
          <w:color w:val="171B20"/>
          <w:sz w:val="20"/>
        </w:rPr>
        <w:t>Concrete tasks with status: validating service window; checking public options; normalizing fees; recording provenance; preparing disclosure preview. Privacy reassurance: 'Nothing has been sent to suppliers.'</w:t>
      </w:r>
    </w:p>
    <w:p>
      <w:pPr>
        <w:spacing w:after="60"/>
      </w:pPr>
      <w:r>
        <w:rPr>
          <w:rFonts w:ascii="Aptos" w:hAnsi="Aptos"/>
          <w:b/>
          <w:i w:val="0"/>
          <w:color w:val="586069"/>
          <w:sz w:val="20"/>
        </w:rPr>
        <w:t xml:space="preserve">Primary action: </w:t>
      </w:r>
      <w:r>
        <w:rPr>
          <w:rFonts w:ascii="Aptos" w:hAnsi="Aptos"/>
          <w:b w:val="0"/>
          <w:i w:val="0"/>
          <w:color w:val="171B20"/>
          <w:sz w:val="20"/>
        </w:rPr>
        <w:t>Notify me when ready</w:t>
      </w:r>
    </w:p>
    <w:p>
      <w:pPr>
        <w:spacing w:after="60"/>
      </w:pPr>
      <w:r>
        <w:rPr>
          <w:rFonts w:ascii="Aptos" w:hAnsi="Aptos"/>
          <w:b/>
          <w:i w:val="0"/>
          <w:color w:val="586069"/>
          <w:sz w:val="20"/>
        </w:rPr>
        <w:t xml:space="preserve">Secondary actions: </w:t>
      </w:r>
      <w:r>
        <w:rPr>
          <w:rFonts w:ascii="Aptos" w:hAnsi="Aptos"/>
          <w:b w:val="0"/>
          <w:i w:val="0"/>
          <w:color w:val="171B20"/>
          <w:sz w:val="20"/>
        </w:rPr>
        <w:t>View sourced market references / Cancel</w:t>
      </w:r>
    </w:p>
    <w:p>
      <w:pPr>
        <w:spacing w:after="60"/>
      </w:pPr>
      <w:r>
        <w:rPr>
          <w:rFonts w:ascii="Aptos" w:hAnsi="Aptos"/>
          <w:b/>
          <w:i w:val="0"/>
          <w:color w:val="586069"/>
          <w:sz w:val="20"/>
        </w:rPr>
        <w:t xml:space="preserve">Required states: </w:t>
      </w:r>
      <w:r>
        <w:rPr>
          <w:rFonts w:ascii="Aptos" w:hAnsi="Aptos"/>
          <w:b w:val="0"/>
          <w:i w:val="0"/>
          <w:color w:val="171B20"/>
          <w:sz w:val="20"/>
        </w:rPr>
        <w:t>In progress; partial research; provider failure; stale source; complete.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5F7F8"/>
            <w:tcMar>
              <w:top w:w="90" w:type="dxa"/>
              <w:start w:w="120" w:type="dxa"/>
              <w:bottom w:w="90" w:type="dxa"/>
              <w:end w:w="120" w:type="dxa"/>
            </w:tcMar>
            <w:vAlign w:val="center"/>
          </w:tcPr>
          <w:p>
            <w:pPr>
              <w:spacing w:after="60"/>
            </w:pPr>
            <w:r>
              <w:rPr>
                <w:rFonts w:ascii="Consolas" w:hAnsi="Consolas"/>
                <w:b/>
                <w:i w:val="0"/>
                <w:color w:val="586069"/>
                <w:sz w:val="17"/>
              </w:rPr>
              <w:t>ACCEPTANCE</w:t>
            </w:r>
          </w:p>
          <w:p>
            <w:pPr>
              <w:spacing w:after="0" w:line="271" w:lineRule="auto"/>
            </w:pPr>
            <w:r>
              <w:rPr>
                <w:rFonts w:ascii="Aptos" w:hAnsi="Aptos"/>
                <w:b w:val="0"/>
                <w:i w:val="0"/>
                <w:color w:val="171B20"/>
                <w:sz w:val="20"/>
              </w:rPr>
              <w:t>No indefinite spinner. Each reference shows source URL/provider, retrieval time, extracted fields, and confidence. Failure states identify what is affected and what remains safe.</w:t>
            </w:r>
          </w:p>
        </w:tc>
      </w:tr>
    </w:tbl>
    <w:p>
      <w:pPr>
        <w:spacing w:after="20"/>
      </w:pPr>
    </w:p>
    <w:p>
      <w:pPr>
        <w:pStyle w:val="Heading2"/>
        <w:keepNext/>
      </w:pPr>
      <w:r>
        <w:t>5.6 UX-05 - Disclosure Preview - Gate 1</w:t>
      </w:r>
    </w:p>
    <w:p>
      <w:pPr>
        <w:spacing w:after="60"/>
      </w:pPr>
      <w:r>
        <w:rPr>
          <w:rFonts w:ascii="Aptos" w:hAnsi="Aptos"/>
          <w:b/>
          <w:i w:val="0"/>
          <w:color w:val="586069"/>
          <w:sz w:val="20"/>
        </w:rPr>
        <w:t xml:space="preserve">Delivery: </w:t>
      </w:r>
      <w:r>
        <w:rPr>
          <w:rFonts w:ascii="Aptos" w:hAnsi="Aptos"/>
          <w:b w:val="0"/>
          <w:i w:val="0"/>
          <w:color w:val="171B20"/>
          <w:sz w:val="20"/>
        </w:rPr>
        <w:t>G1 - signature screen</w:t>
      </w:r>
    </w:p>
    <w:p>
      <w:pPr>
        <w:spacing w:after="60"/>
      </w:pPr>
      <w:r>
        <w:rPr>
          <w:rFonts w:ascii="Aptos" w:hAnsi="Aptos"/>
          <w:b/>
          <w:i w:val="0"/>
          <w:color w:val="586069"/>
          <w:sz w:val="20"/>
        </w:rPr>
        <w:t xml:space="preserve">Purpose: </w:t>
      </w:r>
      <w:r>
        <w:rPr>
          <w:rFonts w:ascii="Aptos" w:hAnsi="Aptos"/>
          <w:b w:val="0"/>
          <w:i w:val="0"/>
          <w:color w:val="171B20"/>
          <w:sz w:val="20"/>
        </w:rPr>
        <w:t>Make minimum disclosure inspectable and obtain a version-bound disclosure approval.</w:t>
      </w:r>
    </w:p>
    <w:p>
      <w:pPr>
        <w:spacing w:after="60"/>
      </w:pPr>
      <w:r>
        <w:rPr>
          <w:rFonts w:ascii="Aptos" w:hAnsi="Aptos"/>
          <w:b/>
          <w:i w:val="0"/>
          <w:color w:val="586069"/>
          <w:sz w:val="20"/>
        </w:rPr>
        <w:t xml:space="preserve">Entry: </w:t>
      </w:r>
      <w:r>
        <w:rPr>
          <w:rFonts w:ascii="Aptos" w:hAnsi="Aptos"/>
          <w:b w:val="0"/>
          <w:i w:val="0"/>
          <w:color w:val="171B20"/>
          <w:sz w:val="20"/>
        </w:rPr>
        <w:t>Research complete or user elects to continue without a baseline.</w:t>
      </w:r>
    </w:p>
    <w:p>
      <w:pPr>
        <w:spacing w:after="60"/>
      </w:pPr>
      <w:r>
        <w:rPr>
          <w:rFonts w:ascii="Aptos" w:hAnsi="Aptos"/>
          <w:b/>
          <w:i w:val="0"/>
          <w:color w:val="586069"/>
          <w:sz w:val="20"/>
        </w:rPr>
        <w:t>Required content: Task-scoped A2. Groups: 'Sent to suppliers' and 'Withheld requirement fields.' Preferences MUST NOT appear in either group and MUST NOT be offered for disclosure. Each sent requirement field shows value and why needed, plus purpose, recipients, hash, and expiry. Assurance: 'This shares only the requirement fields above. It does not reserve, buy, or charge anything.' Route: /intents/:intentId/tasks/:taskId/a2.</w:t>
      </w:r>
      <w:r>
        <w:rPr>
          <w:rFonts w:ascii="Aptos" w:hAnsi="Aptos"/>
          <w:b w:val="0"/>
          <w:i w:val="0"/>
          <w:color w:val="171B20"/>
          <w:sz w:val="20"/>
        </w:rPr>
      </w:r>
    </w:p>
    <w:p>
      <w:pPr>
        <w:spacing w:after="60"/>
      </w:pPr>
      <w:r>
        <w:rPr>
          <w:rFonts w:ascii="Aptos" w:hAnsi="Aptos"/>
          <w:b/>
          <w:i w:val="0"/>
          <w:color w:val="586069"/>
          <w:sz w:val="20"/>
        </w:rPr>
        <w:t xml:space="preserve">Primary action: </w:t>
      </w:r>
      <w:r>
        <w:rPr>
          <w:rFonts w:ascii="Aptos" w:hAnsi="Aptos"/>
          <w:b w:val="0"/>
          <w:i w:val="0"/>
          <w:color w:val="171B20"/>
          <w:sz w:val="20"/>
        </w:rPr>
        <w:t>Authorize disclosure to 3 suppliers</w:t>
      </w:r>
    </w:p>
    <w:p>
      <w:pPr>
        <w:spacing w:after="60"/>
      </w:pPr>
      <w:r>
        <w:rPr>
          <w:rFonts w:ascii="Aptos" w:hAnsi="Aptos"/>
          <w:b/>
          <w:i w:val="0"/>
          <w:color w:val="586069"/>
          <w:sz w:val="20"/>
        </w:rPr>
        <w:t xml:space="preserve">Secondary actions: </w:t>
      </w:r>
      <w:r>
        <w:rPr>
          <w:rFonts w:ascii="Aptos" w:hAnsi="Aptos"/>
          <w:b w:val="0"/>
          <w:i w:val="0"/>
          <w:color w:val="171B20"/>
          <w:sz w:val="20"/>
        </w:rPr>
        <w:t>Edit requirement / Cancel</w:t>
      </w:r>
    </w:p>
    <w:p>
      <w:pPr>
        <w:spacing w:after="60"/>
      </w:pPr>
      <w:r>
        <w:rPr>
          <w:rFonts w:ascii="Aptos" w:hAnsi="Aptos"/>
          <w:b/>
          <w:i w:val="0"/>
          <w:color w:val="586069"/>
          <w:sz w:val="20"/>
        </w:rPr>
        <w:t xml:space="preserve">Required states: </w:t>
      </w:r>
      <w:r>
        <w:rPr>
          <w:rFonts w:ascii="Aptos" w:hAnsi="Aptos"/>
          <w:b w:val="0"/>
          <w:i w:val="0"/>
          <w:color w:val="171B20"/>
          <w:sz w:val="20"/>
        </w:rPr>
        <w:t>Ready; approval expired; requirement changed; recipient set changed; offline-disabled; policy rejected.</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5F7F8"/>
            <w:tcMar>
              <w:top w:w="90" w:type="dxa"/>
              <w:start w:w="120" w:type="dxa"/>
              <w:bottom w:w="90" w:type="dxa"/>
              <w:end w:w="120" w:type="dxa"/>
            </w:tcMar>
            <w:vAlign w:val="center"/>
          </w:tcPr>
          <w:p>
            <w:pPr>
              <w:spacing w:after="60"/>
            </w:pPr>
            <w:r>
              <w:rPr>
                <w:rFonts w:ascii="Consolas" w:hAnsi="Consolas"/>
                <w:b/>
                <w:i w:val="0"/>
                <w:color w:val="586069"/>
                <w:sz w:val="17"/>
              </w:rPr>
              <w:t>ACCEPTANCE | Approval binds payload hash, version, purpose, recipient scope/count, and expiry. Any material change invalidates approval. Identity, raw content, itinerary, precise budget, payment, and address remain withheld requirement/PII fields. Preferences and preference history are never A2 candidates and MUST NOT be presented as electable withheld fields.</w:t>
            </w:r>
          </w:p>
          <w:p>
            <w:pPr>
              <w:spacing w:after="0" w:line="271" w:lineRule="auto"/>
            </w:pPr>
            <w:r>
              <w:rPr>
                <w:rFonts w:ascii="Aptos" w:hAnsi="Aptos"/>
                <w:b w:val="0"/>
                <w:i w:val="0"/>
                <w:color w:val="171B20"/>
                <w:sz w:val="20"/>
              </w:rPr>
            </w:r>
          </w:p>
        </w:tc>
      </w:tr>
    </w:tbl>
    <w:p>
      <w:pPr>
        <w:spacing w:after="20"/>
      </w:pPr>
    </w:p>
    <w:p>
      <w:pPr>
        <w:pStyle w:val="Heading2"/>
        <w:keepNext/>
      </w:pPr>
      <w:r>
        <w:t>5.7 UX-06 - Private supplier progress</w:t>
      </w:r>
    </w:p>
    <w:p>
      <w:pPr>
        <w:spacing w:after="60"/>
      </w:pPr>
      <w:r>
        <w:rPr>
          <w:rFonts w:ascii="Aptos" w:hAnsi="Aptos"/>
          <w:b/>
          <w:i w:val="0"/>
          <w:color w:val="586069"/>
          <w:sz w:val="20"/>
        </w:rPr>
        <w:t xml:space="preserve">Delivery: </w:t>
      </w:r>
      <w:r>
        <w:rPr>
          <w:rFonts w:ascii="Aptos" w:hAnsi="Aptos"/>
          <w:b w:val="0"/>
          <w:i w:val="0"/>
          <w:color w:val="171B20"/>
          <w:sz w:val="20"/>
        </w:rPr>
        <w:t>G1</w:t>
      </w:r>
    </w:p>
    <w:p>
      <w:pPr>
        <w:spacing w:after="60"/>
      </w:pPr>
      <w:r>
        <w:rPr>
          <w:rFonts w:ascii="Aptos" w:hAnsi="Aptos"/>
          <w:b/>
          <w:i w:val="0"/>
          <w:color w:val="586069"/>
          <w:sz w:val="20"/>
        </w:rPr>
        <w:t xml:space="preserve">Purpose: </w:t>
      </w:r>
      <w:r>
        <w:rPr>
          <w:rFonts w:ascii="Aptos" w:hAnsi="Aptos"/>
          <w:b w:val="0"/>
          <w:i w:val="0"/>
          <w:color w:val="171B20"/>
          <w:sz w:val="20"/>
        </w:rPr>
        <w:t>Demonstrate independent supplier work and support partial results without fake real-time bidding.</w:t>
      </w:r>
    </w:p>
    <w:p>
      <w:pPr>
        <w:spacing w:after="60"/>
      </w:pPr>
      <w:r>
        <w:rPr>
          <w:rFonts w:ascii="Aptos" w:hAnsi="Aptos"/>
          <w:b/>
          <w:i w:val="0"/>
          <w:color w:val="586069"/>
          <w:sz w:val="20"/>
        </w:rPr>
        <w:t xml:space="preserve">Entry: </w:t>
      </w:r>
      <w:r>
        <w:rPr>
          <w:rFonts w:ascii="Aptos" w:hAnsi="Aptos"/>
          <w:b w:val="0"/>
          <w:i w:val="0"/>
          <w:color w:val="171B20"/>
          <w:sz w:val="20"/>
        </w:rPr>
        <w:t>After successful Gate 1 dispatch.</w:t>
      </w:r>
    </w:p>
    <w:p>
      <w:pPr>
        <w:spacing w:after="60"/>
      </w:pPr>
      <w:r>
        <w:rPr>
          <w:rFonts w:ascii="Aptos" w:hAnsi="Aptos"/>
          <w:b/>
          <w:i w:val="0"/>
          <w:color w:val="586069"/>
          <w:sz w:val="20"/>
        </w:rPr>
        <w:t xml:space="preserve">Required content: </w:t>
      </w:r>
      <w:r>
        <w:rPr>
          <w:rFonts w:ascii="Aptos" w:hAnsi="Aptos"/>
          <w:b w:val="0"/>
          <w:i w:val="0"/>
          <w:color w:val="171B20"/>
          <w:sz w:val="20"/>
        </w:rPr>
        <w:t>One lane per supplier with sent, received, preparing, responded, declined, or timed-out state. Trust statement: 'Each supplier received the same minimized request. Suppliers cannot see one another or another offer.'</w:t>
      </w:r>
    </w:p>
    <w:p>
      <w:pPr>
        <w:spacing w:after="60"/>
      </w:pPr>
      <w:r>
        <w:rPr>
          <w:rFonts w:ascii="Aptos" w:hAnsi="Aptos"/>
          <w:b/>
          <w:i w:val="0"/>
          <w:color w:val="586069"/>
          <w:sz w:val="20"/>
        </w:rPr>
        <w:t xml:space="preserve">Primary action: </w:t>
      </w:r>
      <w:r>
        <w:rPr>
          <w:rFonts w:ascii="Aptos" w:hAnsi="Aptos"/>
          <w:b w:val="0"/>
          <w:i w:val="0"/>
          <w:color w:val="171B20"/>
          <w:sz w:val="20"/>
        </w:rPr>
        <w:t>When eligible: Review available offers</w:t>
      </w:r>
    </w:p>
    <w:p>
      <w:pPr>
        <w:spacing w:after="60"/>
      </w:pPr>
      <w:r>
        <w:rPr>
          <w:rFonts w:ascii="Aptos" w:hAnsi="Aptos"/>
          <w:b/>
          <w:i w:val="0"/>
          <w:color w:val="586069"/>
          <w:sz w:val="20"/>
        </w:rPr>
        <w:t xml:space="preserve">Secondary actions: </w:t>
      </w:r>
      <w:r>
        <w:rPr>
          <w:rFonts w:ascii="Aptos" w:hAnsi="Aptos"/>
          <w:b w:val="0"/>
          <w:i w:val="0"/>
          <w:color w:val="171B20"/>
          <w:sz w:val="20"/>
        </w:rPr>
        <w:t>Wait / Cancel active request</w:t>
      </w:r>
    </w:p>
    <w:p>
      <w:pPr>
        <w:spacing w:after="60"/>
      </w:pPr>
      <w:r>
        <w:rPr>
          <w:rFonts w:ascii="Aptos" w:hAnsi="Aptos"/>
          <w:b/>
          <w:i w:val="0"/>
          <w:color w:val="586069"/>
          <w:sz w:val="20"/>
        </w:rPr>
        <w:t xml:space="preserve">Required states: </w:t>
      </w:r>
      <w:r>
        <w:rPr>
          <w:rFonts w:ascii="Aptos" w:hAnsi="Aptos"/>
          <w:b w:val="0"/>
          <w:i w:val="0"/>
          <w:color w:val="171B20"/>
          <w:sz w:val="20"/>
        </w:rPr>
        <w:t>0/3; 1/3; 2/3 eligible; 3/3; decline; timeout; validation failure; dispatch failure.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5F7F8"/>
            <w:tcMar>
              <w:top w:w="90" w:type="dxa"/>
              <w:start w:w="120" w:type="dxa"/>
              <w:bottom w:w="90" w:type="dxa"/>
              <w:end w:w="120" w:type="dxa"/>
            </w:tcMar>
            <w:vAlign w:val="center"/>
          </w:tcPr>
          <w:p>
            <w:pPr>
              <w:spacing w:after="60"/>
            </w:pPr>
            <w:r>
              <w:rPr>
                <w:rFonts w:ascii="Consolas" w:hAnsi="Consolas"/>
                <w:b/>
                <w:i w:val="0"/>
                <w:color w:val="586069"/>
                <w:sz w:val="17"/>
              </w:rPr>
              <w:t>ACCEPTANCE</w:t>
            </w:r>
          </w:p>
          <w:p>
            <w:pPr>
              <w:spacing w:after="0" w:line="271" w:lineRule="auto"/>
            </w:pPr>
            <w:r>
              <w:rPr>
                <w:rFonts w:ascii="Aptos" w:hAnsi="Aptos"/>
                <w:b w:val="0"/>
                <w:i w:val="0"/>
                <w:color w:val="171B20"/>
                <w:sz w:val="20"/>
              </w:rPr>
              <w:t>Supplier identity may be shown to the buyer; isolation does not require buyer-facing anonymity. No supplier rate appears until that supplier submits. At least two eligible offers are required for normal comparison unless the user explicitly accepts a one-offer fallback.</w:t>
            </w:r>
          </w:p>
        </w:tc>
      </w:tr>
    </w:tbl>
    <w:p>
      <w:pPr>
        <w:spacing w:after="20"/>
      </w:pPr>
    </w:p>
    <w:p>
      <w:pPr>
        <w:pStyle w:val="Heading2"/>
        <w:keepNext/>
      </w:pPr>
      <w:r>
        <w:t>5.8 UX-07 - Decision Ready recommendation</w:t>
      </w:r>
    </w:p>
    <w:p>
      <w:pPr>
        <w:spacing w:after="60"/>
      </w:pPr>
      <w:r>
        <w:rPr>
          <w:rFonts w:ascii="Aptos" w:hAnsi="Aptos"/>
          <w:b/>
          <w:i w:val="0"/>
          <w:color w:val="586069"/>
          <w:sz w:val="20"/>
        </w:rPr>
        <w:t xml:space="preserve">Delivery: </w:t>
      </w:r>
      <w:r>
        <w:rPr>
          <w:rFonts w:ascii="Aptos" w:hAnsi="Aptos"/>
          <w:b w:val="0"/>
          <w:i w:val="0"/>
          <w:color w:val="171B20"/>
          <w:sz w:val="20"/>
        </w:rPr>
        <w:t>G1</w:t>
      </w:r>
    </w:p>
    <w:p>
      <w:pPr>
        <w:spacing w:after="60"/>
      </w:pPr>
      <w:r>
        <w:rPr>
          <w:rFonts w:ascii="Aptos" w:hAnsi="Aptos"/>
          <w:b/>
          <w:i w:val="0"/>
          <w:color w:val="586069"/>
          <w:sz w:val="20"/>
        </w:rPr>
        <w:t xml:space="preserve">Purpose: </w:t>
      </w:r>
      <w:r>
        <w:rPr>
          <w:rFonts w:ascii="Aptos" w:hAnsi="Aptos"/>
          <w:b w:val="0"/>
          <w:i w:val="0"/>
          <w:color w:val="171B20"/>
          <w:sz w:val="20"/>
        </w:rPr>
        <w:t>Return one clear recommendation after background work while preserving user agency.</w:t>
      </w:r>
    </w:p>
    <w:p>
      <w:pPr>
        <w:spacing w:after="60"/>
      </w:pPr>
      <w:r>
        <w:rPr>
          <w:rFonts w:ascii="Aptos" w:hAnsi="Aptos"/>
          <w:b/>
          <w:i w:val="0"/>
          <w:color w:val="586069"/>
          <w:sz w:val="20"/>
        </w:rPr>
        <w:t xml:space="preserve">Entry: </w:t>
      </w:r>
      <w:r>
        <w:rPr>
          <w:rFonts w:ascii="Aptos" w:hAnsi="Aptos"/>
          <w:b w:val="0"/>
          <w:i w:val="0"/>
          <w:color w:val="171B20"/>
          <w:sz w:val="20"/>
        </w:rPr>
        <w:t>Decision-ready push/deep link or Inbox card.</w:t>
      </w:r>
    </w:p>
    <w:p>
      <w:pPr>
        <w:spacing w:after="60"/>
      </w:pPr>
      <w:r>
        <w:rPr>
          <w:rFonts w:ascii="Aptos" w:hAnsi="Aptos"/>
          <w:b/>
          <w:i w:val="0"/>
          <w:color w:val="586069"/>
          <w:sz w:val="20"/>
        </w:rPr>
        <w:t xml:space="preserve">Required content: </w:t>
      </w:r>
      <w:r>
        <w:rPr>
          <w:rFonts w:ascii="Aptos" w:hAnsi="Aptos"/>
          <w:b w:val="0"/>
          <w:i w:val="0"/>
          <w:color w:val="171B20"/>
          <w:sz w:val="20"/>
        </w:rPr>
        <w:t>Recommended supplier and product, all-in total, qualitative fit, three plain reasons, one important downside, preference-influence chips, validity, and two alternatives summarized by their distinguishing tradeoff.</w:t>
      </w:r>
    </w:p>
    <w:p>
      <w:pPr>
        <w:spacing w:after="60"/>
      </w:pPr>
      <w:r>
        <w:rPr>
          <w:rFonts w:ascii="Aptos" w:hAnsi="Aptos"/>
          <w:b/>
          <w:i w:val="0"/>
          <w:color w:val="586069"/>
          <w:sz w:val="20"/>
        </w:rPr>
        <w:t xml:space="preserve">Primary action: </w:t>
      </w:r>
      <w:r>
        <w:rPr>
          <w:rFonts w:ascii="Aptos" w:hAnsi="Aptos"/>
          <w:b w:val="0"/>
          <w:i w:val="0"/>
          <w:color w:val="171B20"/>
          <w:sz w:val="20"/>
        </w:rPr>
        <w:t>Compare all offers</w:t>
      </w:r>
    </w:p>
    <w:p>
      <w:pPr>
        <w:spacing w:after="60"/>
      </w:pPr>
      <w:r>
        <w:rPr>
          <w:rFonts w:ascii="Aptos" w:hAnsi="Aptos"/>
          <w:b/>
          <w:i w:val="0"/>
          <w:color w:val="586069"/>
          <w:sz w:val="20"/>
        </w:rPr>
        <w:t xml:space="preserve">Secondary actions: </w:t>
      </w:r>
      <w:r>
        <w:rPr>
          <w:rFonts w:ascii="Aptos" w:hAnsi="Aptos"/>
          <w:b w:val="0"/>
          <w:i w:val="0"/>
          <w:color w:val="171B20"/>
          <w:sz w:val="20"/>
        </w:rPr>
        <w:t>Select recommendation</w:t>
      </w:r>
    </w:p>
    <w:p>
      <w:pPr>
        <w:spacing w:after="60"/>
      </w:pPr>
      <w:r>
        <w:rPr>
          <w:rFonts w:ascii="Aptos" w:hAnsi="Aptos"/>
          <w:b/>
          <w:i w:val="0"/>
          <w:color w:val="586069"/>
          <w:sz w:val="20"/>
        </w:rPr>
        <w:t xml:space="preserve">Required states: </w:t>
      </w:r>
      <w:r>
        <w:rPr>
          <w:rFonts w:ascii="Aptos" w:hAnsi="Aptos"/>
          <w:b w:val="0"/>
          <w:i w:val="0"/>
          <w:color w:val="171B20"/>
          <w:sz w:val="20"/>
        </w:rPr>
        <w:t>Complete; partial-result recommendation; expiring; refreshed; changed recommendation; no eligible offer.</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5F7F8"/>
            <w:tcMar>
              <w:top w:w="90" w:type="dxa"/>
              <w:start w:w="120" w:type="dxa"/>
              <w:bottom w:w="90" w:type="dxa"/>
              <w:end w:w="120" w:type="dxa"/>
            </w:tcMar>
            <w:vAlign w:val="center"/>
          </w:tcPr>
          <w:p>
            <w:pPr>
              <w:spacing w:after="60"/>
            </w:pPr>
            <w:r>
              <w:rPr>
                <w:rFonts w:ascii="Consolas" w:hAnsi="Consolas"/>
                <w:b/>
                <w:i w:val="0"/>
                <w:color w:val="586069"/>
                <w:sz w:val="17"/>
              </w:rPr>
              <w:t>ACCEPTANCE</w:t>
            </w:r>
          </w:p>
          <w:p>
            <w:pPr>
              <w:spacing w:after="0" w:line="271" w:lineRule="auto"/>
            </w:pPr>
            <w:r>
              <w:rPr>
                <w:rFonts w:ascii="Aptos" w:hAnsi="Aptos"/>
                <w:b w:val="0"/>
                <w:i w:val="0"/>
                <w:color w:val="171B20"/>
                <w:sz w:val="20"/>
              </w:rPr>
              <w:t>No numerical fit score. Recommendation reasons map to validated facts and preference assertions. Missing data is never treated favorably. The downside appears without expansion.</w:t>
            </w:r>
          </w:p>
        </w:tc>
      </w:tr>
    </w:tbl>
    <w:p>
      <w:pPr>
        <w:spacing w:after="20"/>
      </w:pPr>
    </w:p>
    <w:p>
      <w:pPr>
        <w:pStyle w:val="Heading2"/>
        <w:keepNext/>
      </w:pPr>
      <w:r>
        <w:t>5.9 UX-08 - Multidimensional offer comparison</w:t>
      </w:r>
    </w:p>
    <w:p>
      <w:pPr>
        <w:spacing w:after="60"/>
      </w:pPr>
      <w:r>
        <w:rPr>
          <w:rFonts w:ascii="Aptos" w:hAnsi="Aptos"/>
          <w:b/>
          <w:i w:val="0"/>
          <w:color w:val="586069"/>
          <w:sz w:val="20"/>
        </w:rPr>
        <w:t xml:space="preserve">Delivery: </w:t>
      </w:r>
      <w:r>
        <w:rPr>
          <w:rFonts w:ascii="Aptos" w:hAnsi="Aptos"/>
          <w:b w:val="0"/>
          <w:i w:val="0"/>
          <w:color w:val="171B20"/>
          <w:sz w:val="20"/>
        </w:rPr>
        <w:t>G1</w:t>
      </w:r>
    </w:p>
    <w:p>
      <w:pPr>
        <w:spacing w:after="60"/>
      </w:pPr>
      <w:r>
        <w:rPr>
          <w:rFonts w:ascii="Aptos" w:hAnsi="Aptos"/>
          <w:b/>
          <w:i w:val="0"/>
          <w:color w:val="586069"/>
          <w:sz w:val="20"/>
        </w:rPr>
        <w:t xml:space="preserve">Purpose: </w:t>
      </w:r>
      <w:r>
        <w:rPr>
          <w:rFonts w:ascii="Aptos" w:hAnsi="Aptos"/>
          <w:b w:val="0"/>
          <w:i w:val="0"/>
          <w:color w:val="171B20"/>
          <w:sz w:val="20"/>
        </w:rPr>
        <w:t>Allow a fair comparison of normalized private offers and public reference options.</w:t>
      </w:r>
    </w:p>
    <w:p>
      <w:pPr>
        <w:spacing w:after="60"/>
      </w:pPr>
      <w:r>
        <w:rPr>
          <w:rFonts w:ascii="Aptos" w:hAnsi="Aptos"/>
          <w:b/>
          <w:i w:val="0"/>
          <w:color w:val="586069"/>
          <w:sz w:val="20"/>
        </w:rPr>
        <w:t xml:space="preserve">Entry: </w:t>
      </w:r>
      <w:r>
        <w:rPr>
          <w:rFonts w:ascii="Aptos" w:hAnsi="Aptos"/>
          <w:b w:val="0"/>
          <w:i w:val="0"/>
          <w:color w:val="171B20"/>
          <w:sz w:val="20"/>
        </w:rPr>
        <w:t>Decision Ready or offer detail.</w:t>
      </w:r>
    </w:p>
    <w:p>
      <w:pPr>
        <w:spacing w:after="60"/>
      </w:pPr>
      <w:r>
        <w:rPr>
          <w:rFonts w:ascii="Aptos" w:hAnsi="Aptos"/>
          <w:b/>
          <w:i w:val="0"/>
          <w:color w:val="586069"/>
          <w:sz w:val="20"/>
        </w:rPr>
        <w:t xml:space="preserve">Required content: </w:t>
      </w:r>
      <w:r>
        <w:rPr>
          <w:rFonts w:ascii="Aptos" w:hAnsi="Aptos"/>
          <w:b w:val="0"/>
          <w:i w:val="0"/>
          <w:color w:val="171B20"/>
          <w:sz w:val="20"/>
        </w:rPr>
        <w:t>Dimensions: all-in total, base/fees details, cancellation, shuttle time/frequency, distance, covered, EV availability, operating hours, accessibility, availability, offer validity, provenance/confidence, and notable restrictions. Public references are labeled 'Market reference'; supplier outputs are labeled 'Private simulated offer.'</w:t>
      </w:r>
    </w:p>
    <w:p>
      <w:pPr>
        <w:spacing w:after="60"/>
      </w:pPr>
      <w:r>
        <w:rPr>
          <w:rFonts w:ascii="Aptos" w:hAnsi="Aptos"/>
          <w:b/>
          <w:i w:val="0"/>
          <w:color w:val="586069"/>
          <w:sz w:val="20"/>
        </w:rPr>
        <w:t xml:space="preserve">Primary action: </w:t>
      </w:r>
      <w:r>
        <w:rPr>
          <w:rFonts w:ascii="Aptos" w:hAnsi="Aptos"/>
          <w:b w:val="0"/>
          <w:i w:val="0"/>
          <w:color w:val="171B20"/>
          <w:sz w:val="20"/>
        </w:rPr>
        <w:t>Choose [supplier] - [total]</w:t>
      </w:r>
    </w:p>
    <w:p>
      <w:pPr>
        <w:spacing w:after="60"/>
      </w:pPr>
      <w:r>
        <w:rPr>
          <w:rFonts w:ascii="Aptos" w:hAnsi="Aptos"/>
          <w:b/>
          <w:i w:val="0"/>
          <w:color w:val="586069"/>
          <w:sz w:val="20"/>
        </w:rPr>
        <w:t xml:space="preserve">Secondary actions: </w:t>
      </w:r>
      <w:r>
        <w:rPr>
          <w:rFonts w:ascii="Aptos" w:hAnsi="Aptos"/>
          <w:b w:val="0"/>
          <w:i w:val="0"/>
          <w:color w:val="171B20"/>
          <w:sz w:val="20"/>
        </w:rPr>
        <w:t>Return to recommendation</w:t>
      </w:r>
    </w:p>
    <w:p>
      <w:pPr>
        <w:spacing w:after="60"/>
      </w:pPr>
      <w:r>
        <w:rPr>
          <w:rFonts w:ascii="Aptos" w:hAnsi="Aptos"/>
          <w:b/>
          <w:i w:val="0"/>
          <w:color w:val="586069"/>
          <w:sz w:val="20"/>
        </w:rPr>
        <w:t xml:space="preserve">Required states: </w:t>
      </w:r>
      <w:r>
        <w:rPr>
          <w:rFonts w:ascii="Aptos" w:hAnsi="Aptos"/>
          <w:b w:val="0"/>
          <w:i w:val="0"/>
          <w:color w:val="171B20"/>
          <w:sz w:val="20"/>
        </w:rPr>
        <w:t>Three offers; two offers; missing field; offer expired; changed offer; horizontal overflow handled accessibly.</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5F7F8"/>
            <w:tcMar>
              <w:top w:w="90" w:type="dxa"/>
              <w:start w:w="120" w:type="dxa"/>
              <w:bottom w:w="90" w:type="dxa"/>
              <w:end w:w="120" w:type="dxa"/>
            </w:tcMar>
            <w:vAlign w:val="center"/>
          </w:tcPr>
          <w:p>
            <w:pPr>
              <w:spacing w:after="60"/>
            </w:pPr>
            <w:r>
              <w:rPr>
                <w:rFonts w:ascii="Consolas" w:hAnsi="Consolas"/>
                <w:b/>
                <w:i w:val="0"/>
                <w:color w:val="586069"/>
                <w:sz w:val="17"/>
              </w:rPr>
              <w:t>ACCEPTANCE</w:t>
            </w:r>
          </w:p>
          <w:p>
            <w:pPr>
              <w:spacing w:after="0" w:line="271" w:lineRule="auto"/>
            </w:pPr>
            <w:r>
              <w:rPr>
                <w:rFonts w:ascii="Aptos" w:hAnsi="Aptos"/>
                <w:b w:val="0"/>
                <w:i w:val="0"/>
                <w:color w:val="171B20"/>
                <w:sz w:val="20"/>
              </w:rPr>
              <w:t>Recommended column is visually pinned but alternatives remain equally operable. 'Not provided' is distinct from No. The table has real headers on web; mobile uses complete stacked cards, not a clipped table.</w:t>
            </w:r>
          </w:p>
        </w:tc>
      </w:tr>
    </w:tbl>
    <w:p>
      <w:pPr>
        <w:spacing w:after="20"/>
      </w:pPr>
    </w:p>
    <w:p>
      <w:pPr>
        <w:pStyle w:val="Heading2"/>
        <w:keepNext/>
      </w:pPr>
      <w:r>
        <w:t>5.10 UX-09 - Offer detail and selection</w:t>
      </w:r>
    </w:p>
    <w:p>
      <w:pPr>
        <w:spacing w:after="60"/>
      </w:pPr>
      <w:r>
        <w:rPr>
          <w:rFonts w:ascii="Aptos" w:hAnsi="Aptos"/>
          <w:b/>
          <w:i w:val="0"/>
          <w:color w:val="586069"/>
          <w:sz w:val="20"/>
        </w:rPr>
        <w:t xml:space="preserve">Delivery: </w:t>
      </w:r>
      <w:r>
        <w:rPr>
          <w:rFonts w:ascii="Aptos" w:hAnsi="Aptos"/>
          <w:b w:val="0"/>
          <w:i w:val="0"/>
          <w:color w:val="171B20"/>
          <w:sz w:val="20"/>
        </w:rPr>
        <w:t>G1</w:t>
      </w:r>
    </w:p>
    <w:p>
      <w:pPr>
        <w:spacing w:after="60"/>
      </w:pPr>
      <w:r>
        <w:rPr>
          <w:rFonts w:ascii="Aptos" w:hAnsi="Aptos"/>
          <w:b/>
          <w:i w:val="0"/>
          <w:color w:val="586069"/>
          <w:sz w:val="20"/>
        </w:rPr>
        <w:t xml:space="preserve">Purpose: </w:t>
      </w:r>
      <w:r>
        <w:rPr>
          <w:rFonts w:ascii="Aptos" w:hAnsi="Aptos"/>
          <w:b w:val="0"/>
          <w:i w:val="0"/>
          <w:color w:val="171B20"/>
          <w:sz w:val="20"/>
        </w:rPr>
        <w:t>Show full terms and let the user select an eligible offer without implying authorization.</w:t>
      </w:r>
    </w:p>
    <w:p>
      <w:pPr>
        <w:spacing w:after="60"/>
      </w:pPr>
      <w:r>
        <w:rPr>
          <w:rFonts w:ascii="Aptos" w:hAnsi="Aptos"/>
          <w:b/>
          <w:i w:val="0"/>
          <w:color w:val="586069"/>
          <w:sz w:val="20"/>
        </w:rPr>
        <w:t xml:space="preserve">Entry: </w:t>
      </w:r>
      <w:r>
        <w:rPr>
          <w:rFonts w:ascii="Aptos" w:hAnsi="Aptos"/>
          <w:b w:val="0"/>
          <w:i w:val="0"/>
          <w:color w:val="171B20"/>
          <w:sz w:val="20"/>
        </w:rPr>
        <w:t>Recommendation, comparison, or audit link.</w:t>
      </w:r>
    </w:p>
    <w:p>
      <w:pPr>
        <w:spacing w:after="60"/>
      </w:pPr>
      <w:r>
        <w:rPr>
          <w:rFonts w:ascii="Aptos" w:hAnsi="Aptos"/>
          <w:b/>
          <w:i w:val="0"/>
          <w:color w:val="586069"/>
          <w:sz w:val="20"/>
        </w:rPr>
        <w:t xml:space="preserve">Required content: </w:t>
      </w:r>
      <w:r>
        <w:rPr>
          <w:rFonts w:ascii="Aptos" w:hAnsi="Aptos"/>
          <w:b w:val="0"/>
          <w:i w:val="0"/>
          <w:color w:val="171B20"/>
          <w:sz w:val="20"/>
        </w:rPr>
        <w:t>Supplier identity, simulation label, itemized total, service details, cancellation/refund terms, restrictions, evidence/provenance, validity, and offer version.</w:t>
      </w:r>
    </w:p>
    <w:p>
      <w:pPr>
        <w:spacing w:after="60"/>
      </w:pPr>
      <w:r>
        <w:rPr>
          <w:rFonts w:ascii="Aptos" w:hAnsi="Aptos"/>
          <w:b/>
          <w:i w:val="0"/>
          <w:color w:val="586069"/>
          <w:sz w:val="20"/>
        </w:rPr>
        <w:t xml:space="preserve">Primary action: </w:t>
      </w:r>
      <w:r>
        <w:rPr>
          <w:rFonts w:ascii="Aptos" w:hAnsi="Aptos"/>
          <w:b w:val="0"/>
          <w:i w:val="0"/>
          <w:color w:val="171B20"/>
          <w:sz w:val="20"/>
        </w:rPr>
        <w:t>Select this offer</w:t>
      </w:r>
    </w:p>
    <w:p>
      <w:pPr>
        <w:spacing w:after="60"/>
      </w:pPr>
      <w:r>
        <w:rPr>
          <w:rFonts w:ascii="Aptos" w:hAnsi="Aptos"/>
          <w:b/>
          <w:i w:val="0"/>
          <w:color w:val="586069"/>
          <w:sz w:val="20"/>
        </w:rPr>
        <w:t xml:space="preserve">Secondary actions: </w:t>
      </w:r>
      <w:r>
        <w:rPr>
          <w:rFonts w:ascii="Aptos" w:hAnsi="Aptos"/>
          <w:b w:val="0"/>
          <w:i w:val="0"/>
          <w:color w:val="171B20"/>
          <w:sz w:val="20"/>
        </w:rPr>
        <w:t>Back to comparison</w:t>
      </w:r>
    </w:p>
    <w:p>
      <w:pPr>
        <w:spacing w:after="60"/>
      </w:pPr>
      <w:r>
        <w:rPr>
          <w:rFonts w:ascii="Aptos" w:hAnsi="Aptos"/>
          <w:b/>
          <w:i w:val="0"/>
          <w:color w:val="586069"/>
          <w:sz w:val="20"/>
        </w:rPr>
        <w:t xml:space="preserve">Required states: </w:t>
      </w:r>
      <w:r>
        <w:rPr>
          <w:rFonts w:ascii="Aptos" w:hAnsi="Aptos"/>
          <w:b w:val="0"/>
          <w:i w:val="0"/>
          <w:color w:val="171B20"/>
          <w:sz w:val="20"/>
        </w:rPr>
        <w:t>Eligible; expired; superseded; missing required term; supplier withdrawn.</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5F7F8"/>
            <w:tcMar>
              <w:top w:w="90" w:type="dxa"/>
              <w:start w:w="120" w:type="dxa"/>
              <w:bottom w:w="90" w:type="dxa"/>
              <w:end w:w="120" w:type="dxa"/>
            </w:tcMar>
            <w:vAlign w:val="center"/>
          </w:tcPr>
          <w:p>
            <w:pPr>
              <w:spacing w:after="60"/>
            </w:pPr>
            <w:r>
              <w:rPr>
                <w:rFonts w:ascii="Consolas" w:hAnsi="Consolas"/>
                <w:b/>
                <w:i w:val="0"/>
                <w:color w:val="586069"/>
                <w:sz w:val="17"/>
              </w:rPr>
              <w:t>ACCEPTANCE</w:t>
            </w:r>
          </w:p>
          <w:p>
            <w:pPr>
              <w:spacing w:after="0" w:line="271" w:lineRule="auto"/>
            </w:pPr>
            <w:r>
              <w:rPr>
                <w:rFonts w:ascii="Aptos" w:hAnsi="Aptos"/>
                <w:b w:val="0"/>
                <w:i w:val="0"/>
                <w:color w:val="171B20"/>
                <w:sz w:val="20"/>
              </w:rPr>
              <w:t>Selection creates A3 only. Copy states 'Selection does not reserve or charge anything.' Expired or superseded offers cannot be selected.</w:t>
            </w:r>
          </w:p>
        </w:tc>
      </w:tr>
    </w:tbl>
    <w:p>
      <w:pPr>
        <w:spacing w:after="20"/>
      </w:pPr>
    </w:p>
    <w:p>
      <w:pPr>
        <w:pStyle w:val="Heading2"/>
        <w:keepNext/>
      </w:pPr>
      <w:r>
        <w:t>5.11 UX-10 - Final Transaction Authorization - Gate 2</w:t>
      </w:r>
    </w:p>
    <w:p>
      <w:pPr>
        <w:spacing w:after="60"/>
      </w:pPr>
      <w:r>
        <w:rPr>
          <w:rFonts w:ascii="Aptos" w:hAnsi="Aptos"/>
          <w:b/>
          <w:i w:val="0"/>
          <w:color w:val="586069"/>
          <w:sz w:val="20"/>
        </w:rPr>
        <w:t xml:space="preserve">Delivery: </w:t>
      </w:r>
      <w:r>
        <w:rPr>
          <w:rFonts w:ascii="Aptos" w:hAnsi="Aptos"/>
          <w:b w:val="0"/>
          <w:i w:val="0"/>
          <w:color w:val="171B20"/>
          <w:sz w:val="20"/>
        </w:rPr>
        <w:t>G1 - signature screen</w:t>
      </w:r>
    </w:p>
    <w:p>
      <w:pPr>
        <w:spacing w:after="60"/>
      </w:pPr>
      <w:r>
        <w:rPr>
          <w:rFonts w:ascii="Aptos" w:hAnsi="Aptos"/>
          <w:b/>
          <w:i w:val="0"/>
          <w:color w:val="586069"/>
          <w:sz w:val="20"/>
        </w:rPr>
        <w:t xml:space="preserve">Purpose: </w:t>
      </w:r>
      <w:r>
        <w:rPr>
          <w:rFonts w:ascii="Aptos" w:hAnsi="Aptos"/>
          <w:b w:val="0"/>
          <w:i w:val="0"/>
          <w:color w:val="171B20"/>
          <w:sz w:val="20"/>
        </w:rPr>
        <w:t>Obtain deliberate authorization for the exact selected action.</w:t>
      </w:r>
    </w:p>
    <w:p>
      <w:pPr>
        <w:spacing w:after="60"/>
      </w:pPr>
      <w:r>
        <w:rPr>
          <w:rFonts w:ascii="Aptos" w:hAnsi="Aptos"/>
          <w:b/>
          <w:i w:val="0"/>
          <w:color w:val="586069"/>
          <w:sz w:val="20"/>
        </w:rPr>
        <w:t xml:space="preserve">Entry: </w:t>
      </w:r>
      <w:r>
        <w:rPr>
          <w:rFonts w:ascii="Aptos" w:hAnsi="Aptos"/>
          <w:b w:val="0"/>
          <w:i w:val="0"/>
          <w:color w:val="171B20"/>
          <w:sz w:val="20"/>
        </w:rPr>
        <w:t>After selecting an eligible offer.</w:t>
      </w:r>
    </w:p>
    <w:p>
      <w:pPr>
        <w:spacing w:after="60"/>
      </w:pPr>
      <w:r>
        <w:rPr>
          <w:rFonts w:ascii="Aptos" w:hAnsi="Aptos"/>
          <w:b/>
          <w:i w:val="0"/>
          <w:color w:val="586069"/>
          <w:sz w:val="20"/>
        </w:rPr>
        <w:t xml:space="preserve">Required content: </w:t>
      </w:r>
      <w:r>
        <w:rPr>
          <w:rFonts w:ascii="Aptos" w:hAnsi="Aptos"/>
          <w:b w:val="0"/>
          <w:i w:val="0"/>
          <w:color w:val="171B20"/>
          <w:sz w:val="20"/>
        </w:rPr>
        <w:t>Persistent SIMULATED banner; action sentence; supplier; location; date/time window; vehicle class; all-in total; itemized fees; cancellation deadline; important restrictions; offer version and validity. Exact statement: 'This demo authorizes a simulated reservation only. No card will be charged and no supplier booking will be created.'</w:t>
      </w:r>
    </w:p>
    <w:p>
      <w:pPr>
        <w:spacing w:after="60"/>
      </w:pPr>
      <w:r>
        <w:rPr>
          <w:rFonts w:ascii="Aptos" w:hAnsi="Aptos"/>
          <w:b/>
          <w:i w:val="0"/>
          <w:color w:val="586069"/>
          <w:sz w:val="20"/>
        </w:rPr>
        <w:t xml:space="preserve">Primary action: </w:t>
      </w:r>
      <w:r>
        <w:rPr>
          <w:rFonts w:ascii="Aptos" w:hAnsi="Aptos"/>
          <w:b w:val="0"/>
          <w:i w:val="0"/>
          <w:color w:val="171B20"/>
          <w:sz w:val="20"/>
        </w:rPr>
        <w:t>Authorize simulated reservation</w:t>
      </w:r>
    </w:p>
    <w:p>
      <w:pPr>
        <w:spacing w:after="60"/>
      </w:pPr>
      <w:r>
        <w:rPr>
          <w:rFonts w:ascii="Aptos" w:hAnsi="Aptos"/>
          <w:b/>
          <w:i w:val="0"/>
          <w:color w:val="586069"/>
          <w:sz w:val="20"/>
        </w:rPr>
        <w:t xml:space="preserve">Secondary actions: </w:t>
      </w:r>
      <w:r>
        <w:rPr>
          <w:rFonts w:ascii="Aptos" w:hAnsi="Aptos"/>
          <w:b w:val="0"/>
          <w:i w:val="0"/>
          <w:color w:val="171B20"/>
          <w:sz w:val="20"/>
        </w:rPr>
        <w:t>Back / Choose another offer</w:t>
      </w:r>
    </w:p>
    <w:p>
      <w:pPr>
        <w:spacing w:after="60"/>
      </w:pPr>
      <w:r>
        <w:rPr>
          <w:rFonts w:ascii="Aptos" w:hAnsi="Aptos"/>
          <w:b/>
          <w:i w:val="0"/>
          <w:color w:val="586069"/>
          <w:sz w:val="20"/>
        </w:rPr>
        <w:t xml:space="preserve">Required states: </w:t>
      </w:r>
      <w:r>
        <w:rPr>
          <w:rFonts w:ascii="Aptos" w:hAnsi="Aptos"/>
          <w:b w:val="0"/>
          <w:i w:val="0"/>
          <w:color w:val="171B20"/>
          <w:sz w:val="20"/>
        </w:rPr>
        <w:t>Ready; offline-disabled; authentication unavailable; offer expired; terms changed; amount changed; duplicate/idempotent retry.</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5F7F8"/>
            <w:tcMar>
              <w:top w:w="90" w:type="dxa"/>
              <w:start w:w="120" w:type="dxa"/>
              <w:bottom w:w="90" w:type="dxa"/>
              <w:end w:w="120" w:type="dxa"/>
            </w:tcMar>
            <w:vAlign w:val="center"/>
          </w:tcPr>
          <w:p>
            <w:pPr>
              <w:spacing w:after="60"/>
            </w:pPr>
            <w:r>
              <w:rPr>
                <w:rFonts w:ascii="Consolas" w:hAnsi="Consolas"/>
                <w:b/>
                <w:i w:val="0"/>
                <w:color w:val="586069"/>
                <w:sz w:val="17"/>
              </w:rPr>
              <w:t>ACCEPTANCE</w:t>
            </w:r>
          </w:p>
          <w:p>
            <w:pPr>
              <w:spacing w:after="0" w:line="271" w:lineRule="auto"/>
            </w:pPr>
            <w:r>
              <w:rPr>
                <w:rFonts w:ascii="Aptos" w:hAnsi="Aptos"/>
                <w:b w:val="0"/>
                <w:i w:val="0"/>
                <w:color w:val="171B20"/>
                <w:sz w:val="20"/>
              </w:rPr>
              <w:t>Approval binds the exact offer version, terms hash, supplier, action, total, currency, expiry, and idempotency key. Any amount change of at least one minor currency unit or any material term change forces a before/after diff and fresh approval.</w:t>
            </w:r>
          </w:p>
        </w:tc>
      </w:tr>
    </w:tbl>
    <w:p>
      <w:pPr>
        <w:spacing w:after="20"/>
      </w:pPr>
    </w:p>
    <w:p>
      <w:pPr>
        <w:pStyle w:val="Heading2"/>
        <w:keepNext/>
      </w:pPr>
      <w:r>
        <w:t>5.12 UX-11 - Simulated receipt</w:t>
      </w:r>
    </w:p>
    <w:p>
      <w:pPr>
        <w:spacing w:after="60"/>
      </w:pPr>
      <w:r>
        <w:rPr>
          <w:rFonts w:ascii="Aptos" w:hAnsi="Aptos"/>
          <w:b/>
          <w:i w:val="0"/>
          <w:color w:val="586069"/>
          <w:sz w:val="20"/>
        </w:rPr>
        <w:t xml:space="preserve">Delivery: </w:t>
      </w:r>
      <w:r>
        <w:rPr>
          <w:rFonts w:ascii="Aptos" w:hAnsi="Aptos"/>
          <w:b w:val="0"/>
          <w:i w:val="0"/>
          <w:color w:val="171B20"/>
          <w:sz w:val="20"/>
        </w:rPr>
        <w:t>G1</w:t>
      </w:r>
    </w:p>
    <w:p>
      <w:pPr>
        <w:spacing w:after="60"/>
      </w:pPr>
      <w:r>
        <w:rPr>
          <w:rFonts w:ascii="Aptos" w:hAnsi="Aptos"/>
          <w:b/>
          <w:i w:val="0"/>
          <w:color w:val="586069"/>
          <w:sz w:val="20"/>
        </w:rPr>
        <w:t xml:space="preserve">Purpose: </w:t>
      </w:r>
      <w:r>
        <w:rPr>
          <w:rFonts w:ascii="Aptos" w:hAnsi="Aptos"/>
          <w:b w:val="0"/>
          <w:i w:val="0"/>
          <w:color w:val="171B20"/>
          <w:sz w:val="20"/>
        </w:rPr>
        <w:t>Confirm what was authorized without resembling a real booking confirmation.</w:t>
      </w:r>
    </w:p>
    <w:p>
      <w:pPr>
        <w:spacing w:after="60"/>
      </w:pPr>
      <w:r>
        <w:rPr>
          <w:rFonts w:ascii="Aptos" w:hAnsi="Aptos"/>
          <w:b/>
          <w:i w:val="0"/>
          <w:color w:val="586069"/>
          <w:sz w:val="20"/>
        </w:rPr>
        <w:t xml:space="preserve">Entry: </w:t>
      </w:r>
      <w:r>
        <w:rPr>
          <w:rFonts w:ascii="Aptos" w:hAnsi="Aptos"/>
          <w:b w:val="0"/>
          <w:i w:val="0"/>
          <w:color w:val="171B20"/>
          <w:sz w:val="20"/>
        </w:rPr>
        <w:t>Successful simulated authorization or Activity history.</w:t>
      </w:r>
    </w:p>
    <w:p>
      <w:pPr>
        <w:spacing w:after="60"/>
      </w:pPr>
      <w:r>
        <w:rPr>
          <w:rFonts w:ascii="Aptos" w:hAnsi="Aptos"/>
          <w:b/>
          <w:i w:val="0"/>
          <w:color w:val="586069"/>
          <w:sz w:val="20"/>
        </w:rPr>
        <w:t xml:space="preserve">Required content: </w:t>
      </w:r>
      <w:r>
        <w:rPr>
          <w:rFonts w:ascii="Aptos" w:hAnsi="Aptos"/>
          <w:b w:val="0"/>
          <w:i w:val="0"/>
          <w:color w:val="171B20"/>
          <w:sz w:val="20"/>
        </w:rPr>
        <w:t>Large 'SIMULATED RECEIPT' heading, simulated authorization ID, supplier, action, dates, all-in total, cancellation terms snapshot, timestamp, and audit link. Mandatory text: 'No card was charged. No supplier reservation was created.'</w:t>
      </w:r>
    </w:p>
    <w:p>
      <w:pPr>
        <w:spacing w:after="60"/>
      </w:pPr>
      <w:r>
        <w:rPr>
          <w:rFonts w:ascii="Aptos" w:hAnsi="Aptos"/>
          <w:b/>
          <w:i w:val="0"/>
          <w:color w:val="586069"/>
          <w:sz w:val="20"/>
        </w:rPr>
        <w:t xml:space="preserve">Primary action: </w:t>
      </w:r>
      <w:r>
        <w:rPr>
          <w:rFonts w:ascii="Aptos" w:hAnsi="Aptos"/>
          <w:b w:val="0"/>
          <w:i w:val="0"/>
          <w:color w:val="171B20"/>
          <w:sz w:val="20"/>
        </w:rPr>
        <w:t>Done</w:t>
      </w:r>
    </w:p>
    <w:p>
      <w:pPr>
        <w:spacing w:after="60"/>
      </w:pPr>
      <w:r>
        <w:rPr>
          <w:rFonts w:ascii="Aptos" w:hAnsi="Aptos"/>
          <w:b/>
          <w:i w:val="0"/>
          <w:color w:val="586069"/>
          <w:sz w:val="20"/>
        </w:rPr>
        <w:t xml:space="preserve">Secondary actions: </w:t>
      </w:r>
      <w:r>
        <w:rPr>
          <w:rFonts w:ascii="Aptos" w:hAnsi="Aptos"/>
          <w:b w:val="0"/>
          <w:i w:val="0"/>
          <w:color w:val="171B20"/>
          <w:sz w:val="20"/>
        </w:rPr>
        <w:t>View activity / Export simulation record</w:t>
      </w:r>
    </w:p>
    <w:p>
      <w:pPr>
        <w:spacing w:after="60"/>
      </w:pPr>
      <w:r>
        <w:rPr>
          <w:rFonts w:ascii="Aptos" w:hAnsi="Aptos"/>
          <w:b/>
          <w:i w:val="0"/>
          <w:color w:val="586069"/>
          <w:sz w:val="20"/>
        </w:rPr>
        <w:t xml:space="preserve">Required states: </w:t>
      </w:r>
      <w:r>
        <w:rPr>
          <w:rFonts w:ascii="Aptos" w:hAnsi="Aptos"/>
          <w:b w:val="0"/>
          <w:i w:val="0"/>
          <w:color w:val="171B20"/>
          <w:sz w:val="20"/>
        </w:rPr>
        <w:t>Created; redacted after buyer-data deletion; duplicate retry returns same receipt.</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5F7F8"/>
            <w:tcMar>
              <w:top w:w="90" w:type="dxa"/>
              <w:start w:w="120" w:type="dxa"/>
              <w:bottom w:w="90" w:type="dxa"/>
              <w:end w:w="120" w:type="dxa"/>
            </w:tcMar>
            <w:vAlign w:val="center"/>
          </w:tcPr>
          <w:p>
            <w:pPr>
              <w:spacing w:after="60"/>
            </w:pPr>
            <w:r>
              <w:rPr>
                <w:rFonts w:ascii="Consolas" w:hAnsi="Consolas"/>
                <w:b/>
                <w:i w:val="0"/>
                <w:color w:val="586069"/>
                <w:sz w:val="17"/>
              </w:rPr>
              <w:t>ACCEPTANCE</w:t>
            </w:r>
          </w:p>
          <w:p>
            <w:pPr>
              <w:spacing w:after="0" w:line="271" w:lineRule="auto"/>
            </w:pPr>
            <w:r>
              <w:rPr>
                <w:rFonts w:ascii="Aptos" w:hAnsi="Aptos"/>
                <w:b w:val="0"/>
                <w:i w:val="0"/>
                <w:color w:val="171B20"/>
                <w:sz w:val="20"/>
              </w:rPr>
              <w:t>No real confirmation language, barcode, ticket, booking number, calendar commitment, or payment-success styling. Immutable authorization evidence remains while deleted personal fields render [redacted].</w:t>
            </w:r>
          </w:p>
        </w:tc>
      </w:tr>
    </w:tbl>
    <w:p>
      <w:pPr>
        <w:spacing w:after="20"/>
      </w:pPr>
    </w:p>
    <w:p>
      <w:pPr>
        <w:pStyle w:val="Heading2"/>
        <w:keepNext/>
      </w:pPr>
      <w:r>
        <w:t>5.13 UX-12 - Activity and audit detail</w:t>
      </w:r>
    </w:p>
    <w:p>
      <w:pPr>
        <w:spacing w:after="60"/>
      </w:pPr>
      <w:r>
        <w:rPr>
          <w:rFonts w:ascii="Aptos" w:hAnsi="Aptos"/>
          <w:b/>
          <w:i w:val="0"/>
          <w:color w:val="586069"/>
          <w:sz w:val="20"/>
        </w:rPr>
        <w:t xml:space="preserve">Delivery: </w:t>
      </w:r>
      <w:r>
        <w:rPr>
          <w:rFonts w:ascii="Aptos" w:hAnsi="Aptos"/>
          <w:b w:val="0"/>
          <w:i w:val="0"/>
          <w:color w:val="171B20"/>
          <w:sz w:val="20"/>
        </w:rPr>
        <w:t>G2</w:t>
      </w:r>
    </w:p>
    <w:p>
      <w:pPr>
        <w:spacing w:after="60"/>
      </w:pPr>
      <w:r>
        <w:rPr>
          <w:rFonts w:ascii="Aptos" w:hAnsi="Aptos"/>
          <w:b/>
          <w:i w:val="0"/>
          <w:color w:val="586069"/>
          <w:sz w:val="20"/>
        </w:rPr>
        <w:t xml:space="preserve">Purpose: </w:t>
      </w:r>
      <w:r>
        <w:rPr>
          <w:rFonts w:ascii="Aptos" w:hAnsi="Aptos"/>
          <w:b w:val="0"/>
          <w:i w:val="0"/>
          <w:color w:val="171B20"/>
          <w:sz w:val="20"/>
        </w:rPr>
        <w:t>Provide a human-readable, append-only account of material system and user actions.</w:t>
      </w:r>
    </w:p>
    <w:p>
      <w:pPr>
        <w:spacing w:after="60"/>
      </w:pPr>
      <w:r>
        <w:rPr>
          <w:rFonts w:ascii="Aptos" w:hAnsi="Aptos"/>
          <w:b/>
          <w:i w:val="0"/>
          <w:color w:val="586069"/>
          <w:sz w:val="20"/>
        </w:rPr>
        <w:t xml:space="preserve">Entry: </w:t>
      </w:r>
      <w:r>
        <w:rPr>
          <w:rFonts w:ascii="Aptos" w:hAnsi="Aptos"/>
          <w:b w:val="0"/>
          <w:i w:val="0"/>
          <w:color w:val="171B20"/>
          <w:sz w:val="20"/>
        </w:rPr>
        <w:t>Activity tab, intent history, receipt, privacy sheet.</w:t>
      </w:r>
    </w:p>
    <w:p>
      <w:pPr>
        <w:spacing w:after="60"/>
      </w:pPr>
      <w:r>
        <w:rPr>
          <w:rFonts w:ascii="Aptos" w:hAnsi="Aptos"/>
          <w:b/>
          <w:i w:val="0"/>
          <w:color w:val="586069"/>
          <w:sz w:val="20"/>
        </w:rPr>
        <w:t xml:space="preserve">Required content: </w:t>
      </w:r>
      <w:r>
        <w:rPr>
          <w:rFonts w:ascii="Aptos" w:hAnsi="Aptos"/>
          <w:b w:val="0"/>
          <w:i w:val="0"/>
          <w:color w:val="171B20"/>
          <w:sz w:val="20"/>
        </w:rPr>
        <w:t>Reverse-chronological events grouped by intent/day. Each event shows time, plain-language action, actor, simulation status, and optional redaction-safe detail. Disclosure events link to the exact payload snapshot; approval events link to the reviewed version/hash without exposing the hash by default.</w:t>
      </w:r>
    </w:p>
    <w:p>
      <w:pPr>
        <w:spacing w:after="60"/>
      </w:pPr>
      <w:r>
        <w:rPr>
          <w:rFonts w:ascii="Aptos" w:hAnsi="Aptos"/>
          <w:b/>
          <w:i w:val="0"/>
          <w:color w:val="586069"/>
          <w:sz w:val="20"/>
        </w:rPr>
        <w:t xml:space="preserve">Primary action: </w:t>
      </w:r>
      <w:r>
        <w:rPr>
          <w:rFonts w:ascii="Aptos" w:hAnsi="Aptos"/>
          <w:b w:val="0"/>
          <w:i w:val="0"/>
          <w:color w:val="171B20"/>
          <w:sz w:val="20"/>
        </w:rPr>
        <w:t>View event detail / Export</w:t>
      </w:r>
    </w:p>
    <w:p>
      <w:pPr>
        <w:spacing w:after="60"/>
      </w:pPr>
      <w:r>
        <w:rPr>
          <w:rFonts w:ascii="Aptos" w:hAnsi="Aptos"/>
          <w:b/>
          <w:i w:val="0"/>
          <w:color w:val="586069"/>
          <w:sz w:val="20"/>
        </w:rPr>
        <w:t xml:space="preserve">Secondary actions: </w:t>
      </w:r>
      <w:r>
        <w:rPr>
          <w:rFonts w:ascii="Aptos" w:hAnsi="Aptos"/>
          <w:b w:val="0"/>
          <w:i w:val="0"/>
          <w:color w:val="171B20"/>
          <w:sz w:val="20"/>
        </w:rPr>
        <w:t>Filter</w:t>
      </w:r>
    </w:p>
    <w:p>
      <w:pPr>
        <w:spacing w:after="60"/>
      </w:pPr>
      <w:r>
        <w:rPr>
          <w:rFonts w:ascii="Aptos" w:hAnsi="Aptos"/>
          <w:b/>
          <w:i w:val="0"/>
          <w:color w:val="586069"/>
          <w:sz w:val="20"/>
        </w:rPr>
        <w:t xml:space="preserve">Required states: </w:t>
      </w:r>
      <w:r>
        <w:rPr>
          <w:rFonts w:ascii="Aptos" w:hAnsi="Aptos"/>
          <w:b w:val="0"/>
          <w:i w:val="0"/>
          <w:color w:val="171B20"/>
          <w:sz w:val="20"/>
        </w:rPr>
        <w:t>Populated; empty; filtered; export generating; redacted record.</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5F7F8"/>
            <w:tcMar>
              <w:top w:w="90" w:type="dxa"/>
              <w:start w:w="120" w:type="dxa"/>
              <w:bottom w:w="90" w:type="dxa"/>
              <w:end w:w="120" w:type="dxa"/>
            </w:tcMar>
            <w:vAlign w:val="center"/>
          </w:tcPr>
          <w:p>
            <w:pPr>
              <w:spacing w:after="60"/>
            </w:pPr>
            <w:r>
              <w:rPr>
                <w:rFonts w:ascii="Consolas" w:hAnsi="Consolas"/>
                <w:b/>
                <w:i w:val="0"/>
                <w:color w:val="586069"/>
                <w:sz w:val="17"/>
              </w:rPr>
              <w:t>ACCEPTANCE</w:t>
            </w:r>
          </w:p>
          <w:p>
            <w:pPr>
              <w:spacing w:after="0" w:line="271" w:lineRule="auto"/>
            </w:pPr>
            <w:r>
              <w:rPr>
                <w:rFonts w:ascii="Aptos" w:hAnsi="Aptos"/>
                <w:b w:val="0"/>
                <w:i w:val="0"/>
                <w:color w:val="171B20"/>
                <w:sz w:val="20"/>
              </w:rPr>
              <w:t>UI is not the technical source of truth; it reads authoritative backend state and audit events. Raw shared content, secrets, payment data, and hidden model reasoning never appear.</w:t>
            </w:r>
          </w:p>
        </w:tc>
      </w:tr>
    </w:tbl>
    <w:p>
      <w:pPr>
        <w:spacing w:after="20"/>
      </w:pPr>
    </w:p>
    <w:p>
      <w:pPr>
        <w:pStyle w:val="Heading2"/>
        <w:keepNext/>
      </w:pPr>
      <w:r>
        <w:t>5.14 UX-13 - Preferences with evidence</w:t>
      </w:r>
    </w:p>
    <w:p>
      <w:pPr>
        <w:spacing w:after="60"/>
      </w:pPr>
      <w:r>
        <w:rPr>
          <w:rFonts w:ascii="Aptos" w:hAnsi="Aptos"/>
          <w:b/>
          <w:i w:val="0"/>
          <w:color w:val="586069"/>
          <w:sz w:val="20"/>
        </w:rPr>
        <w:t xml:space="preserve">Delivery: </w:t>
      </w:r>
      <w:r>
        <w:rPr>
          <w:rFonts w:ascii="Aptos" w:hAnsi="Aptos"/>
          <w:b w:val="0"/>
          <w:i w:val="0"/>
          <w:color w:val="171B20"/>
          <w:sz w:val="20"/>
        </w:rPr>
        <w:t>G2 read-only; G3 editable</w:t>
      </w:r>
    </w:p>
    <w:p>
      <w:pPr>
        <w:spacing w:after="60"/>
      </w:pPr>
      <w:r>
        <w:rPr>
          <w:rFonts w:ascii="Aptos" w:hAnsi="Aptos"/>
          <w:b/>
          <w:i w:val="0"/>
          <w:color w:val="586069"/>
          <w:sz w:val="20"/>
        </w:rPr>
        <w:t>Purpose: Show and control what ReservEdge believes about the buyer, scoped to context. Preferences influence local filtering and ranking only; they are never A2 candidates.</w:t>
      </w:r>
      <w:r>
        <w:rPr>
          <w:rFonts w:ascii="Aptos" w:hAnsi="Aptos"/>
          <w:b w:val="0"/>
          <w:i w:val="0"/>
          <w:color w:val="171B20"/>
          <w:sz w:val="20"/>
        </w:rPr>
      </w:r>
    </w:p>
    <w:p>
      <w:pPr>
        <w:spacing w:after="60"/>
      </w:pPr>
      <w:r>
        <w:rPr>
          <w:rFonts w:ascii="Aptos" w:hAnsi="Aptos"/>
          <w:b/>
          <w:i w:val="0"/>
          <w:color w:val="586069"/>
          <w:sz w:val="20"/>
        </w:rPr>
        <w:t xml:space="preserve">Entry: </w:t>
      </w:r>
      <w:r>
        <w:rPr>
          <w:rFonts w:ascii="Aptos" w:hAnsi="Aptos"/>
          <w:b w:val="0"/>
          <w:i w:val="0"/>
          <w:color w:val="171B20"/>
          <w:sz w:val="20"/>
        </w:rPr>
        <w:t>Preferences tab or recommendation influence chip.</w:t>
      </w:r>
    </w:p>
    <w:p>
      <w:pPr>
        <w:spacing w:after="60"/>
      </w:pPr>
      <w:r>
        <w:rPr>
          <w:rFonts w:ascii="Aptos" w:hAnsi="Aptos"/>
          <w:b/>
          <w:i w:val="0"/>
          <w:color w:val="586069"/>
          <w:sz w:val="20"/>
        </w:rPr>
        <w:t xml:space="preserve">Required content: </w:t>
      </w:r>
      <w:r>
        <w:rPr>
          <w:rFonts w:ascii="Aptos" w:hAnsi="Aptos"/>
          <w:b w:val="0"/>
          <w:i w:val="0"/>
          <w:color w:val="171B20"/>
          <w:sz w:val="20"/>
        </w:rPr>
        <w:t>Preference key/value, context/category, qualitative confidence, evidence summary, source date, last confirmed, and actions for edit, history, confirm, or delete. Contested values show old and candidate values without silently merging them.</w:t>
      </w:r>
    </w:p>
    <w:p>
      <w:pPr>
        <w:spacing w:after="60"/>
      </w:pPr>
      <w:r>
        <w:rPr>
          <w:rFonts w:ascii="Aptos" w:hAnsi="Aptos"/>
          <w:b/>
          <w:i w:val="0"/>
          <w:color w:val="586069"/>
          <w:sz w:val="20"/>
        </w:rPr>
        <w:t xml:space="preserve">Primary action: </w:t>
      </w:r>
      <w:r>
        <w:rPr>
          <w:rFonts w:ascii="Aptos" w:hAnsi="Aptos"/>
          <w:b w:val="0"/>
          <w:i w:val="0"/>
          <w:color w:val="171B20"/>
          <w:sz w:val="20"/>
        </w:rPr>
        <w:t>Edit / Confirm</w:t>
      </w:r>
    </w:p>
    <w:p>
      <w:pPr>
        <w:spacing w:after="60"/>
      </w:pPr>
      <w:r>
        <w:rPr>
          <w:rFonts w:ascii="Aptos" w:hAnsi="Aptos"/>
          <w:b/>
          <w:i w:val="0"/>
          <w:color w:val="586069"/>
          <w:sz w:val="20"/>
        </w:rPr>
        <w:t xml:space="preserve">Secondary actions: </w:t>
      </w:r>
      <w:r>
        <w:rPr>
          <w:rFonts w:ascii="Aptos" w:hAnsi="Aptos"/>
          <w:b w:val="0"/>
          <w:i w:val="0"/>
          <w:color w:val="171B20"/>
          <w:sz w:val="20"/>
        </w:rPr>
        <w:t>History / Delete</w:t>
      </w:r>
    </w:p>
    <w:p>
      <w:pPr>
        <w:spacing w:after="60"/>
      </w:pPr>
      <w:r>
        <w:rPr>
          <w:rFonts w:ascii="Aptos" w:hAnsi="Aptos"/>
          <w:b/>
          <w:i w:val="0"/>
          <w:color w:val="586069"/>
          <w:sz w:val="20"/>
        </w:rPr>
        <w:t xml:space="preserve">Required states: </w:t>
      </w:r>
      <w:r>
        <w:rPr>
          <w:rFonts w:ascii="Aptos" w:hAnsi="Aptos"/>
          <w:b w:val="0"/>
          <w:i w:val="0"/>
          <w:color w:val="171B20"/>
          <w:sz w:val="20"/>
        </w:rPr>
        <w:t>High/medium/low confidence; new inference; contested; stale; deletion pending.</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5F7F8"/>
            <w:tcMar>
              <w:top w:w="90" w:type="dxa"/>
              <w:start w:w="120" w:type="dxa"/>
              <w:bottom w:w="90" w:type="dxa"/>
              <w:end w:w="120" w:type="dxa"/>
            </w:tcMar>
            <w:vAlign w:val="center"/>
          </w:tcPr>
          <w:p>
            <w:pPr>
              <w:spacing w:after="60"/>
            </w:pPr>
            <w:r>
              <w:rPr>
                <w:rFonts w:ascii="Consolas" w:hAnsi="Consolas"/>
                <w:b/>
                <w:i w:val="0"/>
                <w:color w:val="586069"/>
                <w:sz w:val="17"/>
              </w:rPr>
              <w:t>ACCEPTANCE</w:t>
            </w:r>
          </w:p>
          <w:p>
            <w:pPr>
              <w:spacing w:after="0" w:line="271" w:lineRule="auto"/>
            </w:pPr>
            <w:r>
              <w:rPr>
                <w:rFonts w:ascii="Aptos" w:hAnsi="Aptos"/>
                <w:b w:val="0"/>
                <w:i w:val="0"/>
                <w:color w:val="171B20"/>
                <w:sz w:val="20"/>
              </w:rPr>
              <w:t>No confidence percentage in the interface. Every learned assertion has evidence and context. Deletion warns of effects on in-flight intents and never rewrites immutable audit facts.</w:t>
            </w:r>
          </w:p>
        </w:tc>
      </w:tr>
    </w:tbl>
    <w:p>
      <w:pPr>
        <w:spacing w:after="20"/>
      </w:pPr>
    </w:p>
    <w:p>
      <w:pPr>
        <w:pStyle w:val="Heading2"/>
        <w:keepNext/>
      </w:pPr>
      <w:r>
        <w:t>5.15 UX-14 - Contextual privacy sheet and Privacy Center</w:t>
      </w:r>
    </w:p>
    <w:p>
      <w:pPr>
        <w:spacing w:after="60"/>
      </w:pPr>
      <w:r>
        <w:rPr>
          <w:rFonts w:ascii="Aptos" w:hAnsi="Aptos"/>
          <w:b/>
          <w:i w:val="0"/>
          <w:color w:val="586069"/>
          <w:sz w:val="20"/>
        </w:rPr>
        <w:t xml:space="preserve">Delivery: </w:t>
      </w:r>
      <w:r>
        <w:rPr>
          <w:rFonts w:ascii="Aptos" w:hAnsi="Aptos"/>
          <w:b w:val="0"/>
          <w:i w:val="0"/>
          <w:color w:val="171B20"/>
          <w:sz w:val="20"/>
        </w:rPr>
        <w:t>G2 contextual sheet; G3 full center</w:t>
      </w:r>
    </w:p>
    <w:p>
      <w:pPr>
        <w:spacing w:after="60"/>
      </w:pPr>
      <w:r>
        <w:rPr>
          <w:rFonts w:ascii="Aptos" w:hAnsi="Aptos"/>
          <w:b/>
          <w:i w:val="0"/>
          <w:color w:val="586069"/>
          <w:sz w:val="20"/>
        </w:rPr>
        <w:t xml:space="preserve">Purpose: </w:t>
      </w:r>
      <w:r>
        <w:rPr>
          <w:rFonts w:ascii="Aptos" w:hAnsi="Aptos"/>
          <w:b w:val="0"/>
          <w:i w:val="0"/>
          <w:color w:val="171B20"/>
          <w:sz w:val="20"/>
        </w:rPr>
        <w:t>Make current disclosures and data controls available at the point of decision and account-wide.</w:t>
      </w:r>
    </w:p>
    <w:p>
      <w:pPr>
        <w:spacing w:after="60"/>
      </w:pPr>
      <w:r>
        <w:rPr>
          <w:rFonts w:ascii="Aptos" w:hAnsi="Aptos"/>
          <w:b/>
          <w:i w:val="0"/>
          <w:color w:val="586069"/>
          <w:sz w:val="20"/>
        </w:rPr>
        <w:t xml:space="preserve">Entry: </w:t>
      </w:r>
      <w:r>
        <w:rPr>
          <w:rFonts w:ascii="Aptos" w:hAnsi="Aptos"/>
          <w:b w:val="0"/>
          <w:i w:val="0"/>
          <w:color w:val="171B20"/>
          <w:sz w:val="20"/>
        </w:rPr>
        <w:t>Privacy shield on any intent; Account &gt; Privacy Center; Activity disclosure event.</w:t>
      </w:r>
    </w:p>
    <w:p>
      <w:pPr>
        <w:spacing w:after="60"/>
      </w:pPr>
      <w:r>
        <w:rPr>
          <w:rFonts w:ascii="Aptos" w:hAnsi="Aptos"/>
          <w:b/>
          <w:i w:val="0"/>
          <w:color w:val="586069"/>
          <w:sz w:val="20"/>
        </w:rPr>
        <w:t>Required content: Contextual: what ReservEdge knows, which requirement fields this task sent, which requirement fields remain withheld, recipients, purpose, retention. Preferences are shown as local-only memory, never as disclosable fields. Center: disclosure history, future-use controls, deletion, export, retention.</w:t>
      </w:r>
      <w:r>
        <w:rPr>
          <w:rFonts w:ascii="Aptos" w:hAnsi="Aptos"/>
          <w:b w:val="0"/>
          <w:i w:val="0"/>
          <w:color w:val="171B20"/>
          <w:sz w:val="20"/>
        </w:rPr>
      </w:r>
    </w:p>
    <w:p>
      <w:pPr>
        <w:spacing w:after="60"/>
      </w:pPr>
      <w:r>
        <w:rPr>
          <w:rFonts w:ascii="Aptos" w:hAnsi="Aptos"/>
          <w:b/>
          <w:i w:val="0"/>
          <w:color w:val="586069"/>
          <w:sz w:val="20"/>
        </w:rPr>
        <w:t xml:space="preserve">Primary action: </w:t>
      </w:r>
      <w:r>
        <w:rPr>
          <w:rFonts w:ascii="Aptos" w:hAnsi="Aptos"/>
          <w:b w:val="0"/>
          <w:i w:val="0"/>
          <w:color w:val="171B20"/>
          <w:sz w:val="20"/>
        </w:rPr>
        <w:t>View exact payload / Stop future use</w:t>
      </w:r>
    </w:p>
    <w:p>
      <w:pPr>
        <w:spacing w:after="60"/>
      </w:pPr>
      <w:r>
        <w:rPr>
          <w:rFonts w:ascii="Aptos" w:hAnsi="Aptos"/>
          <w:b/>
          <w:i w:val="0"/>
          <w:color w:val="586069"/>
          <w:sz w:val="20"/>
        </w:rPr>
        <w:t xml:space="preserve">Secondary actions: </w:t>
      </w:r>
      <w:r>
        <w:rPr>
          <w:rFonts w:ascii="Aptos" w:hAnsi="Aptos"/>
          <w:b w:val="0"/>
          <w:i w:val="0"/>
          <w:color w:val="171B20"/>
          <w:sz w:val="20"/>
        </w:rPr>
        <w:t>Request deletion / Export data</w:t>
      </w:r>
    </w:p>
    <w:p>
      <w:pPr>
        <w:spacing w:after="60"/>
      </w:pPr>
      <w:r>
        <w:rPr>
          <w:rFonts w:ascii="Aptos" w:hAnsi="Aptos"/>
          <w:b/>
          <w:i w:val="0"/>
          <w:color w:val="586069"/>
          <w:sz w:val="20"/>
        </w:rPr>
        <w:t xml:space="preserve">Required states: </w:t>
      </w:r>
      <w:r>
        <w:rPr>
          <w:rFonts w:ascii="Aptos" w:hAnsi="Aptos"/>
          <w:b w:val="0"/>
          <w:i w:val="0"/>
          <w:color w:val="171B20"/>
          <w:sz w:val="20"/>
        </w:rPr>
        <w:t>No disclosures; active request; ended request; deletion requested; supplier deletion unconfirmed; exported.</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5F7F8"/>
            <w:tcMar>
              <w:top w:w="90" w:type="dxa"/>
              <w:start w:w="120" w:type="dxa"/>
              <w:bottom w:w="90" w:type="dxa"/>
              <w:end w:w="120" w:type="dxa"/>
            </w:tcMar>
            <w:vAlign w:val="center"/>
          </w:tcPr>
          <w:p>
            <w:pPr>
              <w:spacing w:after="60"/>
            </w:pPr>
            <w:r>
              <w:rPr>
                <w:rFonts w:ascii="Consolas" w:hAnsi="Consolas"/>
                <w:b/>
                <w:i w:val="0"/>
                <w:color w:val="586069"/>
                <w:sz w:val="17"/>
              </w:rPr>
              <w:t>ACCEPTANCE</w:t>
              <w:br/>
              <w:t>Never labels past transmission as erasable. 'Stop future use' cancels ReservEdge-side processing where possible; supplier deletion is a request with status and evidence, not an instant guarantee.</w:t>
            </w:r>
          </w:p>
          <w:p>
            <w:pPr>
              <w:spacing w:after="0" w:line="271" w:lineRule="auto"/>
            </w:pPr>
            <w:r>
              <w:rPr>
                <w:rFonts w:ascii="Aptos" w:hAnsi="Aptos"/>
                <w:b w:val="0"/>
                <w:i w:val="0"/>
                <w:color w:val="171B20"/>
                <w:sz w:val="20"/>
              </w:rPr>
            </w:r>
          </w:p>
        </w:tc>
      </w:tr>
    </w:tbl>
    <w:p>
      <w:pPr>
        <w:spacing w:after="20"/>
      </w:pPr>
    </w:p>
    <w:p>
      <w:pPr>
        <w:pStyle w:val="Heading2"/>
        <w:keepNext/>
      </w:pPr>
      <w:r>
        <w:t>5.16 UX-15 - Account (current) and subscription (future productization)</w:t>
      </w:r>
    </w:p>
    <w:p>
      <w:pPr>
        <w:spacing w:after="60"/>
      </w:pPr>
      <w:r>
        <w:rPr>
          <w:rFonts w:ascii="Aptos" w:hAnsi="Aptos"/>
          <w:b/>
          <w:i w:val="0"/>
          <w:color w:val="586069"/>
          <w:sz w:val="20"/>
        </w:rPr>
        <w:t xml:space="preserve">Delivery: </w:t>
      </w:r>
      <w:r>
        <w:rPr>
          <w:rFonts w:ascii="Aptos" w:hAnsi="Aptos"/>
          <w:b w:val="0"/>
          <w:i w:val="0"/>
          <w:color w:val="171B20"/>
          <w:sz w:val="20"/>
        </w:rPr>
        <w:t>G3</w:t>
      </w:r>
    </w:p>
    <w:p>
      <w:pPr>
        <w:spacing w:after="60"/>
      </w:pPr>
      <w:r>
        <w:rPr>
          <w:rFonts w:ascii="Aptos" w:hAnsi="Aptos"/>
          <w:b/>
          <w:i w:val="0"/>
          <w:color w:val="586069"/>
          <w:sz w:val="20"/>
        </w:rPr>
        <w:t xml:space="preserve">Purpose: </w:t>
      </w:r>
      <w:r>
        <w:rPr>
          <w:rFonts w:ascii="Aptos" w:hAnsi="Aptos"/>
          <w:b w:val="0"/>
          <w:i w:val="0"/>
          <w:color w:val="171B20"/>
          <w:sz w:val="20"/>
        </w:rPr>
        <w:t>Manage identity, subscription entitlement, restore, support, and Privacy Center access without disrupting trust.</w:t>
      </w:r>
    </w:p>
    <w:p>
      <w:pPr>
        <w:spacing w:after="60"/>
      </w:pPr>
      <w:r>
        <w:rPr>
          <w:rFonts w:ascii="Aptos" w:hAnsi="Aptos"/>
          <w:b/>
          <w:i w:val="0"/>
          <w:color w:val="586069"/>
          <w:sz w:val="20"/>
        </w:rPr>
        <w:t xml:space="preserve">Entry: </w:t>
      </w:r>
      <w:r>
        <w:rPr>
          <w:rFonts w:ascii="Aptos" w:hAnsi="Aptos"/>
          <w:b w:val="0"/>
          <w:i w:val="0"/>
          <w:color w:val="171B20"/>
          <w:sz w:val="20"/>
        </w:rPr>
        <w:t>Account tab or a non-blocking limit notice before a new intent.</w:t>
      </w:r>
    </w:p>
    <w:p>
      <w:pPr>
        <w:spacing w:after="60"/>
      </w:pPr>
      <w:r>
        <w:rPr>
          <w:rFonts w:ascii="Aptos" w:hAnsi="Aptos"/>
          <w:b/>
          <w:i w:val="0"/>
          <w:color w:val="586069"/>
          <w:sz w:val="20"/>
        </w:rPr>
        <w:t>Current required content: account, Privacy Center, support, legal, export/deletion. FUTURE PRODUCTIZATION — no current implementation authority. Requires a later Product Owner-approved ADR and work order. Current approved mobile surface is responsive web at 1440 / 1280 / 410 / 390 / 320 CSS pixels. apps/mobile remains a placeholder. Public subscription name if later approved: ReservEdge Pro. Historical/internal offering label: ITAA Pro.</w:t>
      </w:r>
      <w:r>
        <w:rPr>
          <w:rFonts w:ascii="Aptos" w:hAnsi="Aptos"/>
          <w:b w:val="0"/>
          <w:i w:val="0"/>
          <w:color w:val="171B20"/>
          <w:sz w:val="20"/>
        </w:rPr>
      </w:r>
    </w:p>
    <w:p>
      <w:pPr>
        <w:spacing w:after="60"/>
      </w:pPr>
      <w:r>
        <w:rPr>
          <w:rFonts w:ascii="Aptos" w:hAnsi="Aptos"/>
          <w:b/>
          <w:i w:val="0"/>
          <w:color w:val="586069"/>
          <w:sz w:val="20"/>
        </w:rPr>
        <w:t>Primary action (future productization only): Upgrade to ReservEdge Pro / Manage plan. Historical/internal offering label: ITAA Pro.</w:t>
      </w:r>
      <w:r>
        <w:rPr>
          <w:rFonts w:ascii="Aptos" w:hAnsi="Aptos"/>
          <w:b w:val="0"/>
          <w:i w:val="0"/>
          <w:color w:val="171B20"/>
          <w:sz w:val="20"/>
        </w:rPr>
      </w:r>
    </w:p>
    <w:p>
      <w:pPr>
        <w:spacing w:after="60"/>
      </w:pPr>
      <w:r>
        <w:rPr>
          <w:rFonts w:ascii="Aptos" w:hAnsi="Aptos"/>
          <w:b/>
          <w:i w:val="0"/>
          <w:color w:val="586069"/>
          <w:sz w:val="20"/>
        </w:rPr>
        <w:t xml:space="preserve">Secondary actions: </w:t>
      </w:r>
      <w:r>
        <w:rPr>
          <w:rFonts w:ascii="Aptos" w:hAnsi="Aptos"/>
          <w:b w:val="0"/>
          <w:i w:val="0"/>
          <w:color w:val="171B20"/>
          <w:sz w:val="20"/>
        </w:rPr>
        <w:t>Restore purchases / Continue on Free</w:t>
      </w:r>
    </w:p>
    <w:p>
      <w:pPr>
        <w:spacing w:after="60"/>
      </w:pPr>
      <w:r>
        <w:rPr>
          <w:rFonts w:ascii="Aptos" w:hAnsi="Aptos"/>
          <w:b/>
          <w:i w:val="0"/>
          <w:color w:val="586069"/>
          <w:sz w:val="20"/>
        </w:rPr>
        <w:t xml:space="preserve">Required states: </w:t>
      </w:r>
      <w:r>
        <w:rPr>
          <w:rFonts w:ascii="Aptos" w:hAnsi="Aptos"/>
          <w:b w:val="0"/>
          <w:i w:val="0"/>
          <w:color w:val="171B20"/>
          <w:sz w:val="20"/>
        </w:rPr>
        <w:t>Free; eligible offering; purchasing; purchased; pending; failed; restored; nothing to restore; entitlement stale; offline.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5F7F8"/>
            <w:tcMar>
              <w:top w:w="90" w:type="dxa"/>
              <w:start w:w="120" w:type="dxa"/>
              <w:bottom w:w="90" w:type="dxa"/>
              <w:end w:w="120" w:type="dxa"/>
            </w:tcMar>
            <w:vAlign w:val="center"/>
          </w:tcPr>
          <w:p>
            <w:pPr>
              <w:spacing w:after="60"/>
            </w:pPr>
            <w:r>
              <w:rPr>
                <w:rFonts w:ascii="Consolas" w:hAnsi="Consolas"/>
                <w:b/>
                <w:i w:val="0"/>
                <w:color w:val="586069"/>
                <w:sz w:val="17"/>
              </w:rPr>
              <w:t>ACCEPTANCE | Current account UX has no native/RevenueCat client. Future productization only: offerings/prices would come from configuration/RevenueCat, not hard-coded UI. An in-flight Intent is never interrupted by a paywall.</w:t>
            </w:r>
          </w:p>
          <w:p>
            <w:pPr>
              <w:spacing w:after="0" w:line="271" w:lineRule="auto"/>
            </w:pPr>
            <w:r>
              <w:rPr>
                <w:rFonts w:ascii="Aptos" w:hAnsi="Aptos"/>
                <w:b w:val="0"/>
                <w:i w:val="0"/>
                <w:color w:val="171B20"/>
                <w:sz w:val="20"/>
              </w:rPr>
            </w:r>
          </w:p>
        </w:tc>
      </w:tr>
    </w:tbl>
    <w:p>
      <w:pPr>
        <w:spacing w:after="20"/>
      </w:pPr>
    </w:p>
    <w:p>
      <w:pPr>
        <w:pStyle w:val="Heading2"/>
        <w:keepNext/>
      </w:pPr>
      <w:r>
        <w:t>5.17 UX-16 - Recovery and changed-terms states</w:t>
      </w:r>
    </w:p>
    <w:p>
      <w:pPr>
        <w:spacing w:after="60"/>
      </w:pPr>
      <w:r>
        <w:rPr>
          <w:rFonts w:ascii="Aptos" w:hAnsi="Aptos"/>
          <w:b/>
          <w:i w:val="0"/>
          <w:color w:val="586069"/>
          <w:sz w:val="20"/>
        </w:rPr>
        <w:t xml:space="preserve">Delivery: </w:t>
      </w:r>
      <w:r>
        <w:rPr>
          <w:rFonts w:ascii="Aptos" w:hAnsi="Aptos"/>
          <w:b w:val="0"/>
          <w:i w:val="0"/>
          <w:color w:val="171B20"/>
          <w:sz w:val="20"/>
        </w:rPr>
        <w:t>G1 core subset; full G2</w:t>
      </w:r>
    </w:p>
    <w:p>
      <w:pPr>
        <w:spacing w:after="60"/>
      </w:pPr>
      <w:r>
        <w:rPr>
          <w:rFonts w:ascii="Aptos" w:hAnsi="Aptos"/>
          <w:b/>
          <w:i w:val="0"/>
          <w:color w:val="586069"/>
          <w:sz w:val="20"/>
        </w:rPr>
        <w:t xml:space="preserve">Purpose: </w:t>
      </w:r>
      <w:r>
        <w:rPr>
          <w:rFonts w:ascii="Aptos" w:hAnsi="Aptos"/>
          <w:b w:val="0"/>
          <w:i w:val="0"/>
          <w:color w:val="171B20"/>
          <w:sz w:val="20"/>
        </w:rPr>
        <w:t>Recover safely from operational failures while restating scope and control.</w:t>
      </w:r>
    </w:p>
    <w:p>
      <w:pPr>
        <w:spacing w:after="60"/>
      </w:pPr>
      <w:r>
        <w:rPr>
          <w:rFonts w:ascii="Aptos" w:hAnsi="Aptos"/>
          <w:b/>
          <w:i w:val="0"/>
          <w:color w:val="586069"/>
          <w:sz w:val="20"/>
        </w:rPr>
        <w:t xml:space="preserve">Entry: </w:t>
      </w:r>
      <w:r>
        <w:rPr>
          <w:rFonts w:ascii="Aptos" w:hAnsi="Aptos"/>
          <w:b w:val="0"/>
          <w:i w:val="0"/>
          <w:color w:val="171B20"/>
          <w:sz w:val="20"/>
        </w:rPr>
        <w:t>Any failed, expired, changed, denied, or offline transition.</w:t>
      </w:r>
    </w:p>
    <w:p>
      <w:pPr>
        <w:spacing w:after="60"/>
      </w:pPr>
      <w:r>
        <w:rPr>
          <w:rFonts w:ascii="Aptos" w:hAnsi="Aptos"/>
          <w:b/>
          <w:i w:val="0"/>
          <w:color w:val="586069"/>
          <w:sz w:val="20"/>
        </w:rPr>
        <w:t xml:space="preserve">Required content: </w:t>
      </w:r>
      <w:r>
        <w:rPr>
          <w:rFonts w:ascii="Aptos" w:hAnsi="Aptos"/>
          <w:b w:val="0"/>
          <w:i w:val="0"/>
          <w:color w:val="171B20"/>
          <w:sz w:val="20"/>
        </w:rPr>
        <w:t>Specific cause, affected scope, what did and did not happen, safe next action, and audit link. ChangedTermsDiff shows before and after for every material field with word/icon support, voids the prior approval, and returns to Gate 2.</w:t>
      </w:r>
    </w:p>
    <w:p>
      <w:pPr>
        <w:spacing w:after="60"/>
      </w:pPr>
      <w:r>
        <w:rPr>
          <w:rFonts w:ascii="Aptos" w:hAnsi="Aptos"/>
          <w:b/>
          <w:i w:val="0"/>
          <w:color w:val="586069"/>
          <w:sz w:val="20"/>
        </w:rPr>
        <w:t xml:space="preserve">Primary action: </w:t>
      </w:r>
      <w:r>
        <w:rPr>
          <w:rFonts w:ascii="Aptos" w:hAnsi="Aptos"/>
          <w:b w:val="0"/>
          <w:i w:val="0"/>
          <w:color w:val="171B20"/>
          <w:sz w:val="20"/>
        </w:rPr>
        <w:t>Retry / Refresh offer / Review and reauthorize</w:t>
      </w:r>
    </w:p>
    <w:p>
      <w:pPr>
        <w:spacing w:after="60"/>
      </w:pPr>
      <w:r>
        <w:rPr>
          <w:rFonts w:ascii="Aptos" w:hAnsi="Aptos"/>
          <w:b/>
          <w:i w:val="0"/>
          <w:color w:val="586069"/>
          <w:sz w:val="20"/>
        </w:rPr>
        <w:t xml:space="preserve">Secondary actions: </w:t>
      </w:r>
      <w:r>
        <w:rPr>
          <w:rFonts w:ascii="Aptos" w:hAnsi="Aptos"/>
          <w:b w:val="0"/>
          <w:i w:val="0"/>
          <w:color w:val="171B20"/>
          <w:sz w:val="20"/>
        </w:rPr>
        <w:t>Cancel / Return to Inbox</w:t>
      </w:r>
    </w:p>
    <w:p>
      <w:pPr>
        <w:spacing w:after="60"/>
      </w:pPr>
      <w:r>
        <w:rPr>
          <w:rFonts w:ascii="Aptos" w:hAnsi="Aptos"/>
          <w:b/>
          <w:i w:val="0"/>
          <w:color w:val="586069"/>
          <w:sz w:val="20"/>
        </w:rPr>
        <w:t xml:space="preserve">Required states: </w:t>
      </w:r>
      <w:r>
        <w:rPr>
          <w:rFonts w:ascii="Aptos" w:hAnsi="Aptos"/>
          <w:b w:val="0"/>
          <w:i w:val="0"/>
          <w:color w:val="171B20"/>
          <w:sz w:val="20"/>
        </w:rPr>
        <w:t>Research failure; supplier timeout/decline; no eligible offers; expired offer; terms changed; user denied; authorization failed; offline/read-only; service unavailable.</w:t>
      </w:r>
    </w:p>
    <w:p>
      <w:pPr>
        <w:pStyle w:val="Heading2"/>
        <w:keepNext/>
      </w:pPr>
      <w:r>
        <w:t>5.18 Intent-first screen contracts (normative)</w:t>
      </w:r>
    </w:p>
    <w:p>
      <w:pPr>
        <w:spacing w:before="600" w:after="100"/>
      </w:pPr>
      <w:r>
        <w:rPr>
          <w:rFonts w:ascii="Consolas" w:hAnsi="Consolas"/>
          <w:b/>
          <w:i w:val="0"/>
          <w:color w:val="2F7A58"/>
          <w:sz w:val="20"/>
        </w:rPr>
        <w:t>The following contracts are normative for Intent-first UI. Existing UX-03–UX-11 remain the task-scoped parking screens and MUST nest under an Intent/Task. Compatibility-wrapped pi_* resources use the same contracts via one-task adapters. Routes are product UI routes, not a live persistence claim.</w:t>
      </w:r>
    </w:p>
    <w:p>
      <w:pPr>
        <w:pStyle w:val="Heading2"/>
        <w:keepNext/>
      </w:pPr>
      <w:r>
        <w:t>5.19 UX-17 - Objective-first Intent composer</w:t>
      </w:r>
    </w:p>
    <w:p>
      <w:pPr>
        <w:spacing w:before="600" w:after="100"/>
      </w:pPr>
      <w:r>
        <w:rPr>
          <w:rFonts w:ascii="Consolas" w:hAnsi="Consolas"/>
          <w:b/>
          <w:i w:val="0"/>
          <w:color w:val="2F7A58"/>
          <w:sz w:val="20"/>
        </w:rPr>
        <w:t>Delivery: Current / G1. Replaces domain picker as the primary /intents/new surface.</w:t>
      </w:r>
    </w:p>
    <w:p>
      <w:pPr>
        <w:spacing w:before="600" w:after="100"/>
      </w:pPr>
      <w:r>
        <w:rPr>
          <w:rFonts w:ascii="Consolas" w:hAnsi="Consolas"/>
          <w:b/>
          <w:i w:val="0"/>
          <w:color w:val="2F7A58"/>
          <w:sz w:val="20"/>
        </w:rPr>
        <w:t>Purpose: Create an Intent from an objective without mandatory domain selection.</w:t>
      </w:r>
    </w:p>
    <w:p>
      <w:pPr>
        <w:spacing w:before="600" w:after="100"/>
      </w:pPr>
      <w:r>
        <w:rPr>
          <w:rFonts w:ascii="Consolas" w:hAnsi="Consolas"/>
          <w:b/>
          <w:i w:val="0"/>
          <w:color w:val="2F7A58"/>
          <w:sz w:val="20"/>
        </w:rPr>
        <w:t>Entry: /intents/new. Domain chips are optional, not required.</w:t>
      </w:r>
    </w:p>
    <w:p>
      <w:pPr>
        <w:spacing w:before="600" w:after="100"/>
      </w:pPr>
      <w:r>
        <w:rPr>
          <w:rFonts w:ascii="Consolas" w:hAnsi="Consolas"/>
          <w:b/>
          <w:i w:val="0"/>
          <w:color w:val="2F7A58"/>
          <w:sz w:val="20"/>
        </w:rPr>
        <w:t>Required content: Objective field; inspectable Intent draft; proposed Booking Tasks with accept/decline; at most three clarification questions per round; no domain-first gate.</w:t>
      </w:r>
    </w:p>
    <w:p>
      <w:pPr>
        <w:spacing w:before="600" w:after="100"/>
      </w:pPr>
      <w:r>
        <w:rPr>
          <w:rFonts w:ascii="Consolas" w:hAnsi="Consolas"/>
          <w:b/>
          <w:i w:val="0"/>
          <w:color w:val="2F7A58"/>
          <w:sz w:val="20"/>
        </w:rPr>
        <w:t>Primary action: Continue Intent</w:t>
      </w:r>
    </w:p>
    <w:p>
      <w:pPr>
        <w:spacing w:before="600" w:after="100"/>
      </w:pPr>
      <w:r>
        <w:rPr>
          <w:rFonts w:ascii="Consolas" w:hAnsi="Consolas"/>
          <w:b/>
          <w:i w:val="0"/>
          <w:color w:val="2F7A58"/>
          <w:sz w:val="20"/>
        </w:rPr>
        <w:t>Routes: /intents/new → Intent draft. Does not create a Booking.</w:t>
      </w:r>
    </w:p>
    <w:p>
      <w:pPr>
        <w:pStyle w:val="Heading2"/>
        <w:keepNext/>
      </w:pPr>
      <w:r>
        <w:t>5.20 UX-18 - Domain shortcut (one-task Intent)</w:t>
      </w:r>
    </w:p>
    <w:p>
      <w:pPr>
        <w:spacing w:before="600" w:after="100"/>
      </w:pPr>
      <w:r>
        <w:rPr>
          <w:rFonts w:ascii="Consolas" w:hAnsi="Consolas"/>
          <w:b/>
          <w:i w:val="0"/>
          <w:color w:val="2F7A58"/>
          <w:sz w:val="20"/>
        </w:rPr>
        <w:t>Delivery: Current compatibility path.</w:t>
      </w:r>
    </w:p>
    <w:p>
      <w:pPr>
        <w:spacing w:before="600" w:after="100"/>
      </w:pPr>
      <w:r>
        <w:rPr>
          <w:rFonts w:ascii="Consolas" w:hAnsi="Consolas"/>
          <w:b/>
          <w:i w:val="0"/>
          <w:color w:val="2F7A58"/>
          <w:sz w:val="20"/>
        </w:rPr>
        <w:t>Purpose: Optional domain shortcut creates a one-task Intent and enters the same A1–A4 flow.</w:t>
      </w:r>
    </w:p>
    <w:p>
      <w:pPr>
        <w:spacing w:before="600" w:after="100"/>
      </w:pPr>
      <w:r>
        <w:rPr>
          <w:rFonts w:ascii="Consolas" w:hAnsi="Consolas"/>
          <w:b/>
          <w:i w:val="0"/>
          <w:color w:val="2F7A58"/>
          <w:sz w:val="20"/>
        </w:rPr>
        <w:t>Entry: /intents/new/:domainId, including parking.</w:t>
      </w:r>
    </w:p>
    <w:p>
      <w:pPr>
        <w:spacing w:before="600" w:after="100"/>
      </w:pPr>
      <w:r>
        <w:rPr>
          <w:rFonts w:ascii="Consolas" w:hAnsi="Consolas"/>
          <w:b/>
          <w:i w:val="0"/>
          <w:color w:val="2F7A58"/>
          <w:sz w:val="20"/>
        </w:rPr>
        <w:t>Required content: Same governed task spine as a multi-task Intent with one accepted Booking Task. MUST NOT jump to a four-task fixture workspace.</w:t>
      </w:r>
    </w:p>
    <w:p>
      <w:pPr>
        <w:spacing w:before="600" w:after="100"/>
      </w:pPr>
      <w:r>
        <w:rPr>
          <w:rFonts w:ascii="Consolas" w:hAnsi="Consolas"/>
          <w:b/>
          <w:i w:val="0"/>
          <w:color w:val="2F7A58"/>
          <w:sz w:val="20"/>
        </w:rPr>
        <w:t>Primary action: Confirm task requirement (A1)</w:t>
      </w:r>
    </w:p>
    <w:p>
      <w:pPr>
        <w:spacing w:before="600" w:after="100"/>
      </w:pPr>
      <w:r>
        <w:rPr>
          <w:rFonts w:ascii="Consolas" w:hAnsi="Consolas"/>
          <w:b/>
          <w:i w:val="0"/>
          <w:color w:val="2F7A58"/>
          <w:sz w:val="20"/>
        </w:rPr>
        <w:t>Routes: /intents/new/:domainId → /intents/:intentId/tasks/:taskId/a1.</w:t>
      </w:r>
    </w:p>
    <w:p>
      <w:pPr>
        <w:pStyle w:val="Heading2"/>
        <w:keepNext/>
      </w:pPr>
      <w:r>
        <w:t>5.21 UX-19 - Intent workspace (Conversation + Plan)</w:t>
      </w:r>
    </w:p>
    <w:p>
      <w:pPr>
        <w:spacing w:before="600" w:after="100"/>
      </w:pPr>
      <w:r>
        <w:rPr>
          <w:rFonts w:ascii="Consolas" w:hAnsi="Consolas"/>
          <w:b/>
          <w:i w:val="0"/>
          <w:color w:val="2F7A58"/>
          <w:sz w:val="20"/>
        </w:rPr>
        <w:t>Delivery: Current / G1.</w:t>
      </w:r>
    </w:p>
    <w:p>
      <w:pPr>
        <w:spacing w:before="600" w:after="100"/>
      </w:pPr>
      <w:r>
        <w:rPr>
          <w:rFonts w:ascii="Consolas" w:hAnsi="Consolas"/>
          <w:b/>
          <w:i w:val="0"/>
          <w:color w:val="2F7A58"/>
          <w:sz w:val="20"/>
        </w:rPr>
        <w:t>Purpose: Conversation is intake/continuity; Plan is the structured decision record.</w:t>
      </w:r>
    </w:p>
    <w:p>
      <w:pPr>
        <w:spacing w:before="600" w:after="100"/>
      </w:pPr>
      <w:r>
        <w:rPr>
          <w:rFonts w:ascii="Consolas" w:hAnsi="Consolas"/>
          <w:b/>
          <w:i w:val="0"/>
          <w:color w:val="2F7A58"/>
          <w:sz w:val="20"/>
        </w:rPr>
        <w:t>Entry: /intents/:intentId and /intents/:intentId/plan.</w:t>
      </w:r>
    </w:p>
    <w:p>
      <w:pPr>
        <w:spacing w:before="600" w:after="100"/>
      </w:pPr>
      <w:r>
        <w:rPr>
          <w:rFonts w:ascii="Consolas" w:hAnsi="Consolas"/>
          <w:b/>
          <w:i w:val="0"/>
          <w:color w:val="2F7A58"/>
          <w:sz w:val="20"/>
        </w:rPr>
        <w:t>Required content: Conversation transcript plus structured facts with provenance/correction. Plan of Booking Tasks. Combined recommendations when ≥2 tasks are offer-ready. Cost Ledger. Desktop: Conversation + Plan together. Compact: Plan tab first when a decision needs attention, else Conversation; Tasks, combined recommendations, and Ledger remain reachable.</w:t>
      </w:r>
    </w:p>
    <w:p>
      <w:pPr>
        <w:spacing w:before="600" w:after="100"/>
      </w:pPr>
      <w:r>
        <w:rPr>
          <w:rFonts w:ascii="Consolas" w:hAnsi="Consolas"/>
          <w:b/>
          <w:i w:val="0"/>
          <w:color w:val="2F7A58"/>
          <w:sz w:val="20"/>
        </w:rPr>
        <w:t>Primary action: Open a Booking Task or act on Needs you</w:t>
      </w:r>
    </w:p>
    <w:p>
      <w:pPr>
        <w:spacing w:before="600" w:after="100"/>
      </w:pPr>
      <w:r>
        <w:rPr>
          <w:rFonts w:ascii="Consolas" w:hAnsi="Consolas"/>
          <w:b/>
          <w:i w:val="0"/>
          <w:color w:val="2F7A58"/>
          <w:sz w:val="20"/>
        </w:rPr>
        <w:t>Routes: /intents/:intentId ; /intents/:intentId/plan. Decisions MUST NOT live only in transcript text.</w:t>
      </w:r>
    </w:p>
    <w:p>
      <w:pPr>
        <w:pStyle w:val="Heading2"/>
        <w:keepNext/>
      </w:pPr>
      <w:r>
        <w:t>5.22 UX-20 - Booking Task summary</w:t>
      </w:r>
    </w:p>
    <w:p>
      <w:pPr>
        <w:spacing w:before="600" w:after="100"/>
      </w:pPr>
      <w:r>
        <w:rPr>
          <w:rFonts w:ascii="Consolas" w:hAnsi="Consolas"/>
          <w:b/>
          <w:i w:val="0"/>
          <w:color w:val="2F7A58"/>
          <w:sz w:val="20"/>
        </w:rPr>
        <w:t>Delivery: Current / G1.</w:t>
      </w:r>
    </w:p>
    <w:p>
      <w:pPr>
        <w:spacing w:before="600" w:after="100"/>
      </w:pPr>
      <w:r>
        <w:rPr>
          <w:rFonts w:ascii="Consolas" w:hAnsi="Consolas"/>
          <w:b/>
          <w:i w:val="0"/>
          <w:color w:val="2F7A58"/>
          <w:sz w:val="20"/>
        </w:rPr>
        <w:t>Purpose: Show one Booking Task nested under the owning Intent Plan.</w:t>
      </w:r>
    </w:p>
    <w:p>
      <w:pPr>
        <w:spacing w:before="600" w:after="100"/>
      </w:pPr>
      <w:r>
        <w:rPr>
          <w:rFonts w:ascii="Consolas" w:hAnsi="Consolas"/>
          <w:b/>
          <w:i w:val="0"/>
          <w:color w:val="2F7A58"/>
          <w:sz w:val="20"/>
        </w:rPr>
        <w:t>Entry: /intents/:intentId/tasks/:taskId.</w:t>
      </w:r>
    </w:p>
    <w:p>
      <w:pPr>
        <w:spacing w:before="600" w:after="100"/>
      </w:pPr>
      <w:r>
        <w:rPr>
          <w:rFonts w:ascii="Consolas" w:hAnsi="Consolas"/>
          <w:b/>
          <w:i w:val="0"/>
          <w:color w:val="2F7A58"/>
          <w:sz w:val="20"/>
        </w:rPr>
        <w:t>Required content: Domain, requirement version, A1–A4 state, offers summary, validity/inventory/transaction axes, ledger impact. Never send parent Intent, conversation, siblings, or preferences to a supplier.</w:t>
      </w:r>
    </w:p>
    <w:p>
      <w:pPr>
        <w:spacing w:before="600" w:after="100"/>
      </w:pPr>
      <w:r>
        <w:rPr>
          <w:rFonts w:ascii="Consolas" w:hAnsi="Consolas"/>
          <w:b/>
          <w:i w:val="0"/>
          <w:color w:val="2F7A58"/>
          <w:sz w:val="20"/>
        </w:rPr>
        <w:t>Primary action: Continue the next task gate</w:t>
      </w:r>
    </w:p>
    <w:p>
      <w:pPr>
        <w:spacing w:before="600" w:after="100"/>
      </w:pPr>
      <w:r>
        <w:rPr>
          <w:rFonts w:ascii="Consolas" w:hAnsi="Consolas"/>
          <w:b/>
          <w:i w:val="0"/>
          <w:color w:val="2F7A58"/>
          <w:sz w:val="20"/>
        </w:rPr>
        <w:t>Routes: Nested only. No product route /tasks/:taskId.</w:t>
      </w:r>
    </w:p>
    <w:p>
      <w:pPr>
        <w:pStyle w:val="Heading2"/>
        <w:keepNext/>
      </w:pPr>
      <w:r>
        <w:t>5.23 UX-21 - Task A1 requirement confirmation</w:t>
      </w:r>
    </w:p>
    <w:p>
      <w:pPr>
        <w:spacing w:before="600" w:after="100"/>
      </w:pPr>
      <w:r>
        <w:rPr>
          <w:rFonts w:ascii="Consolas" w:hAnsi="Consolas"/>
          <w:b/>
          <w:i w:val="0"/>
          <w:color w:val="2F7A58"/>
          <w:sz w:val="20"/>
        </w:rPr>
        <w:t>Delivery: Current / G1. Adapts UX-03.</w:t>
      </w:r>
    </w:p>
    <w:p>
      <w:pPr>
        <w:spacing w:before="600" w:after="100"/>
      </w:pPr>
      <w:r>
        <w:rPr>
          <w:rFonts w:ascii="Consolas" w:hAnsi="Consolas"/>
          <w:b/>
          <w:i w:val="0"/>
          <w:color w:val="2F7A58"/>
          <w:sz w:val="20"/>
        </w:rPr>
        <w:t>Purpose: Confirm the exact task Requirement/version. Creates/binds PurchaseIntent. Not disclosure and not a Booking.</w:t>
      </w:r>
    </w:p>
    <w:p>
      <w:pPr>
        <w:spacing w:before="600" w:after="100"/>
      </w:pPr>
      <w:r>
        <w:rPr>
          <w:rFonts w:ascii="Consolas" w:hAnsi="Consolas"/>
          <w:b/>
          <w:i w:val="0"/>
          <w:color w:val="2F7A58"/>
          <w:sz w:val="20"/>
        </w:rPr>
        <w:t>Entry: /intents/:intentId/tasks/:taskId/a1.</w:t>
      </w:r>
    </w:p>
    <w:p>
      <w:pPr>
        <w:spacing w:before="600" w:after="100"/>
      </w:pPr>
      <w:r>
        <w:rPr>
          <w:rFonts w:ascii="Consolas" w:hAnsi="Consolas"/>
          <w:b/>
          <w:i w:val="0"/>
          <w:color w:val="2F7A58"/>
          <w:sz w:val="20"/>
        </w:rPr>
        <w:t>Required content: Field rows with evidence/confidence/correction. Supplier-required constraints that are not already requirements MUST be added here, not leaked as preferences.</w:t>
      </w:r>
    </w:p>
    <w:p>
      <w:pPr>
        <w:spacing w:before="600" w:after="100"/>
      </w:pPr>
      <w:r>
        <w:rPr>
          <w:rFonts w:ascii="Consolas" w:hAnsi="Consolas"/>
          <w:b/>
          <w:i w:val="0"/>
          <w:color w:val="2F7A58"/>
          <w:sz w:val="20"/>
        </w:rPr>
        <w:t>Primary action: Confirm requirement</w:t>
      </w:r>
    </w:p>
    <w:p>
      <w:pPr>
        <w:spacing w:before="600" w:after="100"/>
      </w:pPr>
      <w:r>
        <w:rPr>
          <w:rFonts w:ascii="Consolas" w:hAnsi="Consolas"/>
          <w:b/>
          <w:i w:val="0"/>
          <w:color w:val="2F7A58"/>
          <w:sz w:val="20"/>
        </w:rPr>
        <w:t>Invalidation: Material requirement edit invalidates this task's A2/offers/A3/A4 only.</w:t>
      </w:r>
    </w:p>
    <w:p>
      <w:pPr>
        <w:pStyle w:val="Heading2"/>
        <w:keepNext/>
      </w:pPr>
      <w:r>
        <w:t>5.24 UX-22 - Task A2 disclosure approval</w:t>
      </w:r>
    </w:p>
    <w:p>
      <w:pPr>
        <w:spacing w:before="600" w:after="100"/>
      </w:pPr>
      <w:r>
        <w:rPr>
          <w:rFonts w:ascii="Consolas" w:hAnsi="Consolas"/>
          <w:b/>
          <w:i w:val="0"/>
          <w:color w:val="2F7A58"/>
          <w:sz w:val="20"/>
        </w:rPr>
        <w:t>Delivery: Current / G1. Adapts UX-05.</w:t>
      </w:r>
    </w:p>
    <w:p>
      <w:pPr>
        <w:spacing w:before="600" w:after="100"/>
      </w:pPr>
      <w:r>
        <w:rPr>
          <w:rFonts w:ascii="Consolas" w:hAnsi="Consolas"/>
          <w:b/>
          <w:i w:val="0"/>
          <w:color w:val="2F7A58"/>
          <w:sz w:val="20"/>
        </w:rPr>
        <w:t>Purpose: Approve exact requirement fields, purposes, recipients, hash, and expiry for this task.</w:t>
      </w:r>
    </w:p>
    <w:p>
      <w:pPr>
        <w:spacing w:before="600" w:after="100"/>
      </w:pPr>
      <w:r>
        <w:rPr>
          <w:rFonts w:ascii="Consolas" w:hAnsi="Consolas"/>
          <w:b/>
          <w:i w:val="0"/>
          <w:color w:val="2F7A58"/>
          <w:sz w:val="20"/>
        </w:rPr>
        <w:t>Entry: /intents/:intentId/tasks/:taskId/a2.</w:t>
      </w:r>
    </w:p>
    <w:p>
      <w:pPr>
        <w:spacing w:before="600" w:after="100"/>
      </w:pPr>
      <w:r>
        <w:rPr>
          <w:rFonts w:ascii="Consolas" w:hAnsi="Consolas"/>
          <w:b/>
          <w:i w:val="0"/>
          <w:color w:val="2F7A58"/>
          <w:sz w:val="20"/>
        </w:rPr>
        <w:t>Required content: Sent vs withheld requirement fields only. Preferences are never listed, never optional, never a later/separate A2. Partial omit uses Definition Gate §5.1 consequences.</w:t>
      </w:r>
    </w:p>
    <w:p>
      <w:pPr>
        <w:spacing w:before="600" w:after="100"/>
      </w:pPr>
      <w:r>
        <w:rPr>
          <w:rFonts w:ascii="Consolas" w:hAnsi="Consolas"/>
          <w:b/>
          <w:i w:val="0"/>
          <w:color w:val="2F7A58"/>
          <w:sz w:val="20"/>
        </w:rPr>
        <w:t>Primary action: Authorize disclosure</w:t>
      </w:r>
    </w:p>
    <w:p>
      <w:pPr>
        <w:spacing w:before="600" w:after="100"/>
      </w:pPr>
      <w:r>
        <w:rPr>
          <w:rFonts w:ascii="Consolas" w:hAnsi="Consolas"/>
          <w:b/>
          <w:i w:val="0"/>
          <w:color w:val="2F7A58"/>
          <w:sz w:val="20"/>
        </w:rPr>
        <w:t>Assurance: A2 is not a Booking and sends no preference history.</w:t>
      </w:r>
    </w:p>
    <w:p>
      <w:pPr>
        <w:pStyle w:val="Heading2"/>
        <w:keepNext/>
      </w:pPr>
      <w:r>
        <w:t>5.25 UX-23 - Task offers</w:t>
      </w:r>
    </w:p>
    <w:p>
      <w:pPr>
        <w:spacing w:before="600" w:after="100"/>
      </w:pPr>
      <w:r>
        <w:rPr>
          <w:rFonts w:ascii="Consolas" w:hAnsi="Consolas"/>
          <w:b/>
          <w:i w:val="0"/>
          <w:color w:val="2F7A58"/>
          <w:sz w:val="20"/>
        </w:rPr>
        <w:t>Delivery: Current / G1. Adapts UX-07/08.</w:t>
      </w:r>
    </w:p>
    <w:p>
      <w:pPr>
        <w:spacing w:before="600" w:after="100"/>
      </w:pPr>
      <w:r>
        <w:rPr>
          <w:rFonts w:ascii="Consolas" w:hAnsi="Consolas"/>
          <w:b/>
          <w:i w:val="0"/>
          <w:color w:val="2F7A58"/>
          <w:sz w:val="20"/>
        </w:rPr>
        <w:t>Purpose: Present buyer Offer projection without scoreMicros.</w:t>
      </w:r>
    </w:p>
    <w:p>
      <w:pPr>
        <w:spacing w:before="600" w:after="100"/>
      </w:pPr>
      <w:r>
        <w:rPr>
          <w:rFonts w:ascii="Consolas" w:hAnsi="Consolas"/>
          <w:b/>
          <w:i w:val="0"/>
          <w:color w:val="2F7A58"/>
          <w:sz w:val="20"/>
        </w:rPr>
        <w:t>Entry: /intents/:intentId/tasks/:taskId/offers.</w:t>
      </w:r>
    </w:p>
    <w:p>
      <w:pPr>
        <w:spacing w:before="600" w:after="100"/>
      </w:pPr>
      <w:r>
        <w:rPr>
          <w:rFonts w:ascii="Consolas" w:hAnsi="Consolas"/>
          <w:b/>
          <w:i w:val="0"/>
          <w:color w:val="2F7A58"/>
          <w:sz w:val="20"/>
        </w:rPr>
        <w:t>Required content: sourceType/offerClass, price/terms, version, evidence/completeness, qualitative fit, validity (valid/expiring/expired/superseded), inventory (not_held / subject_to_availability / held_until; always not_held in simulation), transaction result separate. validUntil NEVER implies inventoryHeldUntil. Expired/superseded cannot proceed to A3/A4.</w:t>
      </w:r>
    </w:p>
    <w:p>
      <w:pPr>
        <w:spacing w:before="600" w:after="100"/>
      </w:pPr>
      <w:r>
        <w:rPr>
          <w:rFonts w:ascii="Consolas" w:hAnsi="Consolas"/>
          <w:b/>
          <w:i w:val="0"/>
          <w:color w:val="2F7A58"/>
          <w:sz w:val="20"/>
        </w:rPr>
        <w:t>Primary action: Select an eligible offer</w:t>
      </w:r>
    </w:p>
    <w:p>
      <w:pPr>
        <w:spacing w:before="600" w:after="100"/>
      </w:pPr>
      <w:r>
        <w:rPr>
          <w:rFonts w:ascii="Consolas" w:hAnsi="Consolas"/>
          <w:b/>
          <w:i w:val="0"/>
          <w:color w:val="2F7A58"/>
          <w:sz w:val="20"/>
        </w:rPr>
        <w:t>Prohibited: Buyer numeric scores; simulated holds; reconstructing commercial truth from supplier-token catalogs.</w:t>
      </w:r>
    </w:p>
    <w:p>
      <w:pPr>
        <w:pStyle w:val="Heading2"/>
        <w:keepNext/>
      </w:pPr>
      <w:r>
        <w:t>5.26 UX-24 - Task A3 selected-offer review</w:t>
      </w:r>
    </w:p>
    <w:p>
      <w:pPr>
        <w:spacing w:before="600" w:after="100"/>
      </w:pPr>
      <w:r>
        <w:rPr>
          <w:rFonts w:ascii="Consolas" w:hAnsi="Consolas"/>
          <w:b/>
          <w:i w:val="0"/>
          <w:color w:val="2F7A58"/>
          <w:sz w:val="20"/>
        </w:rPr>
        <w:t>Delivery: Current / G1. Adapts UX-09.</w:t>
      </w:r>
    </w:p>
    <w:p>
      <w:pPr>
        <w:spacing w:before="600" w:after="100"/>
      </w:pPr>
      <w:r>
        <w:rPr>
          <w:rFonts w:ascii="Consolas" w:hAnsi="Consolas"/>
          <w:b/>
          <w:i w:val="0"/>
          <w:color w:val="2F7A58"/>
          <w:sz w:val="20"/>
        </w:rPr>
        <w:t>Purpose: Review/accept the exact selected offer, not merely the recommendation. No reserve, no charge, no Booking.</w:t>
      </w:r>
    </w:p>
    <w:p>
      <w:pPr>
        <w:spacing w:before="600" w:after="100"/>
      </w:pPr>
      <w:r>
        <w:rPr>
          <w:rFonts w:ascii="Consolas" w:hAnsi="Consolas"/>
          <w:b/>
          <w:i w:val="0"/>
          <w:color w:val="2F7A58"/>
          <w:sz w:val="20"/>
        </w:rPr>
        <w:t>Entry: /intents/:intentId/tasks/:taskId/a3.</w:t>
      </w:r>
    </w:p>
    <w:p>
      <w:pPr>
        <w:spacing w:before="600" w:after="100"/>
      </w:pPr>
      <w:r>
        <w:rPr>
          <w:rFonts w:ascii="Consolas" w:hAnsi="Consolas"/>
          <w:b/>
          <w:i w:val="0"/>
          <w:color w:val="2F7A58"/>
          <w:sz w:val="20"/>
        </w:rPr>
        <w:t>Required content: Selected supplier, amount, currency, offer/version, terms hash, validity, inventory not_held in simulation.</w:t>
      </w:r>
    </w:p>
    <w:p>
      <w:pPr>
        <w:spacing w:before="600" w:after="100"/>
      </w:pPr>
      <w:r>
        <w:rPr>
          <w:rFonts w:ascii="Consolas" w:hAnsi="Consolas"/>
          <w:b/>
          <w:i w:val="0"/>
          <w:color w:val="2F7A58"/>
          <w:sz w:val="20"/>
        </w:rPr>
        <w:t>Primary action: Accept selected offer</w:t>
      </w:r>
    </w:p>
    <w:p>
      <w:pPr>
        <w:spacing w:before="600" w:after="100"/>
      </w:pPr>
      <w:r>
        <w:rPr>
          <w:rFonts w:ascii="Consolas" w:hAnsi="Consolas"/>
          <w:b/>
          <w:i w:val="0"/>
          <w:color w:val="2F7A58"/>
          <w:sz w:val="20"/>
        </w:rPr>
        <w:t>Blockers: Expired, superseded, or incomplete-on-required-dimension offers.</w:t>
      </w:r>
    </w:p>
    <w:p>
      <w:pPr>
        <w:pStyle w:val="Heading2"/>
        <w:keepNext/>
      </w:pPr>
      <w:r>
        <w:t>5.27 UX-25 - Task A4 authorization</w:t>
      </w:r>
    </w:p>
    <w:p>
      <w:pPr>
        <w:spacing w:before="600" w:after="100"/>
      </w:pPr>
      <w:r>
        <w:rPr>
          <w:rFonts w:ascii="Consolas" w:hAnsi="Consolas"/>
          <w:b/>
          <w:i w:val="0"/>
          <w:color w:val="2F7A58"/>
          <w:sz w:val="20"/>
        </w:rPr>
        <w:t>Delivery: Current / G1. Adapts UX-10.</w:t>
      </w:r>
    </w:p>
    <w:p>
      <w:pPr>
        <w:spacing w:before="600" w:after="100"/>
      </w:pPr>
      <w:r>
        <w:rPr>
          <w:rFonts w:ascii="Consolas" w:hAnsi="Consolas"/>
          <w:b/>
          <w:i w:val="0"/>
          <w:color w:val="2F7A58"/>
          <w:sz w:val="20"/>
        </w:rPr>
        <w:t>Purpose: Authorize ReservEdge to attempt the exact transaction. A4 is not a Booking.</w:t>
      </w:r>
    </w:p>
    <w:p>
      <w:pPr>
        <w:spacing w:before="600" w:after="100"/>
      </w:pPr>
      <w:r>
        <w:rPr>
          <w:rFonts w:ascii="Consolas" w:hAnsi="Consolas"/>
          <w:b/>
          <w:i w:val="0"/>
          <w:color w:val="2F7A58"/>
          <w:sz w:val="20"/>
        </w:rPr>
        <w:t>Entry: /intents/:intentId/tasks/:taskId/a4.</w:t>
      </w:r>
    </w:p>
    <w:p>
      <w:pPr>
        <w:spacing w:before="600" w:after="100"/>
      </w:pPr>
      <w:r>
        <w:rPr>
          <w:rFonts w:ascii="Consolas" w:hAnsi="Consolas"/>
          <w:b/>
          <w:i w:val="0"/>
          <w:color w:val="2F7A58"/>
          <w:sz w:val="20"/>
        </w:rPr>
        <w:t>Required content: Exact supplier, action, amount, currency, offer/version, terms hash, validity. Simulation: no hold, payment, or supplier contact. Live sequence is future: authorized_live → booking_pending → confirmed_booking | booking_failed.</w:t>
      </w:r>
    </w:p>
    <w:p>
      <w:pPr>
        <w:spacing w:before="600" w:after="100"/>
      </w:pPr>
      <w:r>
        <w:rPr>
          <w:rFonts w:ascii="Consolas" w:hAnsi="Consolas"/>
          <w:b/>
          <w:i w:val="0"/>
          <w:color w:val="2F7A58"/>
          <w:sz w:val="20"/>
        </w:rPr>
        <w:t>Primary action: Authorize attempt</w:t>
      </w:r>
    </w:p>
    <w:p>
      <w:pPr>
        <w:spacing w:before="600" w:after="100"/>
      </w:pPr>
      <w:r>
        <w:rPr>
          <w:rFonts w:ascii="Consolas" w:hAnsi="Consolas"/>
          <w:b/>
          <w:i w:val="0"/>
          <w:color w:val="2F7A58"/>
          <w:sz w:val="20"/>
        </w:rPr>
        <w:t>Result: Simulation terminates at authorized_simulated. A4 success MUST NOT write confirmed_booking.</w:t>
      </w:r>
    </w:p>
    <w:p>
      <w:pPr>
        <w:pStyle w:val="Heading2"/>
        <w:keepNext/>
      </w:pPr>
      <w:r>
        <w:t>5.28 UX-26 - Task confirmation / result</w:t>
      </w:r>
    </w:p>
    <w:p>
      <w:pPr>
        <w:spacing w:before="600" w:after="100"/>
      </w:pPr>
      <w:r>
        <w:rPr>
          <w:rFonts w:ascii="Consolas" w:hAnsi="Consolas"/>
          <w:b/>
          <w:i w:val="0"/>
          <w:color w:val="2F7A58"/>
          <w:sz w:val="20"/>
        </w:rPr>
        <w:t>Delivery: Current simulation path / G1.</w:t>
      </w:r>
    </w:p>
    <w:p>
      <w:pPr>
        <w:spacing w:before="600" w:after="100"/>
      </w:pPr>
      <w:r>
        <w:rPr>
          <w:rFonts w:ascii="Consolas" w:hAnsi="Consolas"/>
          <w:b/>
          <w:i w:val="0"/>
          <w:color w:val="2F7A58"/>
          <w:sz w:val="20"/>
        </w:rPr>
        <w:t>Purpose: Show the state-derived result. Never present A4 success as a Booking.</w:t>
      </w:r>
    </w:p>
    <w:p>
      <w:pPr>
        <w:spacing w:before="600" w:after="100"/>
      </w:pPr>
      <w:r>
        <w:rPr>
          <w:rFonts w:ascii="Consolas" w:hAnsi="Consolas"/>
          <w:b/>
          <w:i w:val="0"/>
          <w:color w:val="2F7A58"/>
          <w:sz w:val="20"/>
        </w:rPr>
        <w:t>Entry: /intents/:intentId/tasks/:taskId/confirmation. Compatibility redirect from /intents/:intentId/confirmation for a sole wrapped task.</w:t>
      </w:r>
    </w:p>
    <w:p>
      <w:pPr>
        <w:spacing w:before="600" w:after="100"/>
      </w:pPr>
      <w:r>
        <w:rPr>
          <w:rFonts w:ascii="Consolas" w:hAnsi="Consolas"/>
          <w:b/>
          <w:i w:val="0"/>
          <w:color w:val="2F7A58"/>
          <w:sz w:val="20"/>
        </w:rPr>
        <w:t>Required content: Simulation: authorized_simulated receipt, inventory not_held, transaction simulated. Live (future): authorized_live / booking_pending / confirmed_booking / booking_failed as the task state.</w:t>
      </w:r>
    </w:p>
    <w:p>
      <w:pPr>
        <w:spacing w:before="600" w:after="100"/>
      </w:pPr>
      <w:r>
        <w:rPr>
          <w:rFonts w:ascii="Consolas" w:hAnsi="Consolas"/>
          <w:b/>
          <w:i w:val="0"/>
          <w:color w:val="2F7A58"/>
          <w:sz w:val="20"/>
        </w:rPr>
        <w:t>Primary action: Return to Intent Plan</w:t>
      </w:r>
    </w:p>
    <w:p>
      <w:pPr>
        <w:spacing w:before="600" w:after="100"/>
      </w:pPr>
      <w:r>
        <w:rPr>
          <w:rFonts w:ascii="Consolas" w:hAnsi="Consolas"/>
          <w:b/>
          <w:i w:val="0"/>
          <w:color w:val="2F7A58"/>
          <w:sz w:val="20"/>
        </w:rPr>
        <w:t>Prohibited: Resume-after-days copy; inventory hold inferred from validity.</w:t>
      </w:r>
    </w:p>
    <w:p>
      <w:pPr>
        <w:pStyle w:val="Heading2"/>
        <w:keepNext/>
      </w:pPr>
      <w:r>
        <w:t>5.29 UX-27 - Combined recommendations</w:t>
      </w:r>
    </w:p>
    <w:p>
      <w:pPr>
        <w:spacing w:before="600" w:after="100"/>
      </w:pPr>
      <w:r>
        <w:rPr>
          <w:rFonts w:ascii="Consolas" w:hAnsi="Consolas"/>
          <w:b/>
          <w:i w:val="0"/>
          <w:color w:val="2F7A58"/>
          <w:sz w:val="20"/>
        </w:rPr>
        <w:t>Delivery: Current / required Intent-first surface.</w:t>
      </w:r>
    </w:p>
    <w:p>
      <w:pPr>
        <w:spacing w:before="600" w:after="100"/>
      </w:pPr>
      <w:r>
        <w:rPr>
          <w:rFonts w:ascii="Consolas" w:hAnsi="Consolas"/>
          <w:b/>
          <w:i w:val="0"/>
          <w:color w:val="2F7A58"/>
          <w:sz w:val="20"/>
        </w:rPr>
        <w:t>Purpose: When ≥2 Booking Tasks are offer-ready, show their recommendations together without merging approvals.</w:t>
      </w:r>
    </w:p>
    <w:p>
      <w:pPr>
        <w:spacing w:before="600" w:after="100"/>
      </w:pPr>
      <w:r>
        <w:rPr>
          <w:rFonts w:ascii="Consolas" w:hAnsi="Consolas"/>
          <w:b/>
          <w:i w:val="0"/>
          <w:color w:val="2F7A58"/>
          <w:sz w:val="20"/>
        </w:rPr>
        <w:t>Entry: Intent Plan when parking and at least one other task (fixture rental allowed) are offer-ready.</w:t>
      </w:r>
    </w:p>
    <w:p>
      <w:pPr>
        <w:spacing w:before="600" w:after="100"/>
      </w:pPr>
      <w:r>
        <w:rPr>
          <w:rFonts w:ascii="Consolas" w:hAnsi="Consolas"/>
          <w:b/>
          <w:i w:val="0"/>
          <w:color w:val="2F7A58"/>
          <w:sz w:val="20"/>
        </w:rPr>
        <w:t>Required content: Per-task recommended offer, validity, inventory not_held in simulation, independent Compare / Review / Authorize, and ledger impact. No itinerary-wide supplier payload.</w:t>
      </w:r>
    </w:p>
    <w:p>
      <w:pPr>
        <w:spacing w:before="600" w:after="100"/>
      </w:pPr>
      <w:r>
        <w:rPr>
          <w:rFonts w:ascii="Consolas" w:hAnsi="Consolas"/>
          <w:b/>
          <w:i w:val="0"/>
          <w:color w:val="2F7A58"/>
          <w:sz w:val="20"/>
        </w:rPr>
        <w:t>Primary action: Review a task</w:t>
      </w:r>
    </w:p>
    <w:p>
      <w:pPr>
        <w:spacing w:before="600" w:after="100"/>
      </w:pPr>
      <w:r>
        <w:rPr>
          <w:rFonts w:ascii="Consolas" w:hAnsi="Consolas"/>
          <w:b/>
          <w:i w:val="0"/>
          <w:color w:val="2F7A58"/>
          <w:sz w:val="20"/>
        </w:rPr>
        <w:t>Constraint: Each task keeps its own A3/A4.</w:t>
      </w:r>
    </w:p>
    <w:p>
      <w:pPr>
        <w:pStyle w:val="Heading2"/>
        <w:keepNext/>
      </w:pPr>
      <w:r>
        <w:t>5.30 UX-28 - Intent Cost Ledger</w:t>
      </w:r>
    </w:p>
    <w:p>
      <w:pPr>
        <w:spacing w:before="600" w:after="100"/>
      </w:pPr>
      <w:r>
        <w:rPr>
          <w:rFonts w:ascii="Consolas" w:hAnsi="Consolas"/>
          <w:b/>
          <w:i w:val="0"/>
          <w:color w:val="2F7A58"/>
          <w:sz w:val="20"/>
        </w:rPr>
        <w:t>Delivery: Current / required Intent-first surface.</w:t>
      </w:r>
    </w:p>
    <w:p>
      <w:pPr>
        <w:spacing w:before="600" w:after="100"/>
      </w:pPr>
      <w:r>
        <w:rPr>
          <w:rFonts w:ascii="Consolas" w:hAnsi="Consolas"/>
          <w:b/>
          <w:i w:val="0"/>
          <w:color w:val="2F7A58"/>
          <w:sz w:val="20"/>
        </w:rPr>
        <w:t>Purpose: Deterministic Intent-level Cost Ledger. No LLM arithmetic.</w:t>
      </w:r>
    </w:p>
    <w:p>
      <w:pPr>
        <w:spacing w:before="600" w:after="100"/>
      </w:pPr>
      <w:r>
        <w:rPr>
          <w:rFonts w:ascii="Consolas" w:hAnsi="Consolas"/>
          <w:b/>
          <w:i w:val="0"/>
          <w:color w:val="2F7A58"/>
          <w:sz w:val="20"/>
        </w:rPr>
        <w:t>Entry: Desktop workspace and compact Plan/Ledger access.</w:t>
      </w:r>
    </w:p>
    <w:p>
      <w:pPr>
        <w:spacing w:before="600" w:after="100"/>
      </w:pPr>
      <w:r>
        <w:rPr>
          <w:rFonts w:ascii="Consolas" w:hAnsi="Consolas"/>
          <w:b/>
          <w:i w:val="0"/>
          <w:color w:val="2F7A58"/>
          <w:sz w:val="20"/>
        </w:rPr>
        <w:t>Required content: Rows per Booking Task. Buckets: confirmed_booking; authorized_simulated; authorized_live; booking_pending; selected/not authorized; estimated; expired/excluded; taxes/fees; authoritative deposits/holds; payable now/later. Simulation never writes confirmed_booking, payable-now, or deposits/holds. Mixed currencies stay separate unless rate, source, and timestamp are evidenced.</w:t>
      </w:r>
    </w:p>
    <w:p>
      <w:pPr>
        <w:spacing w:before="600" w:after="100"/>
      </w:pPr>
      <w:r>
        <w:rPr>
          <w:rFonts w:ascii="Consolas" w:hAnsi="Consolas"/>
          <w:b/>
          <w:i w:val="0"/>
          <w:color w:val="2F7A58"/>
          <w:sz w:val="20"/>
        </w:rPr>
        <w:t>Primary action: Inspect a task row</w:t>
      </w:r>
    </w:p>
    <w:p>
      <w:pPr>
        <w:spacing w:before="600" w:after="100"/>
      </w:pPr>
      <w:r>
        <w:rPr>
          <w:rFonts w:ascii="Consolas" w:hAnsi="Consolas"/>
          <w:b/>
          <w:i w:val="0"/>
          <w:color w:val="2F7A58"/>
          <w:sz w:val="20"/>
        </w:rPr>
        <w:t>Prohibited: Silent FX summation; presenting authorized_simulated as a Booking.</w:t>
      </w:r>
    </w:p>
    <w:p>
      <w:pPr>
        <w:pStyle w:val="Heading2"/>
        <w:keepNext/>
      </w:pPr>
      <w:r>
        <w:t>5.31 UX-29 - Compatibility-wrapped pi_* Intents</w:t>
      </w:r>
    </w:p>
    <w:p>
      <w:pPr>
        <w:spacing w:before="600" w:after="100"/>
      </w:pPr>
      <w:r>
        <w:rPr>
          <w:rFonts w:ascii="Consolas" w:hAnsi="Consolas"/>
          <w:b/>
          <w:i w:val="0"/>
          <w:color w:val="2F7A58"/>
          <w:sz w:val="20"/>
        </w:rPr>
        <w:t>Delivery: Current.</w:t>
      </w:r>
    </w:p>
    <w:p>
      <w:pPr>
        <w:spacing w:before="600" w:after="100"/>
      </w:pPr>
      <w:r>
        <w:rPr>
          <w:rFonts w:ascii="Consolas" w:hAnsi="Consolas"/>
          <w:b/>
          <w:i w:val="0"/>
          <w:color w:val="2F7A58"/>
          <w:sz w:val="20"/>
        </w:rPr>
        <w:t>Purpose: Existing pi_* parking snapshots/bookmarks render as one-task Intents.</w:t>
      </w:r>
    </w:p>
    <w:p>
      <w:pPr>
        <w:spacing w:before="600" w:after="100"/>
      </w:pPr>
      <w:r>
        <w:rPr>
          <w:rFonts w:ascii="Consolas" w:hAnsi="Consolas"/>
          <w:b/>
          <w:i w:val="0"/>
          <w:color w:val="2F7A58"/>
          <w:sz w:val="20"/>
        </w:rPr>
        <w:t>Entry: /intents/pi_* wraps to Plan at /intents/:intentId and task routes at /intents/:intentId/tasks/:taskId/....</w:t>
      </w:r>
    </w:p>
    <w:p>
      <w:pPr>
        <w:spacing w:before="600" w:after="100"/>
      </w:pPr>
      <w:r>
        <w:rPr>
          <w:rFonts w:ascii="Consolas" w:hAnsi="Consolas"/>
          <w:b/>
          <w:i w:val="0"/>
          <w:color w:val="2F7A58"/>
          <w:sz w:val="20"/>
        </w:rPr>
        <w:t>Required content: Same Task view-model as live parking. Product behavior MUST NOT branch on startsWith('pi_') outside the compatibility adapter.</w:t>
      </w:r>
    </w:p>
    <w:p>
      <w:pPr>
        <w:spacing w:before="600" w:after="100"/>
      </w:pPr>
      <w:r>
        <w:rPr>
          <w:rFonts w:ascii="Consolas" w:hAnsi="Consolas"/>
          <w:b/>
          <w:i w:val="0"/>
          <w:color w:val="2F7A58"/>
          <w:sz w:val="20"/>
        </w:rPr>
        <w:t>Primary action: Continue the wrapped task</w:t>
      </w:r>
    </w:p>
    <w:p>
      <w:pPr>
        <w:spacing w:before="600" w:after="100"/>
      </w:pPr>
      <w:r>
        <w:rPr>
          <w:rFonts w:ascii="Consolas" w:hAnsi="Consolas"/>
          <w:b/>
          <w:i w:val="0"/>
          <w:color w:val="2F7A58"/>
          <w:sz w:val="20"/>
        </w:rPr>
        <w:t>Honesty: Restart still yields unknown_resource while durability is unsupported.</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5F7F8"/>
            <w:tcMar>
              <w:top w:w="90" w:type="dxa"/>
              <w:start w:w="120" w:type="dxa"/>
              <w:bottom w:w="90" w:type="dxa"/>
              <w:end w:w="120" w:type="dxa"/>
            </w:tcMar>
            <w:vAlign w:val="center"/>
          </w:tcPr>
          <w:p>
            <w:pPr>
              <w:spacing w:after="60"/>
            </w:pPr>
            <w:r>
              <w:rPr>
                <w:rFonts w:ascii="Consolas" w:hAnsi="Consolas"/>
                <w:b/>
                <w:i w:val="0"/>
                <w:color w:val="586069"/>
                <w:sz w:val="17"/>
              </w:rPr>
              <w:t>ACCEPTANCE</w:t>
            </w:r>
          </w:p>
          <w:p>
            <w:pPr>
              <w:spacing w:after="0" w:line="271" w:lineRule="auto"/>
            </w:pPr>
            <w:r>
              <w:rPr>
                <w:rFonts w:ascii="Aptos" w:hAnsi="Aptos"/>
                <w:b w:val="0"/>
                <w:i w:val="0"/>
                <w:color w:val="171B20"/>
                <w:sz w:val="20"/>
              </w:rPr>
              <w:t>Failures never advance optimistically across an approval. Retry is idempotent. The user is told whether data was disclosed and whether any action occurred.</w:t>
            </w:r>
          </w:p>
        </w:tc>
      </w:tr>
    </w:tbl>
    <w:p>
      <w:pPr>
        <w:spacing w:after="20"/>
      </w:pPr>
    </w:p>
    <w:p>
      <w:pPr>
        <w:pStyle w:val="Heading1"/>
        <w:keepNext/>
      </w:pPr>
      <w:r>
        <w:t>6. Privacy and approval experience</w:t>
      </w:r>
    </w:p>
    <w:p>
      <w:pPr>
        <w:pStyle w:val="Heading2"/>
        <w:keepNext/>
      </w:pPr>
      <w:r>
        <w:t>6.1 Disclosure preview anatomy</w:t>
      </w:r>
    </w:p>
    <w:tbl>
      <w:tblPr>
        <w:tblStyle w:val="TableGrid"/>
        <w:tblW w:type="dxa" w:w="9360"/>
        <w:jc w:val="left"/>
        <w:tblLayout w:type="fixed"/>
        <w:tblLook w:firstColumn="1" w:firstRow="1" w:lastColumn="0" w:lastRow="0" w:noHBand="0" w:noVBand="1" w:val="04A0"/>
        <w:tblInd w:w="120" w:type="dxa"/>
      </w:tblPr>
      <w:tblGrid>
        <w:gridCol w:w="2100"/>
        <w:gridCol w:w="7260"/>
      </w:tblGrid>
      <w:tr>
        <w:trPr>
          <w:cantSplit/>
          <w:tblHeader w:val="true"/>
        </w:trPr>
        <w:tc>
          <w:tcPr>
            <w:tcW w:type="dxa" w:w="210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8"/>
              </w:rPr>
              <w:t>Region</w:t>
            </w:r>
          </w:p>
        </w:tc>
        <w:tc>
          <w:tcPr>
            <w:tcW w:type="dxa" w:w="726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8"/>
              </w:rPr>
              <w:t>Required behavior</w:t>
            </w:r>
          </w:p>
        </w:tc>
      </w:tr>
      <w:tr>
        <w:trPr>
          <w:cantSplit/>
        </w:trPr>
        <w:tc>
          <w:tcPr>
            <w:tcW w:type="dxa" w:w="21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Purpose header</w:t>
            </w:r>
          </w:p>
        </w:tc>
        <w:tc>
          <w:tcPr>
            <w:tcW w:type="dxa" w:w="72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Plain-language reason for supplier outreach; never a generic consent statement.</w:t>
            </w:r>
          </w:p>
        </w:tc>
      </w:tr>
      <w:tr>
        <w:trPr>
          <w:cantSplit/>
        </w:trPr>
        <w:tc>
          <w:tcPr>
            <w:tcW w:type="dxa" w:w="21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Sent group</w:t>
            </w:r>
          </w:p>
        </w:tc>
        <w:tc>
          <w:tcPr>
            <w:tcW w:type="dxa" w:w="72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Allowlisted field name, transformed value, purpose, and minimization note. Example: Vehicle class = SUV; exact make/model withheld.</w:t>
            </w:r>
          </w:p>
        </w:tc>
      </w:tr>
      <w:tr>
        <w:trPr>
          <w:cantSplit/>
        </w:trPr>
        <w:tc>
          <w:tcPr>
            <w:tcW w:type="dxa" w:w="21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Withheld group</w:t>
            </w:r>
          </w:p>
        </w:tc>
        <w:tc>
          <w:tcPr>
            <w:tcW w:type="dxa" w:w="7260"/>
            <w:tcMar>
              <w:top w:w="90" w:type="dxa"/>
              <w:start w:w="120" w:type="dxa"/>
              <w:bottom w:w="90" w:type="dxa"/>
              <w:end w:w="120" w:type="dxa"/>
            </w:tcMar>
            <w:vAlign w:val="center"/>
          </w:tcPr>
          <w:p>
            <w:pPr>
              <w:spacing w:before="0" w:after="0" w:line="259" w:lineRule="auto"/>
              <w:jc w:val="left"/>
            </w:pPr>
            <w:r>
              <w:t>Identity, raw source, exact itinerary/flight number, precise budget, payment data, address, unrelated intents, device/IP location. Preferences/preference history are omitted from this table because they are never A2 candidates.</w:t>
            </w:r>
            <w:r>
              <w:rPr>
                <w:rFonts w:ascii="Aptos" w:hAnsi="Aptos"/>
                <w:b w:val="0"/>
                <w:i w:val="0"/>
                <w:color w:val="171B20"/>
                <w:sz w:val="18"/>
              </w:rPr>
            </w:r>
          </w:p>
        </w:tc>
      </w:tr>
      <w:tr>
        <w:trPr>
          <w:cantSplit/>
        </w:trPr>
        <w:tc>
          <w:tcPr>
            <w:tcW w:type="dxa" w:w="21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Recipient scope</w:t>
            </w:r>
          </w:p>
        </w:tc>
        <w:tc>
          <w:tcPr>
            <w:tcW w:type="dxa" w:w="72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Display supplier count and identities when known. If identities are assigned after approval, approval must bind the permitted supplier set policy and maximum count.</w:t>
            </w:r>
          </w:p>
        </w:tc>
      </w:tr>
      <w:tr>
        <w:trPr>
          <w:cantSplit/>
        </w:trPr>
        <w:tc>
          <w:tcPr>
            <w:tcW w:type="dxa" w:w="21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Isolation guarantee</w:t>
            </w:r>
          </w:p>
        </w:tc>
        <w:tc>
          <w:tcPr>
            <w:tcW w:type="dxa" w:w="72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State that each supplier receives its own request and cannot see another supplier or offer.</w:t>
            </w:r>
          </w:p>
        </w:tc>
      </w:tr>
      <w:tr>
        <w:trPr>
          <w:cantSplit/>
        </w:trPr>
        <w:tc>
          <w:tcPr>
            <w:tcW w:type="dxa" w:w="21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Approval scope</w:t>
            </w:r>
          </w:p>
        </w:tc>
        <w:tc>
          <w:tcPr>
            <w:tcW w:type="dxa" w:w="72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State that approval shares the shown fields only and does not reserve, buy, or charge.</w:t>
            </w:r>
          </w:p>
        </w:tc>
      </w:tr>
      <w:tr>
        <w:trPr>
          <w:cantSplit/>
        </w:trPr>
        <w:tc>
          <w:tcPr>
            <w:tcW w:type="dxa" w:w="21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Expiry</w:t>
            </w:r>
          </w:p>
        </w:tc>
        <w:tc>
          <w:tcPr>
            <w:tcW w:type="dxa" w:w="72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Show approval expiry as a security boundary. On expiry, regenerate the preview and require fresh approval.</w:t>
            </w:r>
          </w:p>
        </w:tc>
      </w:tr>
    </w:tbl>
    <w:p>
      <w:pPr>
        <w:spacing w:after="20"/>
      </w:pPr>
    </w:p>
    <w:p>
      <w:pPr>
        <w:pStyle w:val="Heading2"/>
        <w:keepNext/>
      </w:pPr>
      <w:r>
        <w:t>6.2 Approval control</w:t>
      </w:r>
    </w:p>
    <w:p>
      <w:pPr>
        <w:spacing w:before="0" w:after="120" w:line="300" w:lineRule="auto"/>
      </w:pPr>
      <w:r>
        <w:rPr>
          <w:rFonts w:ascii="Aptos" w:hAnsi="Aptos"/>
          <w:b w:val="0"/>
          <w:i w:val="0"/>
          <w:color w:val="171B20"/>
          <w:sz w:val="21"/>
        </w:rPr>
        <w:t>The primary implementation MAY use slide-to-authorize on touch devices or press-and-hold where platform conventions support it. The gesture MUST NOT be the only path. Every platform provides an accessible review-and-confirm alternative with equivalent consequence and no reduced security.</w:t>
      </w:r>
    </w:p>
    <w:p>
      <w:pPr>
        <w:pStyle w:val="ListBullet"/>
        <w:spacing w:after="80" w:line="283" w:lineRule="auto"/>
      </w:pPr>
      <w:r>
        <w:rPr>
          <w:rFonts w:ascii="Aptos" w:hAnsi="Aptos"/>
          <w:b w:val="0"/>
          <w:i w:val="0"/>
          <w:color w:val="171B20"/>
          <w:sz w:val="21"/>
        </w:rPr>
        <w:t>Compact/touch (responsive web): deliberate gesture plus optional platform authentication. Biometrics are optional for simulated MVP. Native-app biometrics are future productization only.</w:t>
      </w:r>
    </w:p>
    <w:p>
      <w:pPr>
        <w:pStyle w:val="ListBullet"/>
        <w:spacing w:after="80" w:line="283" w:lineRule="auto"/>
      </w:pPr>
      <w:r>
        <w:rPr>
          <w:rFonts w:ascii="Aptos" w:hAnsi="Aptos"/>
          <w:b w:val="0"/>
          <w:i w:val="0"/>
          <w:color w:val="171B20"/>
          <w:sz w:val="21"/>
        </w:rPr>
        <w:t>Web: focused confirmation panel followed by a standard confirm action. Typed supplier count or amount MAY be used for high-risk real transactions, but is not mandatory for the simulated MVP.</w:t>
      </w:r>
    </w:p>
    <w:p>
      <w:pPr>
        <w:pStyle w:val="ListBullet"/>
        <w:spacing w:after="80" w:line="283" w:lineRule="auto"/>
      </w:pPr>
      <w:r>
        <w:rPr>
          <w:rFonts w:ascii="Aptos" w:hAnsi="Aptos"/>
          <w:b w:val="0"/>
          <w:i w:val="0"/>
          <w:color w:val="171B20"/>
          <w:sz w:val="21"/>
        </w:rPr>
        <w:t>Keyboard: all controls operable with ordinary activation; no requirement to hold a key. Visible focus and escape/cancel behavior are mandatory.</w:t>
      </w:r>
    </w:p>
    <w:p>
      <w:pPr>
        <w:pStyle w:val="ListBullet"/>
        <w:spacing w:after="80" w:line="283" w:lineRule="auto"/>
      </w:pPr>
      <w:r>
        <w:rPr>
          <w:rFonts w:ascii="Aptos" w:hAnsi="Aptos"/>
          <w:b w:val="0"/>
          <w:i w:val="0"/>
          <w:color w:val="171B20"/>
          <w:sz w:val="21"/>
        </w:rPr>
        <w:t>Screen reader: announce action, exact consequence, supplier/count, amount where applicable, expiry, and simulation state before confirmation.</w:t>
      </w:r>
    </w:p>
    <w:p>
      <w:pPr>
        <w:pStyle w:val="ListBullet"/>
        <w:spacing w:after="80" w:line="283" w:lineRule="auto"/>
      </w:pPr>
      <w:r>
        <w:rPr>
          <w:rFonts w:ascii="Aptos" w:hAnsi="Aptos"/>
          <w:b w:val="0"/>
          <w:i w:val="0"/>
          <w:color w:val="171B20"/>
          <w:sz w:val="21"/>
        </w:rPr>
        <w:t>Terms change: invalidate approval server-side before the UI displays success; show a diff and require a fresh Gate 2 approval.</w:t>
      </w:r>
    </w:p>
    <w:p>
      <w:pPr>
        <w:pStyle w:val="Heading2"/>
        <w:keepNext/>
      </w:pPr>
      <w:r>
        <w:t>6.3 Data-control semantics</w:t>
      </w:r>
    </w:p>
    <w:tbl>
      <w:tblPr>
        <w:tblStyle w:val="TableGrid"/>
        <w:tblW w:type="dxa" w:w="9360"/>
        <w:jc w:val="left"/>
        <w:tblLayout w:type="fixed"/>
        <w:tblLook w:firstColumn="1" w:firstRow="1" w:lastColumn="0" w:lastRow="0" w:noHBand="0" w:noVBand="1" w:val="04A0"/>
        <w:tblInd w:w="120" w:type="dxa"/>
      </w:tblPr>
      <w:tblGrid>
        <w:gridCol w:w="2000"/>
        <w:gridCol w:w="3700"/>
        <w:gridCol w:w="3660"/>
      </w:tblGrid>
      <w:tr>
        <w:trPr>
          <w:cantSplit/>
          <w:tblHeader w:val="true"/>
        </w:trPr>
        <w:tc>
          <w:tcPr>
            <w:tcW w:type="dxa" w:w="200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7"/>
              </w:rPr>
              <w:t>Control</w:t>
            </w:r>
          </w:p>
        </w:tc>
        <w:tc>
          <w:tcPr>
            <w:tcW w:type="dxa" w:w="370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7"/>
              </w:rPr>
              <w:t>What it can do</w:t>
            </w:r>
          </w:p>
        </w:tc>
        <w:tc>
          <w:tcPr>
            <w:tcW w:type="dxa" w:w="366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7"/>
              </w:rPr>
              <w:t>What it cannot promise</w:t>
            </w:r>
          </w:p>
        </w:tc>
      </w:tr>
      <w:tr>
        <w:trPr>
          <w:cantSplit/>
        </w:trPr>
        <w:tc>
          <w:tcPr>
            <w:tcW w:type="dxa" w:w="20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Cancel active request</w:t>
            </w:r>
          </w:p>
        </w:tc>
        <w:tc>
          <w:tcPr>
            <w:tcW w:type="dxa" w:w="3700"/>
            <w:tcMar>
              <w:top w:w="90" w:type="dxa"/>
              <w:start w:w="120" w:type="dxa"/>
              <w:bottom w:w="90" w:type="dxa"/>
              <w:end w:w="120" w:type="dxa"/>
            </w:tcMar>
            <w:vAlign w:val="center"/>
          </w:tcPr>
          <w:p>
            <w:pPr>
              <w:spacing w:before="0" w:after="0" w:line="259" w:lineRule="auto"/>
              <w:jc w:val="left"/>
            </w:pPr>
            <w:r>
              <w:t>Stop undispatched or pending ReservEdge work and reject later supplier responses.</w:t>
            </w:r>
            <w:r>
              <w:rPr>
                <w:rFonts w:ascii="Aptos" w:hAnsi="Aptos"/>
                <w:b w:val="0"/>
                <w:i w:val="0"/>
                <w:color w:val="171B20"/>
                <w:sz w:val="17"/>
              </w:rPr>
            </w:r>
          </w:p>
        </w:tc>
        <w:tc>
          <w:tcPr>
            <w:tcW w:type="dxa" w:w="36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It cannot erase a payload already received by a supplier.</w:t>
            </w:r>
          </w:p>
        </w:tc>
      </w:tr>
      <w:tr>
        <w:trPr>
          <w:cantSplit/>
        </w:trPr>
        <w:tc>
          <w:tcPr>
            <w:tcW w:type="dxa" w:w="20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Stop future use</w:t>
            </w:r>
          </w:p>
        </w:tc>
        <w:tc>
          <w:tcPr>
            <w:tcW w:type="dxa" w:w="3700"/>
            <w:shd w:fill="F5F7F8"/>
            <w:tcMar>
              <w:top w:w="90" w:type="dxa"/>
              <w:start w:w="120" w:type="dxa"/>
              <w:bottom w:w="90" w:type="dxa"/>
              <w:end w:w="120" w:type="dxa"/>
            </w:tcMar>
            <w:vAlign w:val="center"/>
          </w:tcPr>
          <w:p>
            <w:pPr>
              <w:spacing w:before="0" w:after="0" w:line="259" w:lineRule="auto"/>
              <w:jc w:val="left"/>
            </w:pPr>
            <w:r>
              <w:t>Prevent ReservEdge from using the disclosure for further solicitation or follow-up.</w:t>
            </w:r>
            <w:r>
              <w:rPr>
                <w:rFonts w:ascii="Aptos" w:hAnsi="Aptos"/>
                <w:b w:val="0"/>
                <w:i w:val="0"/>
                <w:color w:val="171B20"/>
                <w:sz w:val="17"/>
              </w:rPr>
            </w:r>
          </w:p>
        </w:tc>
        <w:tc>
          <w:tcPr>
            <w:tcW w:type="dxa" w:w="36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It cannot retroactively make the disclosure unoccur.</w:t>
            </w:r>
          </w:p>
        </w:tc>
      </w:tr>
      <w:tr>
        <w:trPr>
          <w:cantSplit/>
        </w:trPr>
        <w:tc>
          <w:tcPr>
            <w:tcW w:type="dxa" w:w="20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Request supplier deletion</w:t>
            </w:r>
          </w:p>
        </w:tc>
        <w:tc>
          <w:tcPr>
            <w:tcW w:type="dxa" w:w="37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Send and track a deletion request when a real supplier contract supports it.</w:t>
            </w:r>
          </w:p>
        </w:tc>
        <w:tc>
          <w:tcPr>
            <w:tcW w:type="dxa" w:w="36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It cannot claim deletion until confirmed by the supplier.</w:t>
            </w:r>
          </w:p>
        </w:tc>
      </w:tr>
      <w:tr>
        <w:trPr>
          <w:cantSplit/>
        </w:trPr>
        <w:tc>
          <w:tcPr>
            <w:tcW w:type="dxa" w:w="20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Delete preference</w:t>
            </w:r>
          </w:p>
        </w:tc>
        <w:tc>
          <w:tcPr>
            <w:tcW w:type="dxa" w:w="37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Remove active buyer-memory use and redact user-facing personal fields where policy permits.</w:t>
            </w:r>
          </w:p>
        </w:tc>
        <w:tc>
          <w:tcPr>
            <w:tcW w:type="dxa" w:w="36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It cannot rewrite immutable authorization/audit facts.</w:t>
            </w:r>
          </w:p>
        </w:tc>
      </w:tr>
    </w:tbl>
    <w:p>
      <w:pPr>
        <w:spacing w:after="20"/>
      </w:pPr>
    </w:p>
    <w:p>
      <w:pPr>
        <w:pStyle w:val="Heading2"/>
        <w:keepNext/>
      </w:pPr>
      <w:r>
        <w:t>6.4 Supplier identity and isolation</w:t>
      </w:r>
    </w:p>
    <w:p>
      <w:pPr>
        <w:spacing w:before="0" w:after="120" w:line="300" w:lineRule="auto"/>
      </w:pPr>
      <w:r>
        <w:rPr>
          <w:rFonts w:ascii="Aptos" w:hAnsi="Aptos"/>
          <w:b w:val="0"/>
          <w:i w:val="0"/>
          <w:color w:val="171B20"/>
          <w:sz w:val="21"/>
        </w:rPr>
        <w:t>Supplier isolation is an authorization and data-boundary property, not buyer-facing obscurity. The buyer may see supplier identity during progress and MUST see it with an offer and before authorization. The system must still enforce separate credentials/envelopes, independent tool contexts, no cross-supplier reads, and no competitor-derived prompt content.</w:t>
      </w:r>
    </w:p>
    <w:p>
      <w:pPr>
        <w:pStyle w:val="Heading2"/>
        <w:keepNext/>
      </w:pPr>
      <w:r>
        <w:t>6.5 Preferences are never disclosure candidates</w:t>
      </w:r>
    </w:p>
    <w:p>
      <w:pPr>
        <w:spacing w:before="600" w:after="100"/>
      </w:pPr>
      <w:r>
        <w:rPr>
          <w:rFonts w:ascii="Consolas" w:hAnsi="Consolas"/>
          <w:b/>
          <w:i w:val="0"/>
          <w:color w:val="2F7A58"/>
          <w:sz w:val="20"/>
        </w:rPr>
        <w:t>Preferences and preference history influence only buyer-local filtering and deterministic ranking. They are never candidates for A2. They never enter aggregator queries, disclosure envelopes, supplier payloads, or later/separate A2 approvals. The UI MUST NOT describe preferences as 'withheld' in a way that implies the buyer may elect to disclose them. If a supplier cannot quote without a constraint, that constraint MUST become an explicit task Requirement confirmed at A1.</w:t>
      </w:r>
    </w:p>
    <w:p>
      <w:pPr>
        <w:pStyle w:val="Heading1"/>
        <w:keepNext/>
      </w:pPr>
      <w:r>
        <w:t>7. Recommendation and offer comparison</w:t>
      </w:r>
    </w:p>
    <w:p>
      <w:pPr>
        <w:pStyle w:val="Heading2"/>
        <w:keepNext/>
      </w:pPr>
      <w:r>
        <w:t>7.1 Recommendation output contract</w:t>
      </w:r>
    </w:p>
    <w:tbl>
      <w:tblPr>
        <w:tblStyle w:val="TableGrid"/>
        <w:tblW w:type="dxa" w:w="9360"/>
        <w:jc w:val="left"/>
        <w:tblLayout w:type="fixed"/>
        <w:tblLook w:firstColumn="1" w:firstRow="1" w:lastColumn="0" w:lastRow="0" w:noHBand="0" w:noVBand="1" w:val="04A0"/>
        <w:tblInd w:w="120" w:type="dxa"/>
      </w:tblPr>
      <w:tblGrid>
        <w:gridCol w:w="2100"/>
        <w:gridCol w:w="7260"/>
      </w:tblGrid>
      <w:tr>
        <w:trPr>
          <w:cantSplit/>
          <w:tblHeader w:val="true"/>
        </w:trPr>
        <w:tc>
          <w:tcPr>
            <w:tcW w:type="dxa" w:w="210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8"/>
              </w:rPr>
              <w:t>Element</w:t>
            </w:r>
          </w:p>
        </w:tc>
        <w:tc>
          <w:tcPr>
            <w:tcW w:type="dxa" w:w="726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8"/>
              </w:rPr>
              <w:t>Rule</w:t>
            </w:r>
          </w:p>
        </w:tc>
      </w:tr>
      <w:tr>
        <w:trPr>
          <w:cantSplit/>
        </w:trPr>
        <w:tc>
          <w:tcPr>
            <w:tcW w:type="dxa" w:w="21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Recommendation</w:t>
            </w:r>
          </w:p>
        </w:tc>
        <w:tc>
          <w:tcPr>
            <w:tcW w:type="dxa" w:w="72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Exactly one eligible offer is labeled recommended, or the system explicitly states that no reliable recommendation is available.</w:t>
            </w:r>
          </w:p>
        </w:tc>
      </w:tr>
      <w:tr>
        <w:trPr>
          <w:cantSplit/>
        </w:trPr>
        <w:tc>
          <w:tcPr>
            <w:tcW w:type="dxa" w:w="21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Fit</w:t>
            </w:r>
          </w:p>
        </w:tc>
        <w:tc>
          <w:tcPr>
            <w:tcW w:type="dxa" w:w="72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Use Fair fit, Good fit, or Strong fit. Do not display a percentage or model score.</w:t>
            </w:r>
          </w:p>
        </w:tc>
      </w:tr>
      <w:tr>
        <w:trPr>
          <w:cantSplit/>
        </w:trPr>
        <w:tc>
          <w:tcPr>
            <w:tcW w:type="dxa" w:w="21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All-in total</w:t>
            </w:r>
          </w:p>
        </w:tc>
        <w:tc>
          <w:tcPr>
            <w:tcW w:type="dxa" w:w="72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Show taxes and mandatory fees first; expandable itemization follows.</w:t>
            </w:r>
          </w:p>
        </w:tc>
      </w:tr>
      <w:tr>
        <w:trPr>
          <w:cantSplit/>
        </w:trPr>
        <w:tc>
          <w:tcPr>
            <w:tcW w:type="dxa" w:w="21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Reasons</w:t>
            </w:r>
          </w:p>
        </w:tc>
        <w:tc>
          <w:tcPr>
            <w:tcW w:type="dxa" w:w="72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Two to three concise reasons tied to normalized facts and preference assertions.</w:t>
            </w:r>
          </w:p>
        </w:tc>
      </w:tr>
      <w:tr>
        <w:trPr>
          <w:cantSplit/>
        </w:trPr>
        <w:tc>
          <w:tcPr>
            <w:tcW w:type="dxa" w:w="21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Downside</w:t>
            </w:r>
          </w:p>
        </w:tc>
        <w:tc>
          <w:tcPr>
            <w:tcW w:type="dxa" w:w="72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Show the most material tradeoff next to the recommendation without requiring expansion.</w:t>
            </w:r>
          </w:p>
        </w:tc>
      </w:tr>
      <w:tr>
        <w:trPr>
          <w:cantSplit/>
        </w:trPr>
        <w:tc>
          <w:tcPr>
            <w:tcW w:type="dxa" w:w="21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Preference influence</w:t>
            </w:r>
          </w:p>
        </w:tc>
        <w:tc>
          <w:tcPr>
            <w:tcW w:type="dxa" w:w="72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Name the relevant preference and link to its evidence/context.</w:t>
            </w:r>
          </w:p>
        </w:tc>
      </w:tr>
      <w:tr>
        <w:trPr>
          <w:cantSplit/>
        </w:trPr>
        <w:tc>
          <w:tcPr>
            <w:tcW w:type="dxa" w:w="21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Missing data</w:t>
            </w:r>
          </w:p>
        </w:tc>
        <w:tc>
          <w:tcPr>
            <w:tcW w:type="dxa" w:w="72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Render 'Not provided' or 'Unconfirmed'; exclude from favorable scoring.</w:t>
            </w:r>
          </w:p>
        </w:tc>
      </w:tr>
      <w:tr>
        <w:trPr>
          <w:cantSplit/>
        </w:trPr>
        <w:tc>
          <w:tcPr>
            <w:tcW w:type="dxa" w:w="21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Expiry</w:t>
            </w:r>
          </w:p>
        </w:tc>
        <w:tc>
          <w:tcPr>
            <w:tcW w:type="dxa" w:w="72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Show supplier-provided validity and a requote path. Do not introduce a universal artificial countdown.</w:t>
            </w:r>
          </w:p>
        </w:tc>
      </w:tr>
      <w:tr>
        <w:trPr>
          <w:cantSplit/>
        </w:trPr>
        <w:tc>
          <w:tcPr>
            <w:tcW w:type="dxa" w:w="21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Confidence</w:t>
            </w:r>
          </w:p>
        </w:tc>
        <w:tc>
          <w:tcPr>
            <w:tcW w:type="dxa" w:w="72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Show only when backed by traceable evidence. Simulated confidence must be explicitly labeled; fabricated historical counts are prohibited.</w:t>
            </w:r>
          </w:p>
        </w:tc>
      </w:tr>
    </w:tbl>
    <w:p>
      <w:pPr>
        <w:spacing w:after="20"/>
      </w:pPr>
    </w:p>
    <w:p>
      <w:pPr>
        <w:pStyle w:val="Heading2"/>
        <w:keepNext/>
      </w:pPr>
      <w:r>
        <w:t>7.2 Normalized dimensions</w:t>
      </w:r>
    </w:p>
    <w:p>
      <w:pPr>
        <w:pStyle w:val="ListBullet"/>
        <w:spacing w:after="80" w:line="283" w:lineRule="auto"/>
      </w:pPr>
      <w:r>
        <w:rPr>
          <w:rFonts w:ascii="Aptos" w:hAnsi="Aptos"/>
          <w:b w:val="0"/>
          <w:i w:val="0"/>
          <w:color w:val="171B20"/>
          <w:sz w:val="21"/>
        </w:rPr>
        <w:t>Money: all-in total, currency, base price, taxes, mandatory fees, optional fees, deposit, refundability.</w:t>
      </w:r>
    </w:p>
    <w:p>
      <w:pPr>
        <w:pStyle w:val="ListBullet"/>
        <w:spacing w:after="80" w:line="283" w:lineRule="auto"/>
      </w:pPr>
      <w:r>
        <w:rPr>
          <w:rFonts w:ascii="Aptos" w:hAnsi="Aptos"/>
          <w:b w:val="0"/>
          <w:i w:val="0"/>
          <w:color w:val="171B20"/>
          <w:sz w:val="21"/>
        </w:rPr>
        <w:t>Parking service: facility/lot, covered, EV support, operating hours, access method, vehicle-size eligibility.</w:t>
      </w:r>
    </w:p>
    <w:p>
      <w:pPr>
        <w:pStyle w:val="ListBullet"/>
        <w:spacing w:after="80" w:line="283" w:lineRule="auto"/>
      </w:pPr>
      <w:r>
        <w:rPr>
          <w:rFonts w:ascii="Aptos" w:hAnsi="Aptos"/>
          <w:b w:val="0"/>
          <w:i w:val="0"/>
          <w:color w:val="171B20"/>
          <w:sz w:val="21"/>
        </w:rPr>
        <w:t>Convenience: distance, shuttle frequency, estimated shuttle time, terminal coverage, accessibility support.</w:t>
      </w:r>
    </w:p>
    <w:p>
      <w:pPr>
        <w:pStyle w:val="ListBullet"/>
        <w:spacing w:after="80" w:line="283" w:lineRule="auto"/>
      </w:pPr>
      <w:r>
        <w:rPr>
          <w:rFonts w:ascii="Aptos" w:hAnsi="Aptos"/>
          <w:b w:val="0"/>
          <w:i w:val="0"/>
          <w:color w:val="171B20"/>
          <w:sz w:val="21"/>
        </w:rPr>
        <w:t>Risk and flexibility: cancellation deadline, change terms, availability confidence, restrictions, offer expiry.</w:t>
      </w:r>
    </w:p>
    <w:p>
      <w:pPr>
        <w:pStyle w:val="ListBullet"/>
        <w:spacing w:after="80" w:line="283" w:lineRule="auto"/>
      </w:pPr>
      <w:r>
        <w:rPr>
          <w:rFonts w:ascii="Aptos" w:hAnsi="Aptos"/>
          <w:b w:val="0"/>
          <w:i w:val="0"/>
          <w:color w:val="171B20"/>
          <w:sz w:val="21"/>
        </w:rPr>
        <w:t>Evidence: supplier-provided field, public reference, computed normalization, or unconfirmed. Each cell retains provenance internally.</w:t>
      </w:r>
    </w:p>
    <w:p>
      <w:pPr>
        <w:pStyle w:val="Heading2"/>
        <w:keepNext/>
      </w:pPr>
      <w:r>
        <w:t>7.3 Explanation boundary</w:t>
      </w:r>
    </w:p>
    <w:p>
      <w:pPr>
        <w:spacing w:before="0" w:after="120" w:line="300" w:lineRule="auto"/>
      </w:pPr>
      <w:r>
        <w:rPr>
          <w:rFonts w:ascii="Aptos" w:hAnsi="Aptos"/>
          <w:b w:val="0"/>
          <w:i w:val="0"/>
          <w:color w:val="171B20"/>
          <w:sz w:val="21"/>
        </w:rPr>
        <w:t>The UI exposes decision facts, weights or rule categories where useful, preference influence, policy exclusions, and uncertainty. It does not expose hidden chain-of-thought, raw prompts, or private supplier reasoning. Explanations must be reproducible from stored normalized data and rule outcomes.</w:t>
      </w:r>
    </w:p>
    <w:p>
      <w:pPr>
        <w:pStyle w:val="Heading1"/>
        <w:keepNext/>
      </w:pPr>
      <w:r>
        <w:t>8. Visual design system</w:t>
      </w:r>
    </w:p>
    <w:p>
      <w:pPr>
        <w:spacing w:before="0" w:after="120" w:line="300" w:lineRule="auto"/>
      </w:pPr>
      <w:r>
        <w:rPr>
          <w:rFonts w:ascii="Aptos" w:hAnsi="Aptos"/>
          <w:b w:val="0"/>
          <w:i w:val="0"/>
          <w:color w:val="171B20"/>
          <w:sz w:val="21"/>
        </w:rPr>
        <w:t>The visual system is the approved ReservEdge identity: warm cream and canvas surfaces, coral accent, dark rail, Schibsted Grotesk for editorial and interface type, and JetBrains Mono for prices, identifiers, and timestamps. Fonts are self-hosted. It avoids travel-deal visual language, AI motifs, and aggressive promotional color. Reconciling presentation MUST NOT alter privacy, governance, ranking, or simulation semantics.</w:t>
      </w:r>
    </w:p>
    <w:p>
      <w:pPr>
        <w:pStyle w:val="Heading2"/>
        <w:keepNext/>
      </w:pPr>
      <w:r>
        <w:t>8.1 Color tokens</w:t>
      </w:r>
    </w:p>
    <w:tbl>
      <w:tblPr>
        <w:tblStyle w:val="TableGrid"/>
        <w:tblW w:type="dxa" w:w="9360"/>
        <w:jc w:val="left"/>
        <w:tblLayout w:type="fixed"/>
        <w:tblLook w:firstColumn="1" w:firstRow="1" w:lastColumn="0" w:lastRow="0" w:noHBand="0" w:noVBand="1" w:val="04A0"/>
        <w:tblInd w:w="120" w:type="dxa"/>
      </w:tblPr>
      <w:tblGrid>
        <w:gridCol w:w="1900"/>
        <w:gridCol w:w="1300"/>
        <w:gridCol w:w="6160"/>
      </w:tblGrid>
      <w:tr>
        <w:trPr>
          <w:cantSplit/>
          <w:tblHeader w:val="true"/>
        </w:trPr>
        <w:tc>
          <w:tcPr>
            <w:tcW w:type="dxa" w:w="190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8"/>
              </w:rPr>
              <w:t>Token</w:t>
            </w:r>
          </w:p>
        </w:tc>
        <w:tc>
          <w:tcPr>
            <w:tcW w:type="dxa" w:w="130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8"/>
              </w:rPr>
              <w:t>Hex</w:t>
            </w:r>
          </w:p>
        </w:tc>
        <w:tc>
          <w:tcPr>
            <w:tcW w:type="dxa" w:w="616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8"/>
              </w:rPr>
              <w:t>Use</w:t>
            </w:r>
          </w:p>
        </w:tc>
      </w:tr>
      <w:tr>
        <w:trPr>
          <w:cantSplit/>
        </w:trPr>
        <w:tc>
          <w:tcPr>
            <w:tcW w:type="dxa" w:w="1900"/>
            <w:tcMar>
              <w:top w:w="90" w:type="dxa"/>
              <w:start w:w="120" w:type="dxa"/>
              <w:bottom w:w="90" w:type="dxa"/>
              <w:end w:w="120" w:type="dxa"/>
            </w:tcMar>
            <w:vAlign w:val="center"/>
          </w:tcPr>
          <w:p>
            <w:pPr>
              <w:spacing w:before="0" w:after="0" w:line="259" w:lineRule="auto"/>
              <w:jc w:val="left"/>
            </w:pPr>
            <w:r>
              <w:t>ink</w:t>
            </w:r>
            <w:r>
              <w:rPr>
                <w:rFonts w:ascii="Aptos" w:hAnsi="Aptos"/>
                <w:b w:val="0"/>
                <w:i w:val="0"/>
                <w:color w:val="171B20"/>
                <w:sz w:val="18"/>
              </w:rPr>
            </w:r>
          </w:p>
        </w:tc>
        <w:tc>
          <w:tcPr>
            <w:tcW w:type="dxa" w:w="1300"/>
            <w:tcMar>
              <w:top w:w="90" w:type="dxa"/>
              <w:start w:w="120" w:type="dxa"/>
              <w:bottom w:w="90" w:type="dxa"/>
              <w:end w:w="120" w:type="dxa"/>
            </w:tcMar>
            <w:vAlign w:val="center"/>
          </w:tcPr>
          <w:p>
            <w:pPr>
              <w:spacing w:before="0" w:after="0" w:line="259" w:lineRule="auto"/>
              <w:jc w:val="left"/>
            </w:pPr>
            <w:r>
              <w:t>#221F1A</w:t>
            </w:r>
            <w:r>
              <w:rPr>
                <w:rFonts w:ascii="Aptos" w:hAnsi="Aptos"/>
                <w:b w:val="0"/>
                <w:i w:val="0"/>
                <w:color w:val="171B20"/>
                <w:sz w:val="18"/>
              </w:rPr>
            </w:r>
          </w:p>
        </w:tc>
        <w:tc>
          <w:tcPr>
            <w:tcW w:type="dxa" w:w="6160"/>
            <w:tcMar>
              <w:top w:w="90" w:type="dxa"/>
              <w:start w:w="120" w:type="dxa"/>
              <w:bottom w:w="90" w:type="dxa"/>
              <w:end w:w="120" w:type="dxa"/>
            </w:tcMar>
            <w:vAlign w:val="center"/>
          </w:tcPr>
          <w:p>
            <w:pPr>
              <w:spacing w:before="0" w:after="0" w:line="259" w:lineRule="auto"/>
              <w:jc w:val="left"/>
            </w:pPr>
            <w:r>
              <w:t>Primary text and neutral high-emphasis controls</w:t>
            </w:r>
            <w:r>
              <w:rPr>
                <w:rFonts w:ascii="Aptos" w:hAnsi="Aptos"/>
                <w:b w:val="0"/>
                <w:i w:val="0"/>
                <w:color w:val="171B20"/>
                <w:sz w:val="18"/>
              </w:rPr>
            </w:r>
          </w:p>
        </w:tc>
      </w:tr>
      <w:tr>
        <w:trPr>
          <w:cantSplit/>
        </w:trPr>
        <w:tc>
          <w:tcPr>
            <w:tcW w:type="dxa" w:w="1900"/>
            <w:shd w:fill="F5F7F8"/>
            <w:tcMar>
              <w:top w:w="90" w:type="dxa"/>
              <w:start w:w="120" w:type="dxa"/>
              <w:bottom w:w="90" w:type="dxa"/>
              <w:end w:w="120" w:type="dxa"/>
            </w:tcMar>
            <w:vAlign w:val="center"/>
          </w:tcPr>
          <w:p>
            <w:pPr>
              <w:spacing w:before="0" w:after="0" w:line="259" w:lineRule="auto"/>
              <w:jc w:val="left"/>
            </w:pPr>
            <w:r>
              <w:t>muted</w:t>
            </w:r>
            <w:r>
              <w:rPr>
                <w:rFonts w:ascii="Aptos" w:hAnsi="Aptos"/>
                <w:b w:val="0"/>
                <w:i w:val="0"/>
                <w:color w:val="171B20"/>
                <w:sz w:val="18"/>
              </w:rPr>
            </w:r>
          </w:p>
        </w:tc>
        <w:tc>
          <w:tcPr>
            <w:tcW w:type="dxa" w:w="1300"/>
            <w:shd w:fill="F5F7F8"/>
            <w:tcMar>
              <w:top w:w="90" w:type="dxa"/>
              <w:start w:w="120" w:type="dxa"/>
              <w:bottom w:w="90" w:type="dxa"/>
              <w:end w:w="120" w:type="dxa"/>
            </w:tcMar>
            <w:vAlign w:val="center"/>
          </w:tcPr>
          <w:p>
            <w:pPr>
              <w:spacing w:before="0" w:after="0" w:line="259" w:lineRule="auto"/>
              <w:jc w:val="left"/>
            </w:pPr>
            <w:r>
              <w:t>#6C685F</w:t>
            </w:r>
            <w:r>
              <w:rPr>
                <w:rFonts w:ascii="Aptos" w:hAnsi="Aptos"/>
                <w:b w:val="0"/>
                <w:i w:val="0"/>
                <w:color w:val="171B20"/>
                <w:sz w:val="18"/>
              </w:rPr>
            </w:r>
          </w:p>
        </w:tc>
        <w:tc>
          <w:tcPr>
            <w:tcW w:type="dxa" w:w="6160"/>
            <w:shd w:fill="F5F7F8"/>
            <w:tcMar>
              <w:top w:w="90" w:type="dxa"/>
              <w:start w:w="120" w:type="dxa"/>
              <w:bottom w:w="90" w:type="dxa"/>
              <w:end w:w="120" w:type="dxa"/>
            </w:tcMar>
            <w:vAlign w:val="center"/>
          </w:tcPr>
          <w:p>
            <w:pPr>
              <w:spacing w:before="0" w:after="0" w:line="259" w:lineRule="auto"/>
              <w:jc w:val="left"/>
            </w:pPr>
            <w:r>
              <w:t>Secondary text and metadata</w:t>
            </w:r>
            <w:r>
              <w:rPr>
                <w:rFonts w:ascii="Aptos" w:hAnsi="Aptos"/>
                <w:b w:val="0"/>
                <w:i w:val="0"/>
                <w:color w:val="171B20"/>
                <w:sz w:val="18"/>
              </w:rPr>
            </w:r>
          </w:p>
        </w:tc>
      </w:tr>
      <w:tr>
        <w:trPr>
          <w:cantSplit/>
        </w:trPr>
        <w:tc>
          <w:tcPr>
            <w:tcW w:type="dxa" w:w="1900"/>
            <w:tcMar>
              <w:top w:w="90" w:type="dxa"/>
              <w:start w:w="120" w:type="dxa"/>
              <w:bottom w:w="90" w:type="dxa"/>
              <w:end w:w="120" w:type="dxa"/>
            </w:tcMar>
            <w:vAlign w:val="center"/>
          </w:tcPr>
          <w:p>
            <w:pPr>
              <w:spacing w:before="0" w:after="0" w:line="259" w:lineRule="auto"/>
              <w:jc w:val="left"/>
            </w:pPr>
            <w:r>
              <w:t>desk</w:t>
            </w:r>
            <w:r>
              <w:rPr>
                <w:rFonts w:ascii="Aptos" w:hAnsi="Aptos"/>
                <w:b w:val="0"/>
                <w:i w:val="0"/>
                <w:color w:val="171B20"/>
                <w:sz w:val="18"/>
              </w:rPr>
            </w:r>
          </w:p>
        </w:tc>
        <w:tc>
          <w:tcPr>
            <w:tcW w:type="dxa" w:w="1300"/>
            <w:tcMar>
              <w:top w:w="90" w:type="dxa"/>
              <w:start w:w="120" w:type="dxa"/>
              <w:bottom w:w="90" w:type="dxa"/>
              <w:end w:w="120" w:type="dxa"/>
            </w:tcMar>
            <w:vAlign w:val="center"/>
          </w:tcPr>
          <w:p>
            <w:pPr>
              <w:spacing w:before="0" w:after="0" w:line="259" w:lineRule="auto"/>
              <w:jc w:val="left"/>
            </w:pPr>
            <w:r>
              <w:t>#E9E6DF</w:t>
            </w:r>
            <w:r>
              <w:rPr>
                <w:rFonts w:ascii="Aptos" w:hAnsi="Aptos"/>
                <w:b w:val="0"/>
                <w:i w:val="0"/>
                <w:color w:val="171B20"/>
                <w:sz w:val="18"/>
              </w:rPr>
            </w:r>
          </w:p>
        </w:tc>
        <w:tc>
          <w:tcPr>
            <w:tcW w:type="dxa" w:w="6160"/>
            <w:tcMar>
              <w:top w:w="90" w:type="dxa"/>
              <w:start w:w="120" w:type="dxa"/>
              <w:bottom w:w="90" w:type="dxa"/>
              <w:end w:w="120" w:type="dxa"/>
            </w:tcMar>
            <w:vAlign w:val="center"/>
          </w:tcPr>
          <w:p>
            <w:pPr>
              <w:spacing w:before="0" w:after="0" w:line="259" w:lineRule="auto"/>
              <w:jc w:val="left"/>
            </w:pPr>
            <w:r>
              <w:t>Outermost page / desk around the app canvas</w:t>
            </w:r>
            <w:r>
              <w:rPr>
                <w:rFonts w:ascii="Aptos" w:hAnsi="Aptos"/>
                <w:b w:val="0"/>
                <w:i w:val="0"/>
                <w:color w:val="171B20"/>
                <w:sz w:val="18"/>
              </w:rPr>
            </w:r>
          </w:p>
        </w:tc>
      </w:tr>
      <w:tr>
        <w:trPr>
          <w:cantSplit/>
        </w:trPr>
        <w:tc>
          <w:tcPr>
            <w:tcW w:type="dxa" w:w="1900"/>
            <w:shd w:fill="F5F7F8"/>
            <w:tcMar>
              <w:top w:w="90" w:type="dxa"/>
              <w:start w:w="120" w:type="dxa"/>
              <w:bottom w:w="90" w:type="dxa"/>
              <w:end w:w="120" w:type="dxa"/>
            </w:tcMar>
            <w:vAlign w:val="center"/>
          </w:tcPr>
          <w:p>
            <w:pPr>
              <w:spacing w:before="0" w:after="0" w:line="259" w:lineRule="auto"/>
              <w:jc w:val="left"/>
            </w:pPr>
            <w:r>
              <w:t>canvas</w:t>
            </w:r>
            <w:r>
              <w:rPr>
                <w:rFonts w:ascii="Aptos" w:hAnsi="Aptos"/>
                <w:b w:val="0"/>
                <w:i w:val="0"/>
                <w:color w:val="171B20"/>
                <w:sz w:val="18"/>
              </w:rPr>
            </w:r>
          </w:p>
        </w:tc>
        <w:tc>
          <w:tcPr>
            <w:tcW w:type="dxa" w:w="1300"/>
            <w:shd w:fill="F5F7F8"/>
            <w:tcMar>
              <w:top w:w="90" w:type="dxa"/>
              <w:start w:w="120" w:type="dxa"/>
              <w:bottom w:w="90" w:type="dxa"/>
              <w:end w:w="120" w:type="dxa"/>
            </w:tcMar>
            <w:vAlign w:val="center"/>
          </w:tcPr>
          <w:p>
            <w:pPr>
              <w:spacing w:before="0" w:after="0" w:line="259" w:lineRule="auto"/>
              <w:jc w:val="left"/>
            </w:pPr>
            <w:r>
              <w:t>#F6F3EE</w:t>
            </w:r>
            <w:r>
              <w:rPr>
                <w:rFonts w:ascii="Aptos" w:hAnsi="Aptos"/>
                <w:b w:val="0"/>
                <w:i w:val="0"/>
                <w:color w:val="171B20"/>
                <w:sz w:val="18"/>
              </w:rPr>
            </w:r>
          </w:p>
        </w:tc>
        <w:tc>
          <w:tcPr>
            <w:tcW w:type="dxa" w:w="6160"/>
            <w:shd w:fill="F5F7F8"/>
            <w:tcMar>
              <w:top w:w="90" w:type="dxa"/>
              <w:start w:w="120" w:type="dxa"/>
              <w:bottom w:w="90" w:type="dxa"/>
              <w:end w:w="120" w:type="dxa"/>
            </w:tcMar>
            <w:vAlign w:val="center"/>
          </w:tcPr>
          <w:p>
            <w:pPr>
              <w:spacing w:before="0" w:after="0" w:line="259" w:lineRule="auto"/>
              <w:jc w:val="left"/>
            </w:pPr>
            <w:r>
              <w:t>Warm cream app canvas</w:t>
            </w:r>
            <w:r>
              <w:rPr>
                <w:rFonts w:ascii="Aptos" w:hAnsi="Aptos"/>
                <w:b w:val="0"/>
                <w:i w:val="0"/>
                <w:color w:val="171B20"/>
                <w:sz w:val="18"/>
              </w:rPr>
            </w:r>
          </w:p>
        </w:tc>
      </w:tr>
      <w:tr>
        <w:trPr>
          <w:cantSplit/>
        </w:trPr>
        <w:tc>
          <w:tcPr>
            <w:tcW w:type="dxa" w:w="1900"/>
            <w:tcMar>
              <w:top w:w="90" w:type="dxa"/>
              <w:start w:w="120" w:type="dxa"/>
              <w:bottom w:w="90" w:type="dxa"/>
              <w:end w:w="120" w:type="dxa"/>
            </w:tcMar>
            <w:vAlign w:val="center"/>
          </w:tcPr>
          <w:p>
            <w:pPr>
              <w:spacing w:before="0" w:after="0" w:line="259" w:lineRule="auto"/>
              <w:jc w:val="left"/>
            </w:pPr>
            <w:r>
              <w:t>surface</w:t>
            </w:r>
            <w:r>
              <w:rPr>
                <w:rFonts w:ascii="Aptos" w:hAnsi="Aptos"/>
                <w:b w:val="0"/>
                <w:i w:val="0"/>
                <w:color w:val="171B20"/>
                <w:sz w:val="18"/>
              </w:rPr>
            </w:r>
          </w:p>
        </w:tc>
        <w:tc>
          <w:tcPr>
            <w:tcW w:type="dxa" w:w="1300"/>
            <w:tcMar>
              <w:top w:w="90" w:type="dxa"/>
              <w:start w:w="120" w:type="dxa"/>
              <w:bottom w:w="90" w:type="dxa"/>
              <w:end w:w="120" w:type="dxa"/>
            </w:tcMar>
            <w:vAlign w:val="center"/>
          </w:tcPr>
          <w:p>
            <w:pPr>
              <w:spacing w:before="0" w:after="0" w:line="259" w:lineRule="auto"/>
              <w:jc w:val="left"/>
            </w:pPr>
            <w:r>
              <w:t>#FFFFFF</w:t>
            </w:r>
            <w:r>
              <w:rPr>
                <w:rFonts w:ascii="Aptos" w:hAnsi="Aptos"/>
                <w:b w:val="0"/>
                <w:i w:val="0"/>
                <w:color w:val="171B20"/>
                <w:sz w:val="18"/>
              </w:rPr>
            </w:r>
          </w:p>
        </w:tc>
        <w:tc>
          <w:tcPr>
            <w:tcW w:type="dxa" w:w="6160"/>
            <w:tcMar>
              <w:top w:w="90" w:type="dxa"/>
              <w:start w:w="120" w:type="dxa"/>
              <w:bottom w:w="90" w:type="dxa"/>
              <w:end w:w="120" w:type="dxa"/>
            </w:tcMar>
            <w:vAlign w:val="center"/>
          </w:tcPr>
          <w:p>
            <w:pPr>
              <w:spacing w:before="0" w:after="0" w:line="259" w:lineRule="auto"/>
              <w:jc w:val="left"/>
            </w:pPr>
            <w:r>
              <w:t>Cards and principal content surfaces</w:t>
            </w:r>
            <w:r>
              <w:rPr>
                <w:rFonts w:ascii="Aptos" w:hAnsi="Aptos"/>
                <w:b w:val="0"/>
                <w:i w:val="0"/>
                <w:color w:val="171B20"/>
                <w:sz w:val="18"/>
              </w:rPr>
            </w:r>
          </w:p>
        </w:tc>
      </w:tr>
      <w:tr>
        <w:trPr>
          <w:cantSplit/>
        </w:trPr>
        <w:tc>
          <w:tcPr>
            <w:tcW w:type="dxa" w:w="1900"/>
            <w:shd w:fill="F5F7F8"/>
            <w:tcMar>
              <w:top w:w="90" w:type="dxa"/>
              <w:start w:w="120" w:type="dxa"/>
              <w:bottom w:w="90" w:type="dxa"/>
              <w:end w:w="120" w:type="dxa"/>
            </w:tcMar>
            <w:vAlign w:val="center"/>
          </w:tcPr>
          <w:p>
            <w:pPr>
              <w:spacing w:before="0" w:after="0" w:line="259" w:lineRule="auto"/>
              <w:jc w:val="left"/>
            </w:pPr>
            <w:r>
              <w:t>rail</w:t>
            </w:r>
            <w:r>
              <w:rPr>
                <w:rFonts w:ascii="Aptos" w:hAnsi="Aptos"/>
                <w:b w:val="0"/>
                <w:i w:val="0"/>
                <w:color w:val="171B20"/>
                <w:sz w:val="18"/>
              </w:rPr>
            </w:r>
          </w:p>
        </w:tc>
        <w:tc>
          <w:tcPr>
            <w:tcW w:type="dxa" w:w="1300"/>
            <w:shd w:fill="F5F7F8"/>
            <w:tcMar>
              <w:top w:w="90" w:type="dxa"/>
              <w:start w:w="120" w:type="dxa"/>
              <w:bottom w:w="90" w:type="dxa"/>
              <w:end w:w="120" w:type="dxa"/>
            </w:tcMar>
            <w:vAlign w:val="center"/>
          </w:tcPr>
          <w:p>
            <w:pPr>
              <w:spacing w:before="0" w:after="0" w:line="259" w:lineRule="auto"/>
              <w:jc w:val="left"/>
            </w:pPr>
            <w:r>
              <w:t>#1A1714</w:t>
            </w:r>
            <w:r>
              <w:rPr>
                <w:rFonts w:ascii="Aptos" w:hAnsi="Aptos"/>
                <w:b w:val="0"/>
                <w:i w:val="0"/>
                <w:color w:val="171B20"/>
                <w:sz w:val="18"/>
              </w:rPr>
            </w:r>
          </w:p>
        </w:tc>
        <w:tc>
          <w:tcPr>
            <w:tcW w:type="dxa" w:w="6160"/>
            <w:shd w:fill="F5F7F8"/>
            <w:tcMar>
              <w:top w:w="90" w:type="dxa"/>
              <w:start w:w="120" w:type="dxa"/>
              <w:bottom w:w="90" w:type="dxa"/>
              <w:end w:w="120" w:type="dxa"/>
            </w:tcMar>
            <w:vAlign w:val="center"/>
          </w:tcPr>
          <w:p>
            <w:pPr>
              <w:spacing w:before="0" w:after="0" w:line="259" w:lineRule="auto"/>
              <w:jc w:val="left"/>
            </w:pPr>
            <w:r>
              <w:t>Dark navigation rail and simulation banner surface</w:t>
            </w:r>
            <w:r>
              <w:rPr>
                <w:rFonts w:ascii="Aptos" w:hAnsi="Aptos"/>
                <w:b w:val="0"/>
                <w:i w:val="0"/>
                <w:color w:val="171B20"/>
                <w:sz w:val="18"/>
              </w:rPr>
            </w:r>
          </w:p>
        </w:tc>
      </w:tr>
      <w:tr>
        <w:trPr>
          <w:cantSplit/>
        </w:trPr>
        <w:tc>
          <w:tcPr>
            <w:tcW w:type="dxa" w:w="1900"/>
            <w:tcMar>
              <w:top w:w="90" w:type="dxa"/>
              <w:start w:w="120" w:type="dxa"/>
              <w:bottom w:w="90" w:type="dxa"/>
              <w:end w:w="120" w:type="dxa"/>
            </w:tcMar>
            <w:vAlign w:val="center"/>
          </w:tcPr>
          <w:p>
            <w:pPr>
              <w:spacing w:before="0" w:after="0" w:line="259" w:lineRule="auto"/>
              <w:jc w:val="left"/>
            </w:pPr>
            <w:r>
              <w:t>accent</w:t>
            </w:r>
            <w:r>
              <w:rPr>
                <w:rFonts w:ascii="Aptos" w:hAnsi="Aptos"/>
                <w:b w:val="0"/>
                <w:i w:val="0"/>
                <w:color w:val="171B20"/>
                <w:sz w:val="18"/>
              </w:rPr>
            </w:r>
          </w:p>
        </w:tc>
        <w:tc>
          <w:tcPr>
            <w:tcW w:type="dxa" w:w="1300"/>
            <w:tcMar>
              <w:top w:w="90" w:type="dxa"/>
              <w:start w:w="120" w:type="dxa"/>
              <w:bottom w:w="90" w:type="dxa"/>
              <w:end w:w="120" w:type="dxa"/>
            </w:tcMar>
            <w:vAlign w:val="center"/>
          </w:tcPr>
          <w:p>
            <w:pPr>
              <w:spacing w:before="0" w:after="0" w:line="259" w:lineRule="auto"/>
              <w:jc w:val="left"/>
            </w:pPr>
            <w:r>
              <w:t>#E85D2C</w:t>
            </w:r>
            <w:r>
              <w:rPr>
                <w:rFonts w:ascii="Aptos" w:hAnsi="Aptos"/>
                <w:b w:val="0"/>
                <w:i w:val="0"/>
                <w:color w:val="171B20"/>
                <w:sz w:val="18"/>
              </w:rPr>
            </w:r>
          </w:p>
        </w:tc>
        <w:tc>
          <w:tcPr>
            <w:tcW w:type="dxa" w:w="6160"/>
            <w:tcMar>
              <w:top w:w="90" w:type="dxa"/>
              <w:start w:w="120" w:type="dxa"/>
              <w:bottom w:w="90" w:type="dxa"/>
              <w:end w:w="120" w:type="dxa"/>
            </w:tcMar>
            <w:vAlign w:val="center"/>
          </w:tcPr>
          <w:p>
            <w:pPr>
              <w:spacing w:before="0" w:after="0" w:line="259" w:lineRule="auto"/>
              <w:jc w:val="left"/>
            </w:pPr>
            <w:r>
              <w:t>Coral accent for primary actions; never a deal/urgency shortcut</w:t>
            </w:r>
            <w:r>
              <w:rPr>
                <w:rFonts w:ascii="Aptos" w:hAnsi="Aptos"/>
                <w:b w:val="0"/>
                <w:i w:val="0"/>
                <w:color w:val="171B20"/>
                <w:sz w:val="18"/>
              </w:rPr>
            </w:r>
          </w:p>
        </w:tc>
      </w:tr>
      <w:tr>
        <w:trPr>
          <w:cantSplit/>
        </w:trPr>
        <w:tc>
          <w:tcPr>
            <w:tcW w:type="dxa" w:w="1900"/>
            <w:shd w:fill="F5F7F8"/>
            <w:tcMar>
              <w:top w:w="90" w:type="dxa"/>
              <w:start w:w="120" w:type="dxa"/>
              <w:bottom w:w="90" w:type="dxa"/>
              <w:end w:w="120" w:type="dxa"/>
            </w:tcMar>
            <w:vAlign w:val="center"/>
          </w:tcPr>
          <w:p>
            <w:pPr>
              <w:spacing w:before="0" w:after="0" w:line="259" w:lineRule="auto"/>
              <w:jc w:val="left"/>
            </w:pPr>
            <w:r>
              <w:t>confidence</w:t>
            </w:r>
            <w:r>
              <w:rPr>
                <w:rFonts w:ascii="Aptos" w:hAnsi="Aptos"/>
                <w:b w:val="0"/>
                <w:i w:val="0"/>
                <w:color w:val="171B20"/>
                <w:sz w:val="18"/>
              </w:rPr>
            </w:r>
          </w:p>
        </w:tc>
        <w:tc>
          <w:tcPr>
            <w:tcW w:type="dxa" w:w="1300"/>
            <w:shd w:fill="F5F7F8"/>
            <w:tcMar>
              <w:top w:w="90" w:type="dxa"/>
              <w:start w:w="120" w:type="dxa"/>
              <w:bottom w:w="90" w:type="dxa"/>
              <w:end w:w="120" w:type="dxa"/>
            </w:tcMar>
            <w:vAlign w:val="center"/>
          </w:tcPr>
          <w:p>
            <w:pPr>
              <w:spacing w:before="0" w:after="0" w:line="259" w:lineRule="auto"/>
              <w:jc w:val="left"/>
            </w:pPr>
            <w:r>
              <w:t>#1BA672</w:t>
            </w:r>
            <w:r>
              <w:rPr>
                <w:rFonts w:ascii="Aptos" w:hAnsi="Aptos"/>
                <w:b w:val="0"/>
                <w:i w:val="0"/>
                <w:color w:val="171B20"/>
                <w:sz w:val="18"/>
              </w:rPr>
            </w:r>
          </w:p>
        </w:tc>
        <w:tc>
          <w:tcPr>
            <w:tcW w:type="dxa" w:w="6160"/>
            <w:shd w:fill="F5F7F8"/>
            <w:tcMar>
              <w:top w:w="90" w:type="dxa"/>
              <w:start w:w="120" w:type="dxa"/>
              <w:bottom w:w="90" w:type="dxa"/>
              <w:end w:w="120" w:type="dxa"/>
            </w:tcMar>
            <w:vAlign w:val="center"/>
          </w:tcPr>
          <w:p>
            <w:pPr>
              <w:spacing w:before="0" w:after="0" w:line="259" w:lineRule="auto"/>
              <w:jc w:val="left"/>
            </w:pPr>
            <w:r>
              <w:t>Verified, safe completion, disclosure consent; always paired with text/icon</w:t>
            </w:r>
            <w:r>
              <w:rPr>
                <w:rFonts w:ascii="Aptos" w:hAnsi="Aptos"/>
                <w:b w:val="0"/>
                <w:i w:val="0"/>
                <w:color w:val="171B20"/>
                <w:sz w:val="18"/>
              </w:rPr>
            </w:r>
          </w:p>
        </w:tc>
      </w:tr>
      <w:tr>
        <w:trPr>
          <w:cantSplit/>
        </w:trPr>
        <w:tc>
          <w:tcPr>
            <w:tcW w:type="dxa" w:w="1900"/>
            <w:shd w:fill="F5F7F8"/>
            <w:tcMar>
              <w:top w:w="90" w:type="dxa"/>
              <w:start w:w="120" w:type="dxa"/>
              <w:bottom w:w="90" w:type="dxa"/>
              <w:end w:w="120" w:type="dxa"/>
            </w:tcMar>
            <w:vAlign w:val="center"/>
          </w:tcPr>
          <w:p>
            <w:pPr>
              <w:spacing w:before="0" w:after="0" w:line="259" w:lineRule="auto"/>
              <w:jc w:val="left"/>
            </w:pPr>
            <w:r>
              <w:t>attention</w:t>
            </w:r>
            <w:r>
              <w:rPr>
                <w:rFonts w:ascii="Aptos" w:hAnsi="Aptos"/>
                <w:b w:val="0"/>
                <w:i w:val="0"/>
                <w:color w:val="171B20"/>
                <w:sz w:val="18"/>
              </w:rPr>
            </w:r>
          </w:p>
        </w:tc>
        <w:tc>
          <w:tcPr>
            <w:tcW w:type="dxa" w:w="1300"/>
            <w:shd w:fill="F5F7F8"/>
            <w:tcMar>
              <w:top w:w="90" w:type="dxa"/>
              <w:start w:w="120" w:type="dxa"/>
              <w:bottom w:w="90" w:type="dxa"/>
              <w:end w:w="120" w:type="dxa"/>
            </w:tcMar>
            <w:vAlign w:val="center"/>
          </w:tcPr>
          <w:p>
            <w:pPr>
              <w:spacing w:before="0" w:after="0" w:line="259" w:lineRule="auto"/>
              <w:jc w:val="left"/>
            </w:pPr>
            <w:r>
              <w:t>#CB8A1B</w:t>
            </w:r>
            <w:r>
              <w:rPr>
                <w:rFonts w:ascii="Aptos" w:hAnsi="Aptos"/>
                <w:b w:val="0"/>
                <w:i w:val="0"/>
                <w:color w:val="171B20"/>
                <w:sz w:val="18"/>
              </w:rPr>
            </w:r>
          </w:p>
        </w:tc>
        <w:tc>
          <w:tcPr>
            <w:tcW w:type="dxa" w:w="6160"/>
            <w:shd w:fill="F5F7F8"/>
            <w:tcMar>
              <w:top w:w="90" w:type="dxa"/>
              <w:start w:w="120" w:type="dxa"/>
              <w:bottom w:w="90" w:type="dxa"/>
              <w:end w:w="120" w:type="dxa"/>
            </w:tcMar>
            <w:vAlign w:val="center"/>
          </w:tcPr>
          <w:p>
            <w:pPr>
              <w:spacing w:before="0" w:after="0" w:line="259" w:lineRule="auto"/>
              <w:jc w:val="left"/>
            </w:pPr>
            <w:r>
              <w:t>Needs-user action, expiry caution, low-confidence review; not manufactured urgency</w:t>
            </w:r>
            <w:r>
              <w:rPr>
                <w:rFonts w:ascii="Aptos" w:hAnsi="Aptos"/>
                <w:b w:val="0"/>
                <w:i w:val="0"/>
                <w:color w:val="171B20"/>
                <w:sz w:val="18"/>
              </w:rPr>
            </w:r>
          </w:p>
        </w:tc>
      </w:tr>
      <w:tr>
        <w:trPr>
          <w:cantSplit/>
        </w:trPr>
        <w:tc>
          <w:tcPr>
            <w:tcW w:type="dxa" w:w="1900"/>
            <w:shd w:fill="F5F7F8"/>
            <w:tcMar>
              <w:top w:w="90" w:type="dxa"/>
              <w:start w:w="120" w:type="dxa"/>
              <w:bottom w:w="90" w:type="dxa"/>
              <w:end w:w="120" w:type="dxa"/>
            </w:tcMar>
            <w:vAlign w:val="center"/>
          </w:tcPr>
          <w:p>
            <w:pPr>
              <w:spacing w:before="0" w:after="0" w:line="259" w:lineRule="auto"/>
              <w:jc w:val="left"/>
            </w:pPr>
            <w:r>
              <w:t>denial</w:t>
            </w:r>
            <w:r>
              <w:rPr>
                <w:rFonts w:ascii="Aptos" w:hAnsi="Aptos"/>
                <w:b w:val="0"/>
                <w:i w:val="0"/>
                <w:color w:val="171B20"/>
                <w:sz w:val="18"/>
              </w:rPr>
            </w:r>
          </w:p>
        </w:tc>
        <w:tc>
          <w:tcPr>
            <w:tcW w:type="dxa" w:w="1300"/>
            <w:shd w:fill="F5F7F8"/>
            <w:tcMar>
              <w:top w:w="90" w:type="dxa"/>
              <w:start w:w="120" w:type="dxa"/>
              <w:bottom w:w="90" w:type="dxa"/>
              <w:end w:w="120" w:type="dxa"/>
            </w:tcMar>
            <w:vAlign w:val="center"/>
          </w:tcPr>
          <w:p>
            <w:pPr>
              <w:spacing w:before="0" w:after="0" w:line="259" w:lineRule="auto"/>
              <w:jc w:val="left"/>
            </w:pPr>
            <w:r>
              <w:t>#D9483B</w:t>
            </w:r>
            <w:r>
              <w:rPr>
                <w:rFonts w:ascii="Aptos" w:hAnsi="Aptos"/>
                <w:b w:val="0"/>
                <w:i w:val="0"/>
                <w:color w:val="171B20"/>
                <w:sz w:val="18"/>
              </w:rPr>
            </w:r>
          </w:p>
        </w:tc>
        <w:tc>
          <w:tcPr>
            <w:tcW w:type="dxa" w:w="6160"/>
            <w:shd w:fill="F5F7F8"/>
            <w:tcMar>
              <w:top w:w="90" w:type="dxa"/>
              <w:start w:w="120" w:type="dxa"/>
              <w:bottom w:w="90" w:type="dxa"/>
              <w:end w:w="120" w:type="dxa"/>
            </w:tcMar>
            <w:vAlign w:val="center"/>
          </w:tcPr>
          <w:p>
            <w:pPr>
              <w:spacing w:before="0" w:after="0" w:line="259" w:lineRule="auto"/>
              <w:jc w:val="left"/>
            </w:pPr>
            <w:r>
              <w:t>Failure, destructive warning, invalidated approval</w:t>
            </w:r>
            <w:r>
              <w:rPr>
                <w:rFonts w:ascii="Aptos" w:hAnsi="Aptos"/>
                <w:b w:val="0"/>
                <w:i w:val="0"/>
                <w:color w:val="171B20"/>
                <w:sz w:val="18"/>
              </w:rPr>
            </w:r>
          </w:p>
        </w:tc>
      </w:tr>
      <w:tr>
        <w:trPr>
          <w:cantSplit/>
        </w:trPr>
        <w:tc>
          <w:tcPr>
            <w:tcW w:type="dxa" w:w="1900"/>
            <w:shd w:fill="F5F7F8"/>
            <w:tcMar>
              <w:top w:w="90" w:type="dxa"/>
              <w:start w:w="120" w:type="dxa"/>
              <w:bottom w:w="90" w:type="dxa"/>
              <w:end w:w="120" w:type="dxa"/>
            </w:tcMar>
            <w:vAlign w:val="center"/>
          </w:tcPr>
          <w:p>
            <w:pPr>
              <w:spacing w:before="0" w:after="0" w:line="259" w:lineRule="auto"/>
              <w:jc w:val="left"/>
            </w:pPr>
            <w:r>
              <w:t>rule</w:t>
            </w:r>
            <w:r>
              <w:rPr>
                <w:rFonts w:ascii="Aptos" w:hAnsi="Aptos"/>
                <w:b w:val="0"/>
                <w:i w:val="0"/>
                <w:color w:val="171B20"/>
                <w:sz w:val="18"/>
              </w:rPr>
            </w:r>
          </w:p>
        </w:tc>
        <w:tc>
          <w:tcPr>
            <w:tcW w:type="dxa" w:w="1300"/>
            <w:shd w:fill="F5F7F8"/>
            <w:tcMar>
              <w:top w:w="90" w:type="dxa"/>
              <w:start w:w="120" w:type="dxa"/>
              <w:bottom w:w="90" w:type="dxa"/>
              <w:end w:w="120" w:type="dxa"/>
            </w:tcMar>
            <w:vAlign w:val="center"/>
          </w:tcPr>
          <w:p>
            <w:pPr>
              <w:spacing w:before="0" w:after="0" w:line="259" w:lineRule="auto"/>
              <w:jc w:val="left"/>
            </w:pPr>
            <w:r>
              <w:t>#E6E1D8</w:t>
            </w:r>
            <w:r>
              <w:rPr>
                <w:rFonts w:ascii="Aptos" w:hAnsi="Aptos"/>
                <w:b w:val="0"/>
                <w:i w:val="0"/>
                <w:color w:val="171B20"/>
                <w:sz w:val="18"/>
              </w:rPr>
            </w:r>
          </w:p>
        </w:tc>
        <w:tc>
          <w:tcPr>
            <w:tcW w:type="dxa" w:w="6160"/>
            <w:shd w:fill="F5F7F8"/>
            <w:tcMar>
              <w:top w:w="90" w:type="dxa"/>
              <w:start w:w="120" w:type="dxa"/>
              <w:bottom w:w="90" w:type="dxa"/>
              <w:end w:w="120" w:type="dxa"/>
            </w:tcMar>
            <w:vAlign w:val="center"/>
          </w:tcPr>
          <w:p>
            <w:pPr>
              <w:spacing w:before="0" w:after="0" w:line="259" w:lineRule="auto"/>
              <w:jc w:val="left"/>
            </w:pPr>
            <w:r>
              <w:t>Borders and separators</w:t>
            </w:r>
            <w:r>
              <w:rPr>
                <w:rFonts w:ascii="Aptos" w:hAnsi="Aptos"/>
                <w:b w:val="0"/>
                <w:i w:val="0"/>
                <w:color w:val="171B20"/>
                <w:sz w:val="18"/>
              </w:rPr>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5F7F8"/>
            <w:tcMar>
              <w:top w:w="90" w:type="dxa"/>
              <w:start w:w="120" w:type="dxa"/>
              <w:bottom w:w="90" w:type="dxa"/>
              <w:end w:w="120" w:type="dxa"/>
            </w:tcMar>
            <w:vAlign w:val="center"/>
          </w:tcPr>
          <w:p>
            <w:pPr>
              <w:spacing w:after="60"/>
            </w:pPr>
            <w:r>
              <w:rPr>
                <w:rFonts w:ascii="Consolas" w:hAnsi="Consolas"/>
                <w:b/>
                <w:i w:val="0"/>
                <w:color w:val="586069"/>
                <w:sz w:val="17"/>
              </w:rPr>
              <w:t>COLOR RULE</w:t>
            </w:r>
          </w:p>
          <w:p>
            <w:pPr>
              <w:spacing w:after="0" w:line="271" w:lineRule="auto"/>
            </w:pPr>
            <w:r>
              <w:rPr>
                <w:rFonts w:ascii="Aptos" w:hAnsi="Aptos"/>
                <w:b w:val="0"/>
                <w:i w:val="0"/>
                <w:color w:val="171B20"/>
                <w:sz w:val="20"/>
              </w:rPr>
              <w:t>Green never means 'best deal' by itself, clay never creates urgency by itself, and red never appears for ordinary privacy information. Every semantic color has a label, icon, shape, or position equivalent.</w:t>
            </w:r>
          </w:p>
        </w:tc>
      </w:tr>
    </w:tbl>
    <w:p>
      <w:pPr>
        <w:spacing w:after="20"/>
      </w:pPr>
    </w:p>
    <w:p>
      <w:pPr>
        <w:pStyle w:val="Heading2"/>
        <w:keepNext/>
      </w:pPr>
      <w:r>
        <w:t>8.2 Typography</w:t>
      </w:r>
    </w:p>
    <w:tbl>
      <w:tblPr>
        <w:tblStyle w:val="TableGrid"/>
        <w:tblW w:type="dxa" w:w="9360"/>
        <w:jc w:val="left"/>
        <w:tblLayout w:type="fixed"/>
        <w:tblLook w:firstColumn="1" w:firstRow="1" w:lastColumn="0" w:lastRow="0" w:noHBand="0" w:noVBand="1" w:val="04A0"/>
        <w:tblInd w:w="120" w:type="dxa"/>
      </w:tblPr>
      <w:tblGrid>
        <w:gridCol w:w="2500"/>
        <w:gridCol w:w="3000"/>
        <w:gridCol w:w="3860"/>
      </w:tblGrid>
      <w:tr>
        <w:trPr>
          <w:cantSplit/>
          <w:tblHeader w:val="true"/>
        </w:trPr>
        <w:tc>
          <w:tcPr>
            <w:tcW w:type="dxa" w:w="250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8"/>
              </w:rPr>
              <w:t>Role</w:t>
            </w:r>
          </w:p>
        </w:tc>
        <w:tc>
          <w:tcPr>
            <w:tcW w:type="dxa" w:w="300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8"/>
              </w:rPr>
              <w:t>Preferred</w:t>
            </w:r>
          </w:p>
        </w:tc>
        <w:tc>
          <w:tcPr>
            <w:tcW w:type="dxa" w:w="386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8"/>
              </w:rPr>
              <w:t>Implementation fallback</w:t>
            </w:r>
          </w:p>
        </w:tc>
      </w:tr>
      <w:tr>
        <w:trPr>
          <w:cantSplit/>
        </w:trPr>
        <w:tc>
          <w:tcPr>
            <w:tcW w:type="dxa" w:w="25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Voice and editorial headings</w:t>
            </w:r>
          </w:p>
        </w:tc>
        <w:tc>
          <w:tcPr>
            <w:tcW w:type="dxa" w:w="3000"/>
            <w:tcMar>
              <w:top w:w="90" w:type="dxa"/>
              <w:start w:w="120" w:type="dxa"/>
              <w:bottom w:w="90" w:type="dxa"/>
              <w:end w:w="120" w:type="dxa"/>
            </w:tcMar>
            <w:vAlign w:val="center"/>
          </w:tcPr>
          <w:p>
            <w:pPr>
              <w:spacing w:before="0" w:after="0" w:line="259" w:lineRule="auto"/>
              <w:jc w:val="left"/>
            </w:pPr>
            <w:r>
              <w:t>Schibsted Grotesk</w:t>
            </w:r>
            <w:r>
              <w:rPr>
                <w:rFonts w:ascii="Aptos" w:hAnsi="Aptos"/>
                <w:b w:val="0"/>
                <w:i w:val="0"/>
                <w:color w:val="171B20"/>
                <w:sz w:val="18"/>
              </w:rPr>
            </w:r>
          </w:p>
        </w:tc>
        <w:tc>
          <w:tcPr>
            <w:tcW w:type="dxa" w:w="38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Georgia</w:t>
            </w:r>
          </w:p>
        </w:tc>
      </w:tr>
      <w:tr>
        <w:trPr>
          <w:cantSplit/>
        </w:trPr>
        <w:tc>
          <w:tcPr>
            <w:tcW w:type="dxa" w:w="25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Interface and body</w:t>
            </w:r>
          </w:p>
        </w:tc>
        <w:tc>
          <w:tcPr>
            <w:tcW w:type="dxa" w:w="3000"/>
            <w:shd w:fill="F5F7F8"/>
            <w:tcMar>
              <w:top w:w="90" w:type="dxa"/>
              <w:start w:w="120" w:type="dxa"/>
              <w:bottom w:w="90" w:type="dxa"/>
              <w:end w:w="120" w:type="dxa"/>
            </w:tcMar>
            <w:vAlign w:val="center"/>
          </w:tcPr>
          <w:p>
            <w:pPr>
              <w:spacing w:before="0" w:after="0" w:line="259" w:lineRule="auto"/>
              <w:jc w:val="left"/>
            </w:pPr>
            <w:r>
              <w:t>Schibsted Grotesk</w:t>
            </w:r>
            <w:r>
              <w:rPr>
                <w:rFonts w:ascii="Aptos" w:hAnsi="Aptos"/>
                <w:b w:val="0"/>
                <w:i w:val="0"/>
                <w:color w:val="171B20"/>
                <w:sz w:val="18"/>
              </w:rPr>
            </w:r>
          </w:p>
        </w:tc>
        <w:tc>
          <w:tcPr>
            <w:tcW w:type="dxa" w:w="3860"/>
            <w:shd w:fill="F5F7F8"/>
            <w:tcMar>
              <w:top w:w="90" w:type="dxa"/>
              <w:start w:w="120" w:type="dxa"/>
              <w:bottom w:w="90" w:type="dxa"/>
              <w:end w:w="120" w:type="dxa"/>
            </w:tcMar>
            <w:vAlign w:val="center"/>
          </w:tcPr>
          <w:p>
            <w:pPr>
              <w:spacing w:before="0" w:after="0" w:line="259" w:lineRule="auto"/>
              <w:jc w:val="left"/>
            </w:pPr>
            <w:r>
              <w:t>system-ui sans-serif</w:t>
            </w:r>
            <w:r>
              <w:rPr>
                <w:rFonts w:ascii="Aptos" w:hAnsi="Aptos"/>
                <w:b w:val="0"/>
                <w:i w:val="0"/>
                <w:color w:val="171B20"/>
                <w:sz w:val="18"/>
              </w:rPr>
            </w:r>
          </w:p>
        </w:tc>
      </w:tr>
      <w:tr>
        <w:trPr>
          <w:cantSplit/>
        </w:trPr>
        <w:tc>
          <w:tcPr>
            <w:tcW w:type="dxa" w:w="25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Prices, IDs, timestamps</w:t>
            </w:r>
          </w:p>
        </w:tc>
        <w:tc>
          <w:tcPr>
            <w:tcW w:type="dxa" w:w="30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JetBrains Mono</w:t>
            </w:r>
          </w:p>
        </w:tc>
        <w:tc>
          <w:tcPr>
            <w:tcW w:type="dxa" w:w="38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8"/>
              </w:rPr>
              <w:t>Consolas or system monospace</w:t>
            </w:r>
          </w:p>
        </w:tc>
      </w:tr>
    </w:tbl>
    <w:p>
      <w:pPr>
        <w:spacing w:after="20"/>
      </w:pPr>
    </w:p>
    <w:p>
      <w:pPr>
        <w:pStyle w:val="ListBullet"/>
        <w:spacing w:after="80" w:line="283" w:lineRule="auto"/>
      </w:pPr>
      <w:r>
        <w:rPr>
          <w:rFonts w:ascii="Aptos" w:hAnsi="Aptos"/>
          <w:b w:val="0"/>
          <w:i w:val="0"/>
          <w:color w:val="171B20"/>
          <w:sz w:val="21"/>
        </w:rPr>
        <w:t>Body minimum: 16 CSS px / platform equivalent; never shrink financial or privacy copy to fit.</w:t>
      </w:r>
    </w:p>
    <w:p>
      <w:pPr>
        <w:pStyle w:val="ListBullet"/>
        <w:spacing w:after="80" w:line="283" w:lineRule="auto"/>
      </w:pPr>
      <w:r>
        <w:rPr>
          <w:rFonts w:ascii="Aptos" w:hAnsi="Aptos"/>
          <w:b w:val="0"/>
          <w:i w:val="0"/>
          <w:color w:val="171B20"/>
          <w:sz w:val="21"/>
        </w:rPr>
        <w:t>Use tabular figures for prices, times, countdowns, and IDs.</w:t>
      </w:r>
    </w:p>
    <w:p>
      <w:pPr>
        <w:pStyle w:val="ListBullet"/>
        <w:spacing w:after="80" w:line="283" w:lineRule="auto"/>
      </w:pPr>
      <w:r>
        <w:rPr>
          <w:rFonts w:ascii="Aptos" w:hAnsi="Aptos"/>
          <w:b w:val="0"/>
          <w:i w:val="0"/>
          <w:color w:val="171B20"/>
          <w:sz w:val="21"/>
        </w:rPr>
        <w:t>Schibsted Grotesk for editorial headings, interface, and body; JetBrains Mono for prices, IDs, and timestamps. Do not restore Newsreader or Libre Franklin in product UI.</w:t>
      </w:r>
    </w:p>
    <w:p>
      <w:pPr>
        <w:pStyle w:val="Heading2"/>
        <w:keepNext/>
      </w:pPr>
      <w:r>
        <w:t>8.3 Spacing, shape, and elevation</w:t>
      </w:r>
    </w:p>
    <w:p>
      <w:pPr>
        <w:pStyle w:val="ListBullet"/>
        <w:spacing w:after="80" w:line="283" w:lineRule="auto"/>
      </w:pPr>
      <w:r>
        <w:rPr>
          <w:rFonts w:ascii="Aptos" w:hAnsi="Aptos"/>
          <w:b w:val="0"/>
          <w:i w:val="0"/>
          <w:color w:val="171B20"/>
          <w:sz w:val="21"/>
        </w:rPr>
        <w:t>Base spacing unit: 4 px. Primary rhythm: 8, 12, 16, 24, 32, 40 px.</w:t>
      </w:r>
    </w:p>
    <w:p>
      <w:pPr>
        <w:pStyle w:val="ListBullet"/>
        <w:spacing w:after="80" w:line="283" w:lineRule="auto"/>
      </w:pPr>
      <w:r>
        <w:rPr>
          <w:rFonts w:ascii="Aptos" w:hAnsi="Aptos"/>
          <w:b w:val="0"/>
          <w:i w:val="0"/>
          <w:color w:val="171B20"/>
          <w:sz w:val="21"/>
        </w:rPr>
        <w:t>Mobile screen padding: 16 px; compact cards 12-16 px; signature screens use 20-24 px breathing room.</w:t>
      </w:r>
    </w:p>
    <w:p>
      <w:pPr>
        <w:pStyle w:val="ListBullet"/>
        <w:spacing w:after="80" w:line="283" w:lineRule="auto"/>
      </w:pPr>
      <w:r>
        <w:rPr>
          <w:rFonts w:ascii="Aptos" w:hAnsi="Aptos"/>
          <w:b w:val="0"/>
          <w:i w:val="0"/>
          <w:color w:val="171B20"/>
          <w:sz w:val="21"/>
        </w:rPr>
        <w:t>Card radii: 10-16 px. Status pills may use full radius. Data tables remain squared or lightly rounded.</w:t>
      </w:r>
    </w:p>
    <w:p>
      <w:pPr>
        <w:pStyle w:val="ListBullet"/>
        <w:spacing w:after="80" w:line="283" w:lineRule="auto"/>
      </w:pPr>
      <w:r>
        <w:rPr>
          <w:rFonts w:ascii="Aptos" w:hAnsi="Aptos"/>
          <w:b w:val="0"/>
          <w:i w:val="0"/>
          <w:color w:val="171B20"/>
          <w:sz w:val="21"/>
        </w:rPr>
        <w:t>Use borders and surface contrast before shadows. One restrained shadow token may separate modal approval panels.</w:t>
      </w:r>
    </w:p>
    <w:p>
      <w:pPr>
        <w:pStyle w:val="ListBullet"/>
        <w:spacing w:after="80" w:line="283" w:lineRule="auto"/>
      </w:pPr>
      <w:r>
        <w:rPr>
          <w:rFonts w:ascii="Aptos" w:hAnsi="Aptos"/>
          <w:b w:val="0"/>
          <w:i w:val="0"/>
          <w:color w:val="171B20"/>
          <w:sz w:val="21"/>
        </w:rPr>
        <w:t>Touch targets: at least 44 x 44 pt. Primary approval region at least 56 pt high, with larger target when gesture-based.</w:t>
      </w:r>
    </w:p>
    <w:p>
      <w:pPr>
        <w:pStyle w:val="Heading2"/>
        <w:keepNext/>
      </w:pPr>
      <w:r>
        <w:t>8.4 Motion</w:t>
      </w:r>
    </w:p>
    <w:p>
      <w:pPr>
        <w:pStyle w:val="ListBullet"/>
        <w:spacing w:after="80" w:line="283" w:lineRule="auto"/>
      </w:pPr>
      <w:r>
        <w:rPr>
          <w:rFonts w:ascii="Aptos" w:hAnsi="Aptos"/>
          <w:b w:val="0"/>
          <w:i w:val="0"/>
          <w:color w:val="171B20"/>
          <w:sz w:val="21"/>
        </w:rPr>
        <w:t>Transitions are brief (generally 150-200 ms) and reflect state change, not agent theatrics.</w:t>
      </w:r>
    </w:p>
    <w:p>
      <w:pPr>
        <w:pStyle w:val="ListBullet"/>
        <w:spacing w:after="80" w:line="283" w:lineRule="auto"/>
      </w:pPr>
      <w:r>
        <w:rPr>
          <w:rFonts w:ascii="Aptos" w:hAnsi="Aptos"/>
          <w:b w:val="0"/>
          <w:i w:val="0"/>
          <w:color w:val="171B20"/>
          <w:sz w:val="21"/>
        </w:rPr>
        <w:t>No bouncing, pulsing, confetti, artificial thinking animation, or countdown animation designed to pressure.</w:t>
      </w:r>
    </w:p>
    <w:p>
      <w:pPr>
        <w:pStyle w:val="ListBullet"/>
        <w:spacing w:after="80" w:line="283" w:lineRule="auto"/>
      </w:pPr>
      <w:r>
        <w:rPr>
          <w:rFonts w:ascii="Aptos" w:hAnsi="Aptos"/>
          <w:b w:val="0"/>
          <w:i w:val="0"/>
          <w:color w:val="171B20"/>
          <w:sz w:val="21"/>
        </w:rPr>
        <w:t>Reduced-motion mode replaces movement with immediate state updates while preserving text and focus changes. ReservEdge tokens and the responsive shell (dark rail, cream canvas, coral accent) remain the approved marks.</w:t>
      </w:r>
    </w:p>
    <w:p>
      <w:pPr>
        <w:pStyle w:val="ListBullet"/>
        <w:spacing w:after="80" w:line="283" w:lineRule="auto"/>
      </w:pPr>
      <w:r>
        <w:rPr>
          <w:rFonts w:ascii="Aptos" w:hAnsi="Aptos"/>
          <w:b w:val="0"/>
          <w:i w:val="0"/>
          <w:color w:val="171B20"/>
          <w:sz w:val="21"/>
        </w:rPr>
        <w:t>Background progress updates must remain understandable when animation is disabled.</w:t>
      </w:r>
    </w:p>
    <w:p>
      <w:pPr>
        <w:pStyle w:val="Heading2"/>
        <w:keepNext/>
      </w:pPr>
      <w:r>
        <w:t>8.5 Core component inventory</w:t>
      </w:r>
    </w:p>
    <w:tbl>
      <w:tblPr>
        <w:tblStyle w:val="TableGrid"/>
        <w:tblW w:type="dxa" w:w="9360"/>
        <w:jc w:val="left"/>
        <w:tblLayout w:type="fixed"/>
        <w:tblLook w:firstColumn="1" w:firstRow="1" w:lastColumn="0" w:lastRow="0" w:noHBand="0" w:noVBand="1" w:val="04A0"/>
        <w:tblInd w:w="120" w:type="dxa"/>
      </w:tblPr>
      <w:tblGrid>
        <w:gridCol w:w="2500"/>
        <w:gridCol w:w="6860"/>
      </w:tblGrid>
      <w:tr>
        <w:trPr>
          <w:cantSplit/>
          <w:tblHeader w:val="true"/>
        </w:trPr>
        <w:tc>
          <w:tcPr>
            <w:tcW w:type="dxa" w:w="250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6"/>
              </w:rPr>
              <w:t>Component</w:t>
            </w:r>
          </w:p>
        </w:tc>
        <w:tc>
          <w:tcPr>
            <w:tcW w:type="dxa" w:w="686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6"/>
              </w:rPr>
              <w:t>Required variants / behavior</w:t>
            </w:r>
          </w:p>
        </w:tc>
      </w:tr>
      <w:tr>
        <w:trPr>
          <w:cantSplit/>
        </w:trPr>
        <w:tc>
          <w:tcPr>
            <w:tcW w:type="dxa" w:w="25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C-01 IntentCard</w:t>
            </w:r>
          </w:p>
        </w:tc>
        <w:tc>
          <w:tcPr>
            <w:tcW w:type="dxa" w:w="68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draft, needs-review, researching, disclosure-ready, suppliers-working, decision-ready, authorization-required, done, error, offline</w:t>
            </w:r>
          </w:p>
        </w:tc>
      </w:tr>
      <w:tr>
        <w:trPr>
          <w:cantSplit/>
        </w:trPr>
        <w:tc>
          <w:tcPr>
            <w:tcW w:type="dxa" w:w="25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C-02 StatusIndicator</w:t>
            </w:r>
          </w:p>
        </w:tc>
        <w:tc>
          <w:tcPr>
            <w:tcW w:type="dxa" w:w="68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dot/icon + word; six semantic tones; never color-only</w:t>
            </w:r>
          </w:p>
        </w:tc>
      </w:tr>
      <w:tr>
        <w:trPr>
          <w:cantSplit/>
        </w:trPr>
        <w:tc>
          <w:tcPr>
            <w:tcW w:type="dxa" w:w="25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C-03 StageTrack</w:t>
            </w:r>
          </w:p>
        </w:tc>
        <w:tc>
          <w:tcPr>
            <w:tcW w:type="dxa" w:w="68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completed/current/future/error; aria-current on active stage</w:t>
            </w:r>
          </w:p>
        </w:tc>
      </w:tr>
      <w:tr>
        <w:trPr>
          <w:cantSplit/>
        </w:trPr>
        <w:tc>
          <w:tcPr>
            <w:tcW w:type="dxa" w:w="25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C-04 FieldRow</w:t>
            </w:r>
          </w:p>
        </w:tc>
        <w:tc>
          <w:tcPr>
            <w:tcW w:type="dxa" w:w="68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value, evidence, confidence, edit/confirm action</w:t>
            </w:r>
          </w:p>
        </w:tc>
      </w:tr>
      <w:tr>
        <w:trPr>
          <w:cantSplit/>
        </w:trPr>
        <w:tc>
          <w:tcPr>
            <w:tcW w:type="dxa" w:w="25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C-05 ConfidenceLabel</w:t>
            </w:r>
          </w:p>
        </w:tc>
        <w:tc>
          <w:tcPr>
            <w:tcW w:type="dxa" w:w="68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High, Medium, Low, Contested; no percentage</w:t>
            </w:r>
          </w:p>
        </w:tc>
      </w:tr>
      <w:tr>
        <w:trPr>
          <w:cantSplit/>
        </w:trPr>
        <w:tc>
          <w:tcPr>
            <w:tcW w:type="dxa" w:w="25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C-06 ResearchPanel</w:t>
            </w:r>
          </w:p>
        </w:tc>
        <w:tc>
          <w:tcPr>
            <w:tcW w:type="dxa" w:w="68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concrete tasks, provenance link, partial/failure states</w:t>
            </w:r>
          </w:p>
        </w:tc>
      </w:tr>
      <w:tr>
        <w:trPr>
          <w:cantSplit/>
        </w:trPr>
        <w:tc>
          <w:tcPr>
            <w:tcW w:type="dxa" w:w="25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C-07 DisclosureGroup</w:t>
            </w:r>
          </w:p>
        </w:tc>
        <w:tc>
          <w:tcPr>
            <w:tcW w:type="dxa" w:w="6860"/>
            <w:tcMar>
              <w:top w:w="90" w:type="dxa"/>
              <w:start w:w="120" w:type="dxa"/>
              <w:bottom w:w="90" w:type="dxa"/>
              <w:end w:w="120" w:type="dxa"/>
            </w:tcMar>
            <w:vAlign w:val="center"/>
          </w:tcPr>
          <w:p>
            <w:pPr>
              <w:spacing w:before="0" w:after="0" w:line="259" w:lineRule="auto"/>
              <w:jc w:val="left"/>
            </w:pPr>
            <w:r>
              <w:t>Sent or withheld requirement fields only; field counts; expandable purposes. Preferences never appear.</w:t>
            </w:r>
            <w:r>
              <w:rPr>
                <w:rFonts w:ascii="Aptos" w:hAnsi="Aptos"/>
                <w:b w:val="0"/>
                <w:i w:val="0"/>
                <w:color w:val="171B20"/>
                <w:sz w:val="16"/>
              </w:rPr>
            </w:r>
          </w:p>
        </w:tc>
      </w:tr>
      <w:tr>
        <w:trPr>
          <w:cantSplit/>
        </w:trPr>
        <w:tc>
          <w:tcPr>
            <w:tcW w:type="dxa" w:w="25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C-08 DisclosureRow</w:t>
            </w:r>
          </w:p>
        </w:tc>
        <w:tc>
          <w:tcPr>
            <w:tcW w:type="dxa" w:w="68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field, minimized value, purpose, source classification</w:t>
            </w:r>
          </w:p>
        </w:tc>
      </w:tr>
      <w:tr>
        <w:trPr>
          <w:cantSplit/>
        </w:trPr>
        <w:tc>
          <w:tcPr>
            <w:tcW w:type="dxa" w:w="25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C-09 ApprovalPanel</w:t>
            </w:r>
          </w:p>
        </w:tc>
        <w:tc>
          <w:tcPr>
            <w:tcW w:type="dxa" w:w="68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Gate 1/Gate 2 variants, summary, accessible confirmation, expiry/invalidation</w:t>
            </w:r>
          </w:p>
        </w:tc>
      </w:tr>
      <w:tr>
        <w:trPr>
          <w:cantSplit/>
        </w:trPr>
        <w:tc>
          <w:tcPr>
            <w:tcW w:type="dxa" w:w="25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C-10 SupplierLane</w:t>
            </w:r>
          </w:p>
        </w:tc>
        <w:tc>
          <w:tcPr>
            <w:tcW w:type="dxa" w:w="68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sent, received, preparing, responded, declined, timed out, invalid</w:t>
            </w:r>
          </w:p>
        </w:tc>
      </w:tr>
      <w:tr>
        <w:trPr>
          <w:cantSplit/>
        </w:trPr>
        <w:tc>
          <w:tcPr>
            <w:tcW w:type="dxa" w:w="25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C-11 OfferCard</w:t>
            </w:r>
          </w:p>
        </w:tc>
        <w:tc>
          <w:tcPr>
            <w:tcW w:type="dxa" w:w="6860"/>
            <w:tcMar>
              <w:top w:w="90" w:type="dxa"/>
              <w:start w:w="120" w:type="dxa"/>
              <w:bottom w:w="90" w:type="dxa"/>
              <w:end w:w="120" w:type="dxa"/>
            </w:tcMar>
            <w:vAlign w:val="center"/>
          </w:tcPr>
          <w:p>
            <w:pPr>
              <w:spacing w:before="0" w:after="0" w:line="259" w:lineRule="auto"/>
              <w:jc w:val="left"/>
            </w:pPr>
            <w:r>
              <w:t>recommended, alternative, valid, expiring, expired, superseded, withdrawn, incomplete; inventory not_held/subject_to_availability/held_until; never infer hold from validUntil</w:t>
            </w:r>
            <w:r>
              <w:rPr>
                <w:rFonts w:ascii="Aptos" w:hAnsi="Aptos"/>
                <w:b w:val="0"/>
                <w:i w:val="0"/>
                <w:color w:val="171B20"/>
                <w:sz w:val="16"/>
              </w:rPr>
            </w:r>
          </w:p>
        </w:tc>
      </w:tr>
      <w:tr>
        <w:trPr>
          <w:cantSplit/>
        </w:trPr>
        <w:tc>
          <w:tcPr>
            <w:tcW w:type="dxa" w:w="25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C-12 ComparisonGrid</w:t>
            </w:r>
          </w:p>
        </w:tc>
        <w:tc>
          <w:tcPr>
            <w:tcW w:type="dxa" w:w="68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accessible web table and mobile stacked-card variant</w:t>
            </w:r>
          </w:p>
        </w:tc>
      </w:tr>
      <w:tr>
        <w:trPr>
          <w:cantSplit/>
        </w:trPr>
        <w:tc>
          <w:tcPr>
            <w:tcW w:type="dxa" w:w="25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C-13 TradeoffRow</w:t>
            </w:r>
          </w:p>
        </w:tc>
        <w:tc>
          <w:tcPr>
            <w:tcW w:type="dxa" w:w="68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dimension, normalized values, missing/unconfirmed state</w:t>
            </w:r>
          </w:p>
        </w:tc>
      </w:tr>
      <w:tr>
        <w:trPr>
          <w:cantSplit/>
        </w:trPr>
        <w:tc>
          <w:tcPr>
            <w:tcW w:type="dxa" w:w="25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C-14 RecommendationPanel</w:t>
            </w:r>
          </w:p>
        </w:tc>
        <w:tc>
          <w:tcPr>
            <w:tcW w:type="dxa" w:w="6860"/>
            <w:shd w:fill="F5F7F8"/>
            <w:tcMar>
              <w:top w:w="90" w:type="dxa"/>
              <w:start w:w="120" w:type="dxa"/>
              <w:bottom w:w="90" w:type="dxa"/>
              <w:end w:w="120" w:type="dxa"/>
            </w:tcMar>
            <w:vAlign w:val="center"/>
          </w:tcPr>
          <w:p>
            <w:pPr>
              <w:spacing w:before="0" w:after="0" w:line="259" w:lineRule="auto"/>
              <w:jc w:val="left"/>
            </w:pPr>
            <w:r>
              <w:t>fit, reasons, downside, local preference influence, validity axis, inventory axis (not_held in simulation), transaction result; no scoreMicros</w:t>
            </w:r>
            <w:r>
              <w:rPr>
                <w:rFonts w:ascii="Aptos" w:hAnsi="Aptos"/>
                <w:b w:val="0"/>
                <w:i w:val="0"/>
                <w:color w:val="171B20"/>
                <w:sz w:val="16"/>
              </w:rPr>
            </w:r>
          </w:p>
        </w:tc>
      </w:tr>
      <w:tr>
        <w:trPr>
          <w:cantSplit/>
        </w:trPr>
        <w:tc>
          <w:tcPr>
            <w:tcW w:type="dxa" w:w="25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C-15 SimulationBanner</w:t>
            </w:r>
          </w:p>
        </w:tc>
        <w:tc>
          <w:tcPr>
            <w:tcW w:type="dxa" w:w="68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persistent on offers, authorization, receipt, and demo shell</w:t>
            </w:r>
          </w:p>
        </w:tc>
      </w:tr>
      <w:tr>
        <w:trPr>
          <w:cantSplit/>
        </w:trPr>
        <w:tc>
          <w:tcPr>
            <w:tcW w:type="dxa" w:w="25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C-16 TermsChangedDiff</w:t>
            </w:r>
          </w:p>
        </w:tc>
        <w:tc>
          <w:tcPr>
            <w:tcW w:type="dxa" w:w="68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before/after, materiality, invalidation, reauthorization</w:t>
            </w:r>
          </w:p>
        </w:tc>
      </w:tr>
      <w:tr>
        <w:trPr>
          <w:cantSplit/>
        </w:trPr>
        <w:tc>
          <w:tcPr>
            <w:tcW w:type="dxa" w:w="25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C-17 PreferenceCard</w:t>
            </w:r>
          </w:p>
        </w:tc>
        <w:tc>
          <w:tcPr>
            <w:tcW w:type="dxa" w:w="68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steady, inferred, contested, stale, deletion-pending</w:t>
            </w:r>
          </w:p>
        </w:tc>
      </w:tr>
      <w:tr>
        <w:trPr>
          <w:cantSplit/>
        </w:trPr>
        <w:tc>
          <w:tcPr>
            <w:tcW w:type="dxa" w:w="25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C-18 AuditEventRow</w:t>
            </w:r>
          </w:p>
        </w:tc>
        <w:tc>
          <w:tcPr>
            <w:tcW w:type="dxa" w:w="68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time, action, actor, object, simulation, detail</w:t>
            </w:r>
          </w:p>
        </w:tc>
      </w:tr>
      <w:tr>
        <w:trPr>
          <w:cantSplit/>
        </w:trPr>
        <w:tc>
          <w:tcPr>
            <w:tcW w:type="dxa" w:w="25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C-19 PrivacySheet</w:t>
            </w:r>
          </w:p>
        </w:tc>
        <w:tc>
          <w:tcPr>
            <w:tcW w:type="dxa" w:w="6860"/>
            <w:tcMar>
              <w:top w:w="90" w:type="dxa"/>
              <w:start w:w="120" w:type="dxa"/>
              <w:bottom w:w="90" w:type="dxa"/>
              <w:end w:w="120" w:type="dxa"/>
            </w:tcMar>
            <w:vAlign w:val="center"/>
          </w:tcPr>
          <w:p>
            <w:pPr>
              <w:spacing w:before="0" w:after="0" w:line="259" w:lineRule="auto"/>
              <w:jc w:val="left"/>
            </w:pPr>
            <w:r>
              <w:t>known requirement/PII fields, shared requirement fields, withheld requirement fields, recipients, purpose, controls. Preferences shown as local-only, never as withheld-electable.</w:t>
            </w:r>
            <w:r>
              <w:rPr>
                <w:rFonts w:ascii="Aptos" w:hAnsi="Aptos"/>
                <w:b w:val="0"/>
                <w:i w:val="0"/>
                <w:color w:val="171B20"/>
                <w:sz w:val="16"/>
              </w:rPr>
            </w:r>
          </w:p>
        </w:tc>
      </w:tr>
      <w:tr>
        <w:trPr>
          <w:cantSplit/>
        </w:trPr>
        <w:tc>
          <w:tcPr>
            <w:tcW w:type="dxa" w:w="25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C-20 PlanCard</w:t>
            </w:r>
          </w:p>
        </w:tc>
        <w:tc>
          <w:tcPr>
            <w:tcW w:type="dxa" w:w="6860"/>
            <w:shd w:fill="F5F7F8"/>
            <w:tcMar>
              <w:top w:w="90" w:type="dxa"/>
              <w:start w:w="120" w:type="dxa"/>
              <w:bottom w:w="90" w:type="dxa"/>
              <w:end w:w="120" w:type="dxa"/>
            </w:tcMar>
            <w:vAlign w:val="center"/>
          </w:tcPr>
          <w:p>
            <w:pPr>
              <w:spacing w:before="0" w:after="0" w:line="259" w:lineRule="auto"/>
              <w:jc w:val="left"/>
            </w:pPr>
            <w:r>
              <w:t>Intent Plan of Booking Tasks: proposed/accepted/offer-ready/authorized_simulated/confirmed_booking; combined recommendations; ledger impact. Not a subscription card.</w:t>
            </w:r>
            <w:r>
              <w:rPr>
                <w:rFonts w:ascii="Aptos" w:hAnsi="Aptos"/>
                <w:b w:val="0"/>
                <w:i w:val="0"/>
                <w:color w:val="171B20"/>
                <w:sz w:val="16"/>
              </w:rPr>
            </w:r>
          </w:p>
        </w:tc>
      </w:tr>
      <w:tr>
        <w:trPr>
          <w:cantSplit/>
        </w:trPr>
        <w:tc>
          <w:tcPr>
            <w:tcW w:type="dxa" w:w="25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C-21 RecoveryBlock</w:t>
            </w:r>
          </w:p>
        </w:tc>
        <w:tc>
          <w:tcPr>
            <w:tcW w:type="dxa" w:w="68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scoped failure, consequence statement, retry/cancel</w:t>
            </w:r>
          </w:p>
        </w:tc>
      </w:tr>
      <w:tr>
        <w:trPr>
          <w:cantSplit/>
        </w:trPr>
        <w:tc>
          <w:tcPr>
            <w:tcW w:type="dxa" w:w="25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C-22 OfflineBanner</w:t>
            </w:r>
          </w:p>
        </w:tc>
        <w:tc>
          <w:tcPr>
            <w:tcW w:type="dxa" w:w="68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persistent read-only status; approvals disabled</w:t>
            </w:r>
          </w:p>
        </w:tc>
      </w:tr>
      <w:tr>
        <w:trPr>
          <w:cantSplit/>
        </w:trPr>
        <w:tc>
          <w:tcPr>
            <w:tcW w:type="dxa" w:w="25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C-23 NotificationCard</w:t>
            </w:r>
          </w:p>
        </w:tc>
        <w:tc>
          <w:tcPr>
            <w:tcW w:type="dxa" w:w="68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decision, expiry, changed terms, supplier improvement, subscription</w:t>
            </w:r>
          </w:p>
        </w:tc>
      </w:tr>
      <w:tr>
        <w:trPr>
          <w:cantSplit/>
        </w:trPr>
        <w:tc>
          <w:tcPr>
            <w:tcW w:type="dxa" w:w="25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C-24 EmptyState</w:t>
            </w:r>
          </w:p>
        </w:tc>
        <w:tc>
          <w:tcPr>
            <w:tcW w:type="dxa" w:w="68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one purpose, one primary action, optional contextual example</w:t>
            </w:r>
          </w:p>
        </w:tc>
      </w:tr>
      <w:tr>
        <w:trPr>
          <w:cantSplit/>
        </w:trPr>
        <w:tc>
          <w:tcPr>
            <w:tcW w:type="dxa" w:w="2500"/>
            <w:shd w:fill="F5F7F8"/>
            <w:tcMar>
              <w:top w:w="90" w:type="dxa"/>
              <w:start w:w="120" w:type="dxa"/>
              <w:bottom w:w="90" w:type="dxa"/>
              <w:end w:w="120" w:type="dxa"/>
            </w:tcMar>
            <w:vAlign w:val="center"/>
          </w:tcPr>
          <w:p>
            <w:pPr>
              <w:spacing w:before="0" w:after="0" w:line="259" w:lineRule="auto"/>
              <w:jc w:val="left"/>
            </w:pPr>
            <w:r>
              <w:t>C-25 EntitlementPlanCard</w:t>
            </w:r>
            <w:r>
              <w:rPr>
                <w:rFonts w:ascii="Aptos" w:hAnsi="Aptos"/>
                <w:b w:val="0"/>
                <w:i w:val="0"/>
                <w:color w:val="171B20"/>
                <w:sz w:val="16"/>
              </w:rPr>
            </w:r>
          </w:p>
        </w:tc>
        <w:tc>
          <w:tcPr>
            <w:tcW w:type="dxa" w:w="6860"/>
            <w:shd w:fill="F5F7F8"/>
            <w:tcMar>
              <w:top w:w="90" w:type="dxa"/>
              <w:start w:w="120" w:type="dxa"/>
              <w:bottom w:w="90" w:type="dxa"/>
              <w:end w:w="120" w:type="dxa"/>
            </w:tcMar>
            <w:vAlign w:val="center"/>
          </w:tcPr>
          <w:p>
            <w:pPr>
              <w:spacing w:before="0" w:after="0" w:line="259" w:lineRule="auto"/>
              <w:jc w:val="left"/>
            </w:pPr>
            <w:r>
              <w:t>FUTURE PRODUCTIZATION only. Free/Pro offering and eligibility. Not the Intent Plan. Do not implement a native/RevenueCat client now.</w:t>
            </w:r>
            <w:r>
              <w:rPr>
                <w:rFonts w:ascii="Aptos" w:hAnsi="Aptos"/>
                <w:b w:val="0"/>
                <w:i w:val="0"/>
                <w:color w:val="171B20"/>
                <w:sz w:val="16"/>
              </w:rPr>
            </w:r>
          </w:p>
        </w:tc>
      </w:tr>
      <w:tr>
        <w:trPr>
          <w:cantSplit/>
        </w:trPr>
        <w:tc>
          <w:tcPr>
            <w:tcW w:type="dxa" w:w="2500"/>
            <w:shd w:fill="F5F7F8"/>
            <w:tcMar>
              <w:top w:w="90" w:type="dxa"/>
              <w:start w:w="120" w:type="dxa"/>
              <w:bottom w:w="90" w:type="dxa"/>
              <w:end w:w="120" w:type="dxa"/>
            </w:tcMar>
            <w:vAlign w:val="center"/>
          </w:tcPr>
          <w:p>
            <w:pPr>
              <w:spacing w:before="0" w:after="0" w:line="259" w:lineRule="auto"/>
              <w:jc w:val="left"/>
            </w:pPr>
            <w:r>
              <w:t>C-26 CostLedger</w:t>
            </w:r>
            <w:r>
              <w:rPr>
                <w:rFonts w:ascii="Aptos" w:hAnsi="Aptos"/>
                <w:b w:val="0"/>
                <w:i w:val="0"/>
                <w:color w:val="171B20"/>
                <w:sz w:val="16"/>
              </w:rPr>
            </w:r>
          </w:p>
        </w:tc>
        <w:tc>
          <w:tcPr>
            <w:tcW w:type="dxa" w:w="6860"/>
            <w:shd w:fill="F5F7F8"/>
            <w:tcMar>
              <w:top w:w="90" w:type="dxa"/>
              <w:start w:w="120" w:type="dxa"/>
              <w:bottom w:w="90" w:type="dxa"/>
              <w:end w:w="120" w:type="dxa"/>
            </w:tcMar>
            <w:vAlign w:val="center"/>
          </w:tcPr>
          <w:p>
            <w:pPr>
              <w:spacing w:before="0" w:after="0" w:line="259" w:lineRule="auto"/>
              <w:jc w:val="left"/>
            </w:pPr>
            <w:r>
              <w:t>Intent-level deterministic buckets including authorized_simulated vs confirmed_booking; mixed-currency separation; simulation never writes payable/hold/confirmed</w:t>
            </w:r>
            <w:r>
              <w:rPr>
                <w:rFonts w:ascii="Aptos" w:hAnsi="Aptos"/>
                <w:b w:val="0"/>
                <w:i w:val="0"/>
                <w:color w:val="171B20"/>
                <w:sz w:val="16"/>
              </w:rPr>
            </w:r>
          </w:p>
        </w:tc>
      </w:tr>
      <w:tr>
        <w:trPr>
          <w:cantSplit/>
        </w:trPr>
        <w:tc>
          <w:tcPr>
            <w:tcW w:type="dxa" w:w="2500"/>
            <w:shd w:fill="F5F7F8"/>
            <w:tcMar>
              <w:top w:w="90" w:type="dxa"/>
              <w:start w:w="120" w:type="dxa"/>
              <w:bottom w:w="90" w:type="dxa"/>
              <w:end w:w="120" w:type="dxa"/>
            </w:tcMar>
            <w:vAlign w:val="center"/>
          </w:tcPr>
          <w:p>
            <w:pPr>
              <w:spacing w:before="0" w:after="0" w:line="259" w:lineRule="auto"/>
              <w:jc w:val="left"/>
            </w:pPr>
            <w:r>
              <w:t>C-27 CombinedRecommendations</w:t>
            </w:r>
            <w:r>
              <w:rPr>
                <w:rFonts w:ascii="Aptos" w:hAnsi="Aptos"/>
                <w:b w:val="0"/>
                <w:i w:val="0"/>
                <w:color w:val="171B20"/>
                <w:sz w:val="16"/>
              </w:rPr>
            </w:r>
          </w:p>
        </w:tc>
        <w:tc>
          <w:tcPr>
            <w:tcW w:type="dxa" w:w="6860"/>
            <w:shd w:fill="F5F7F8"/>
            <w:tcMar>
              <w:top w:w="90" w:type="dxa"/>
              <w:start w:w="120" w:type="dxa"/>
              <w:bottom w:w="90" w:type="dxa"/>
              <w:end w:w="120" w:type="dxa"/>
            </w:tcMar>
            <w:vAlign w:val="center"/>
          </w:tcPr>
          <w:p>
            <w:pPr>
              <w:spacing w:before="0" w:after="0" w:line="259" w:lineRule="auto"/>
              <w:jc w:val="left"/>
            </w:pPr>
            <w:r>
              <w:t>Two-or-more offer-ready tasks; independent Authorize; no merged supplier payload</w:t>
            </w:r>
            <w:r>
              <w:rPr>
                <w:rFonts w:ascii="Aptos" w:hAnsi="Aptos"/>
                <w:b w:val="0"/>
                <w:i w:val="0"/>
                <w:color w:val="171B20"/>
                <w:sz w:val="16"/>
              </w:rPr>
            </w:r>
          </w:p>
        </w:tc>
      </w:tr>
    </w:tbl>
    <w:p>
      <w:pPr>
        <w:spacing w:after="20"/>
      </w:pPr>
    </w:p>
    <w:p>
      <w:pPr>
        <w:pStyle w:val="Heading2"/>
        <w:keepNext/>
      </w:pPr>
      <w:r>
        <w:t>8.6 Component engineering rules</w:t>
      </w:r>
    </w:p>
    <w:p>
      <w:pPr>
        <w:pStyle w:val="ListBullet"/>
        <w:spacing w:after="80" w:line="283" w:lineRule="auto"/>
      </w:pPr>
      <w:r>
        <w:rPr>
          <w:rFonts w:ascii="Aptos" w:hAnsi="Aptos"/>
          <w:b w:val="0"/>
          <w:i w:val="0"/>
          <w:color w:val="171B20"/>
          <w:sz w:val="21"/>
        </w:rPr>
        <w:t>Shared semantic tokens live in packages/ui-kit. Responsive web maps them. Native platform wrappers are future-only and MUST NOT be implemented now.</w:t>
      </w:r>
    </w:p>
    <w:p>
      <w:pPr>
        <w:pStyle w:val="ListBullet"/>
        <w:spacing w:after="80" w:line="283" w:lineRule="auto"/>
      </w:pPr>
      <w:r>
        <w:rPr>
          <w:rFonts w:ascii="Aptos" w:hAnsi="Aptos"/>
          <w:b w:val="0"/>
          <w:i w:val="0"/>
          <w:color w:val="171B20"/>
          <w:sz w:val="21"/>
        </w:rPr>
        <w:t>Components receive typed view models derived from canonical contracts; they do not parse raw model output.</w:t>
      </w:r>
    </w:p>
    <w:p>
      <w:pPr>
        <w:pStyle w:val="ListBullet"/>
        <w:spacing w:after="80" w:line="283" w:lineRule="auto"/>
      </w:pPr>
      <w:r>
        <w:rPr>
          <w:rFonts w:ascii="Aptos" w:hAnsi="Aptos"/>
          <w:b w:val="0"/>
          <w:i w:val="0"/>
          <w:color w:val="171B20"/>
          <w:sz w:val="21"/>
        </w:rPr>
        <w:t>Every component story includes loading, empty, error, long-copy, large-text, dark-mode candidate, and simulated-state examples where applicable.</w:t>
      </w:r>
    </w:p>
    <w:p>
      <w:pPr>
        <w:pStyle w:val="ListBullet"/>
        <w:spacing w:after="80" w:line="283" w:lineRule="auto"/>
      </w:pPr>
      <w:r>
        <w:rPr>
          <w:rFonts w:ascii="Aptos" w:hAnsi="Aptos"/>
          <w:b w:val="0"/>
          <w:i w:val="0"/>
          <w:color w:val="171B20"/>
          <w:sz w:val="21"/>
        </w:rPr>
        <w:t>Approval, disclosure, price, and simulation components include screenshot regression tests at mobile and desktop widths.</w:t>
      </w:r>
    </w:p>
    <w:p>
      <w:pPr>
        <w:pStyle w:val="Heading1"/>
        <w:keepNext/>
      </w:pPr>
      <w:r>
        <w:t>9. Responsive web and mobile behavior</w:t>
      </w:r>
    </w:p>
    <w:tbl>
      <w:tblPr>
        <w:tblStyle w:val="TableGrid"/>
        <w:tblW w:type="dxa" w:w="9360"/>
        <w:jc w:val="left"/>
        <w:tblLayout w:type="fixed"/>
        <w:tblLook w:firstColumn="1" w:firstRow="1" w:lastColumn="0" w:lastRow="0" w:noHBand="0" w:noVBand="1" w:val="04A0"/>
        <w:tblInd w:w="120" w:type="dxa"/>
      </w:tblPr>
      <w:tblGrid>
        <w:gridCol w:w="1800"/>
        <w:gridCol w:w="3760"/>
        <w:gridCol w:w="3800"/>
      </w:tblGrid>
      <w:tr>
        <w:trPr>
          <w:cantSplit/>
          <w:tblHeader w:val="true"/>
        </w:trPr>
        <w:tc>
          <w:tcPr>
            <w:tcW w:type="dxa" w:w="180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7"/>
              </w:rPr>
              <w:t>Capability</w:t>
            </w:r>
          </w:p>
        </w:tc>
        <w:tc>
          <w:tcPr>
            <w:tcW w:type="dxa" w:w="376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7"/>
              </w:rPr>
              <w:t>Mobile</w:t>
            </w:r>
          </w:p>
        </w:tc>
        <w:tc>
          <w:tcPr>
            <w:tcW w:type="dxa" w:w="380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7"/>
              </w:rPr>
              <w:t>Web</w:t>
            </w:r>
          </w:p>
        </w:tc>
      </w:tr>
      <w:tr>
        <w:trPr>
          <w:cantSplit/>
        </w:trPr>
        <w:tc>
          <w:tcPr>
            <w:tcW w:type="dxa" w:w="18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Navigation</w:t>
            </w:r>
          </w:p>
        </w:tc>
        <w:tc>
          <w:tcPr>
            <w:tcW w:type="dxa" w:w="3760"/>
            <w:tcMar>
              <w:top w:w="90" w:type="dxa"/>
              <w:start w:w="120" w:type="dxa"/>
              <w:bottom w:w="90" w:type="dxa"/>
              <w:end w:w="120" w:type="dxa"/>
            </w:tcMar>
            <w:vAlign w:val="center"/>
          </w:tcPr>
          <w:p>
            <w:pPr>
              <w:spacing w:before="0" w:after="0" w:line="259" w:lineRule="auto"/>
              <w:jc w:val="left"/>
            </w:pPr>
            <w:r>
              <w:t>Plan / Conversation tabs plus reachable Tasks, combined recommendations, and Cost Ledger on responsive web</w:t>
            </w:r>
            <w:r>
              <w:rPr>
                <w:rFonts w:ascii="Aptos" w:hAnsi="Aptos"/>
                <w:b w:val="0"/>
                <w:i w:val="0"/>
                <w:color w:val="171B20"/>
                <w:sz w:val="17"/>
              </w:rPr>
            </w:r>
          </w:p>
        </w:tc>
        <w:tc>
          <w:tcPr>
            <w:tcW w:type="dxa" w:w="38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Left rail with Privacy Center shortcut</w:t>
            </w:r>
          </w:p>
        </w:tc>
      </w:tr>
      <w:tr>
        <w:trPr>
          <w:cantSplit/>
        </w:trPr>
        <w:tc>
          <w:tcPr>
            <w:tcW w:type="dxa" w:w="18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Intent detail</w:t>
            </w:r>
          </w:p>
        </w:tc>
        <w:tc>
          <w:tcPr>
            <w:tcW w:type="dxa" w:w="3760"/>
            <w:shd w:fill="F5F7F8"/>
            <w:tcMar>
              <w:top w:w="90" w:type="dxa"/>
              <w:start w:w="120" w:type="dxa"/>
              <w:bottom w:w="90" w:type="dxa"/>
              <w:end w:w="120" w:type="dxa"/>
            </w:tcMar>
            <w:vAlign w:val="center"/>
          </w:tcPr>
          <w:p>
            <w:pPr>
              <w:spacing w:before="0" w:after="0" w:line="259" w:lineRule="auto"/>
              <w:jc w:val="left"/>
            </w:pPr>
            <w:r>
              <w:t>Intent workspace: Conversation + Plan; nested Booking Task stack</w:t>
            </w:r>
            <w:r>
              <w:rPr>
                <w:rFonts w:ascii="Aptos" w:hAnsi="Aptos"/>
                <w:b w:val="0"/>
                <w:i w:val="0"/>
                <w:color w:val="171B20"/>
                <w:sz w:val="17"/>
              </w:rPr>
            </w:r>
          </w:p>
        </w:tc>
        <w:tc>
          <w:tcPr>
            <w:tcW w:type="dxa" w:w="38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Center workspace with selected intent</w:t>
            </w:r>
          </w:p>
        </w:tc>
      </w:tr>
      <w:tr>
        <w:trPr>
          <w:cantSplit/>
        </w:trPr>
        <w:tc>
          <w:tcPr>
            <w:tcW w:type="dxa" w:w="18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Privacy</w:t>
            </w:r>
          </w:p>
        </w:tc>
        <w:tc>
          <w:tcPr>
            <w:tcW w:type="dxa" w:w="37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Context sheet opened by shield</w:t>
            </w:r>
          </w:p>
        </w:tc>
        <w:tc>
          <w:tcPr>
            <w:tcW w:type="dxa" w:w="38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Persistent right context panel at wide widths; sheet at narrow widths</w:t>
            </w:r>
          </w:p>
        </w:tc>
      </w:tr>
      <w:tr>
        <w:trPr>
          <w:cantSplit/>
        </w:trPr>
        <w:tc>
          <w:tcPr>
            <w:tcW w:type="dxa" w:w="18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Comparison</w:t>
            </w:r>
          </w:p>
        </w:tc>
        <w:tc>
          <w:tcPr>
            <w:tcW w:type="dxa" w:w="37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Stacked complete offer cards; dimension selector or vertical scan</w:t>
            </w:r>
          </w:p>
        </w:tc>
        <w:tc>
          <w:tcPr>
            <w:tcW w:type="dxa" w:w="38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Semantic data table with pinned recommended column where feasible</w:t>
            </w:r>
          </w:p>
        </w:tc>
      </w:tr>
      <w:tr>
        <w:trPr>
          <w:cantSplit/>
        </w:trPr>
        <w:tc>
          <w:tcPr>
            <w:tcW w:type="dxa" w:w="18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Approvals</w:t>
            </w:r>
          </w:p>
        </w:tc>
        <w:tc>
          <w:tcPr>
            <w:tcW w:type="dxa" w:w="37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Full-screen focused review; gesture optional plus confirm fallback</w:t>
            </w:r>
          </w:p>
        </w:tc>
        <w:tc>
          <w:tcPr>
            <w:tcW w:type="dxa" w:w="38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Focused dialog/panel with standard accessible confirmation</w:t>
            </w:r>
          </w:p>
        </w:tc>
      </w:tr>
      <w:tr>
        <w:trPr>
          <w:cantSplit/>
        </w:trPr>
        <w:tc>
          <w:tcPr>
            <w:tcW w:type="dxa" w:w="18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Activity</w:t>
            </w:r>
          </w:p>
        </w:tc>
        <w:tc>
          <w:tcPr>
            <w:tcW w:type="dxa" w:w="37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Chronological stream grouped by day</w:t>
            </w:r>
          </w:p>
        </w:tc>
        <w:tc>
          <w:tcPr>
            <w:tcW w:type="dxa" w:w="38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Filterable table/list with export</w:t>
            </w:r>
          </w:p>
        </w:tc>
      </w:tr>
      <w:tr>
        <w:trPr>
          <w:cantSplit/>
        </w:trPr>
        <w:tc>
          <w:tcPr>
            <w:tcW w:type="dxa" w:w="18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Share</w:t>
            </w:r>
          </w:p>
        </w:tc>
        <w:tc>
          <w:tcPr>
            <w:tcW w:type="dxa" w:w="3760"/>
            <w:tcMar>
              <w:top w:w="90" w:type="dxa"/>
              <w:start w:w="120" w:type="dxa"/>
              <w:bottom w:w="90" w:type="dxa"/>
              <w:end w:w="120" w:type="dxa"/>
            </w:tcMar>
            <w:vAlign w:val="center"/>
          </w:tcPr>
          <w:p>
            <w:pPr>
              <w:spacing w:before="0" w:after="0" w:line="259" w:lineRule="auto"/>
              <w:jc w:val="left"/>
            </w:pPr>
            <w:r>
              <w:t>Current: typed/paste entry on responsive web. Native Share to ReservEdge is future productization only (historical/internal label Share-to-ITAA).</w:t>
            </w:r>
            <w:r>
              <w:rPr>
                <w:rFonts w:ascii="Aptos" w:hAnsi="Aptos"/>
                <w:b w:val="0"/>
                <w:i w:val="0"/>
                <w:color w:val="171B20"/>
                <w:sz w:val="17"/>
              </w:rPr>
            </w:r>
          </w:p>
        </w:tc>
        <w:tc>
          <w:tcPr>
            <w:tcW w:type="dxa" w:w="38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Paste/type/URL entry; browser share target MAY follow</w:t>
            </w:r>
          </w:p>
        </w:tc>
      </w:tr>
    </w:tbl>
    <w:p>
      <w:pPr>
        <w:spacing w:after="20"/>
      </w:pPr>
    </w:p>
    <w:p>
      <w:pPr>
        <w:pStyle w:val="Heading2"/>
        <w:keepNext/>
      </w:pPr>
      <w:r>
        <w:t>9.1 Breakpoints and layout</w:t>
      </w:r>
    </w:p>
    <w:p>
      <w:pPr>
        <w:pStyle w:val="ListBullet"/>
        <w:spacing w:after="80" w:line="283" w:lineRule="auto"/>
      </w:pPr>
      <w:r>
        <w:rPr>
          <w:rFonts w:ascii="Aptos" w:hAnsi="Aptos"/>
          <w:b w:val="0"/>
          <w:i w:val="0"/>
          <w:color w:val="171B20"/>
          <w:sz w:val="21"/>
        </w:rPr>
        <w:t>Compact: 320 / 390 / 410 CSS pixels and generally below 600. Single column; Plan and Conversation tabs; Tasks, combined recommendations, and Cost Ledger remain reachable; no horizontally clipped essential content. This is the approved mobile surface.</w:t>
      </w:r>
    </w:p>
    <w:p>
      <w:pPr>
        <w:pStyle w:val="ListBullet"/>
        <w:spacing w:after="80" w:line="283" w:lineRule="auto"/>
      </w:pPr>
      <w:r>
        <w:rPr>
          <w:rFonts w:ascii="Aptos" w:hAnsi="Aptos"/>
          <w:b w:val="0"/>
          <w:i w:val="0"/>
          <w:color w:val="171B20"/>
          <w:sz w:val="21"/>
        </w:rPr>
        <w:t>Medium: 600-1023 px. One or two columns depending on task; context panels become drawers.</w:t>
      </w:r>
    </w:p>
    <w:p>
      <w:pPr>
        <w:pStyle w:val="ListBullet"/>
        <w:spacing w:after="80" w:line="283" w:lineRule="auto"/>
      </w:pPr>
      <w:r>
        <w:rPr>
          <w:rFonts w:ascii="Aptos" w:hAnsi="Aptos"/>
          <w:b w:val="0"/>
          <w:i w:val="0"/>
          <w:color w:val="171B20"/>
          <w:sz w:val="21"/>
        </w:rPr>
        <w:t>Wide: 1024 px and above. Left navigation, main workspace, and optional right privacy/audit context.</w:t>
      </w:r>
    </w:p>
    <w:p>
      <w:pPr>
        <w:pStyle w:val="ListBullet"/>
        <w:spacing w:after="80" w:line="283" w:lineRule="auto"/>
      </w:pPr>
      <w:r>
        <w:rPr>
          <w:rFonts w:ascii="Aptos" w:hAnsi="Aptos"/>
          <w:b w:val="0"/>
          <w:i w:val="0"/>
          <w:color w:val="171B20"/>
          <w:sz w:val="21"/>
        </w:rPr>
        <w:t>At 200 percent browser zoom, wide layouts may collapse; content order and actions remain complete.</w:t>
      </w:r>
    </w:p>
    <w:p>
      <w:pPr>
        <w:pStyle w:val="Heading2"/>
        <w:keepNext/>
      </w:pPr>
      <w:r>
        <w:t>9.2 Future productization — Share to ReservEdge native lifecycle</w:t>
      </w:r>
    </w:p>
    <w:p>
      <w:pPr>
        <w:numPr>
          <w:ilvl w:val="0"/>
          <w:numId w:val="12"/>
        </w:numPr>
        <w:spacing w:after="80" w:line="283" w:lineRule="auto"/>
      </w:pPr>
      <w:r>
        <w:rPr>
          <w:rFonts w:ascii="Aptos" w:hAnsi="Aptos"/>
          <w:b w:val="0"/>
          <w:i w:val="0"/>
          <w:color w:val="171B20"/>
          <w:sz w:val="21"/>
        </w:rPr>
        <w:t>FUTURE PRODUCTIZATION — no current implementation authority. Requires a later Product Owner-approved ADR and work order. Current approved mobile surface is responsive web at 1440 / 1280 / 410 / 390 / 320 CSS pixels. apps/mobile remains a placeholder. If later approved, the user invokes OS share and chooses ReservEdge. Historical/internal label: Share-to-ITAA.</w:t>
      </w:r>
    </w:p>
    <w:p>
      <w:pPr>
        <w:numPr>
          <w:ilvl w:val="0"/>
          <w:numId w:val="12"/>
        </w:numPr>
        <w:spacing w:after="80" w:line="283" w:lineRule="auto"/>
      </w:pPr>
      <w:r>
        <w:rPr>
          <w:rFonts w:ascii="Aptos" w:hAnsi="Aptos"/>
          <w:b w:val="0"/>
          <w:i w:val="0"/>
          <w:color w:val="171B20"/>
          <w:sz w:val="21"/>
        </w:rPr>
        <w:t>Future only: a share extension would create a local transient capture and show the excerpt and privacy copy.</w:t>
      </w:r>
    </w:p>
    <w:p>
      <w:pPr>
        <w:numPr>
          <w:ilvl w:val="0"/>
          <w:numId w:val="12"/>
        </w:numPr>
        <w:spacing w:after="80" w:line="283" w:lineRule="auto"/>
      </w:pPr>
      <w:r>
        <w:rPr>
          <w:rFonts w:ascii="Aptos" w:hAnsi="Aptos"/>
          <w:b w:val="0"/>
          <w:i w:val="0"/>
          <w:color w:val="171B20"/>
          <w:sz w:val="21"/>
        </w:rPr>
        <w:t>Future only: on Create private draft, the extension would hand the capture to the authenticated buyer-agent ingestion boundary using an opaque correlation ID.</w:t>
      </w:r>
    </w:p>
    <w:p>
      <w:pPr>
        <w:numPr>
          <w:ilvl w:val="0"/>
          <w:numId w:val="12"/>
        </w:numPr>
        <w:spacing w:after="80" w:line="283" w:lineRule="auto"/>
      </w:pPr>
      <w:r>
        <w:rPr>
          <w:rFonts w:ascii="Aptos" w:hAnsi="Aptos"/>
          <w:b w:val="0"/>
          <w:i w:val="0"/>
          <w:color w:val="171B20"/>
          <w:sz w:val="21"/>
        </w:rPr>
        <w:t>Future only: the main app would open the new draft or schedule a safe continuation when authentication/network is unavailable.</w:t>
      </w:r>
    </w:p>
    <w:p>
      <w:pPr>
        <w:numPr>
          <w:ilvl w:val="0"/>
          <w:numId w:val="12"/>
        </w:numPr>
        <w:spacing w:after="80" w:line="283" w:lineRule="auto"/>
      </w:pPr>
      <w:r>
        <w:rPr>
          <w:rFonts w:ascii="Aptos" w:hAnsi="Aptos"/>
          <w:b w:val="0"/>
          <w:i w:val="0"/>
          <w:color w:val="171B20"/>
          <w:sz w:val="21"/>
        </w:rPr>
        <w:t>Future only: raw content remains in the buyer trust domain and is excluded from supplier messages, logs, crash reports, and analytics. This paragraph does not authorize a native share client now.</w:t>
      </w:r>
    </w:p>
    <w:p>
      <w:pPr>
        <w:numPr>
          <w:ilvl w:val="0"/>
          <w:numId w:val="12"/>
        </w:numPr>
        <w:spacing w:after="80" w:line="283" w:lineRule="auto"/>
      </w:pPr>
      <w:r>
        <w:rPr>
          <w:rFonts w:ascii="Aptos" w:hAnsi="Aptos"/>
          <w:b w:val="0"/>
          <w:i w:val="0"/>
          <w:color w:val="171B20"/>
          <w:sz w:val="21"/>
        </w:rPr>
        <w:t>If the user cancels, the transient capture is discarded according to platform constraints and no intent is created.</w:t>
      </w:r>
    </w:p>
    <w:p>
      <w:pPr>
        <w:pStyle w:val="Heading1"/>
        <w:keepNext/>
      </w:pPr>
      <w:r>
        <w:t>10. Accessibility and inclusive design</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EAF3EE"/>
            <w:tcMar>
              <w:top w:w="90" w:type="dxa"/>
              <w:start w:w="120" w:type="dxa"/>
              <w:bottom w:w="90" w:type="dxa"/>
              <w:end w:w="120" w:type="dxa"/>
            </w:tcMar>
            <w:vAlign w:val="center"/>
          </w:tcPr>
          <w:p>
            <w:pPr>
              <w:spacing w:after="60"/>
            </w:pPr>
            <w:r>
              <w:rPr>
                <w:rFonts w:ascii="Consolas" w:hAnsi="Consolas"/>
                <w:b/>
                <w:i w:val="0"/>
                <w:color w:val="245D44"/>
                <w:sz w:val="17"/>
              </w:rPr>
              <w:t>ACCESSIBILITY TARGET | WCAG 2.2 AA is the minimum for web, including 320 / 390 / 410. Native mobile accessibility applies only if a later ADR selects a native stack. Approval and comparison experiences are the highest-priority test surfaces.</w:t>
            </w:r>
          </w:p>
          <w:p>
            <w:pPr>
              <w:spacing w:after="0" w:line="271" w:lineRule="auto"/>
            </w:pPr>
            <w:r>
              <w:rPr>
                <w:rFonts w:ascii="Aptos" w:hAnsi="Aptos"/>
                <w:b w:val="0"/>
                <w:i w:val="0"/>
                <w:color w:val="171B20"/>
                <w:sz w:val="20"/>
              </w:rPr>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000"/>
        <w:gridCol w:w="7360"/>
      </w:tblGrid>
      <w:tr>
        <w:trPr>
          <w:cantSplit/>
          <w:tblHeader w:val="true"/>
        </w:trPr>
        <w:tc>
          <w:tcPr>
            <w:tcW w:type="dxa" w:w="200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7"/>
              </w:rPr>
              <w:t>Area</w:t>
            </w:r>
          </w:p>
        </w:tc>
        <w:tc>
          <w:tcPr>
            <w:tcW w:type="dxa" w:w="736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7"/>
              </w:rPr>
              <w:t>Binding requirement</w:t>
            </w:r>
          </w:p>
        </w:tc>
      </w:tr>
      <w:tr>
        <w:trPr>
          <w:cantSplit/>
        </w:trPr>
        <w:tc>
          <w:tcPr>
            <w:tcW w:type="dxa" w:w="20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Structure</w:t>
            </w:r>
          </w:p>
        </w:tc>
        <w:tc>
          <w:tcPr>
            <w:tcW w:type="dxa" w:w="73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One screen-level heading; semantic landmarks; logical focus/reading order; real table headers for comparisons.</w:t>
            </w:r>
          </w:p>
        </w:tc>
      </w:tr>
      <w:tr>
        <w:trPr>
          <w:cantSplit/>
        </w:trPr>
        <w:tc>
          <w:tcPr>
            <w:tcW w:type="dxa" w:w="20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Color</w:t>
            </w:r>
          </w:p>
        </w:tc>
        <w:tc>
          <w:tcPr>
            <w:tcW w:type="dxa" w:w="73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Text contrast at least 4.5:1; large text at least 3:1; statuses and diffs use text/icon in addition to color.</w:t>
            </w:r>
          </w:p>
        </w:tc>
      </w:tr>
      <w:tr>
        <w:trPr>
          <w:cantSplit/>
        </w:trPr>
        <w:tc>
          <w:tcPr>
            <w:tcW w:type="dxa" w:w="20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Text scaling</w:t>
            </w:r>
          </w:p>
        </w:tc>
        <w:tc>
          <w:tcPr>
            <w:tcW w:type="dxa" w:w="73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Reflow at 200 percent without truncating prices, terms, disclosure fields, or primary actions.</w:t>
            </w:r>
          </w:p>
        </w:tc>
      </w:tr>
      <w:tr>
        <w:trPr>
          <w:cantSplit/>
        </w:trPr>
        <w:tc>
          <w:tcPr>
            <w:tcW w:type="dxa" w:w="20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Keyboard</w:t>
            </w:r>
          </w:p>
        </w:tc>
        <w:tc>
          <w:tcPr>
            <w:tcW w:type="dxa" w:w="73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All web tasks complete by keyboard; visible focus; no traps; focus restored after modal close.</w:t>
            </w:r>
          </w:p>
        </w:tc>
      </w:tr>
      <w:tr>
        <w:trPr>
          <w:cantSplit/>
        </w:trPr>
        <w:tc>
          <w:tcPr>
            <w:tcW w:type="dxa" w:w="20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Touch</w:t>
            </w:r>
          </w:p>
        </w:tc>
        <w:tc>
          <w:tcPr>
            <w:tcW w:type="dxa" w:w="73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Targets at least 44 x 44 pt; adequate spacing; gesture controls have normal button alternatives.</w:t>
            </w:r>
          </w:p>
        </w:tc>
      </w:tr>
      <w:tr>
        <w:trPr>
          <w:cantSplit/>
        </w:trPr>
        <w:tc>
          <w:tcPr>
            <w:tcW w:type="dxa" w:w="20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Screen readers</w:t>
            </w:r>
          </w:p>
        </w:tc>
        <w:tc>
          <w:tcPr>
            <w:tcW w:type="dxa" w:w="73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Approval summaries and consequences announced before actions; progress changes use restrained live regions.</w:t>
            </w:r>
          </w:p>
        </w:tc>
      </w:tr>
      <w:tr>
        <w:trPr>
          <w:cantSplit/>
        </w:trPr>
        <w:tc>
          <w:tcPr>
            <w:tcW w:type="dxa" w:w="20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Time limits</w:t>
            </w:r>
          </w:p>
        </w:tc>
        <w:tc>
          <w:tcPr>
            <w:tcW w:type="dxa" w:w="73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Warn before expiry; allow regeneration or supplier re-check; never auto-authorize or hide expired content.</w:t>
            </w:r>
          </w:p>
        </w:tc>
      </w:tr>
      <w:tr>
        <w:trPr>
          <w:cantSplit/>
        </w:trPr>
        <w:tc>
          <w:tcPr>
            <w:tcW w:type="dxa" w:w="20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Motion</w:t>
            </w:r>
          </w:p>
        </w:tc>
        <w:tc>
          <w:tcPr>
            <w:tcW w:type="dxa" w:w="73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Respect reduced motion; no essential information depends on animation.</w:t>
            </w:r>
          </w:p>
        </w:tc>
      </w:tr>
      <w:tr>
        <w:trPr>
          <w:cantSplit/>
        </w:trPr>
        <w:tc>
          <w:tcPr>
            <w:tcW w:type="dxa" w:w="20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Language</w:t>
            </w:r>
          </w:p>
        </w:tc>
        <w:tc>
          <w:tcPr>
            <w:tcW w:type="dxa" w:w="73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Plain language around privacy and money; define Purchase Intent on first use; avoid agent/LLM jargon in required tasks.</w:t>
            </w:r>
          </w:p>
        </w:tc>
      </w:tr>
      <w:tr>
        <w:trPr>
          <w:cantSplit/>
        </w:trPr>
        <w:tc>
          <w:tcPr>
            <w:tcW w:type="dxa" w:w="20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Errors</w:t>
            </w:r>
          </w:p>
        </w:tc>
        <w:tc>
          <w:tcPr>
            <w:tcW w:type="dxa" w:w="73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Identify field/cause, preserve entered information, provide recovery, and state what did/did not happen.</w:t>
            </w:r>
          </w:p>
        </w:tc>
      </w:tr>
    </w:tbl>
    <w:p>
      <w:pPr>
        <w:spacing w:after="20"/>
      </w:pPr>
    </w:p>
    <w:p>
      <w:pPr>
        <w:pStyle w:val="Heading2"/>
        <w:keepNext/>
      </w:pPr>
      <w:r>
        <w:t>10.1 Approval accessibility acceptance</w:t>
      </w:r>
    </w:p>
    <w:p>
      <w:pPr>
        <w:pStyle w:val="ListBullet"/>
        <w:spacing w:after="80" w:line="283" w:lineRule="auto"/>
      </w:pPr>
      <w:r>
        <w:rPr>
          <w:rFonts w:ascii="Aptos" w:hAnsi="Aptos"/>
          <w:b w:val="0"/>
          <w:i w:val="0"/>
          <w:color w:val="171B20"/>
          <w:sz w:val="21"/>
        </w:rPr>
        <w:t>A user can complete both gates using touch, keyboard, switch control, and screen reader without performing a timed hold or drag.</w:t>
      </w:r>
    </w:p>
    <w:p>
      <w:pPr>
        <w:pStyle w:val="ListBullet"/>
        <w:spacing w:after="80" w:line="283" w:lineRule="auto"/>
      </w:pPr>
      <w:r>
        <w:rPr>
          <w:rFonts w:ascii="Aptos" w:hAnsi="Aptos"/>
          <w:b w:val="0"/>
          <w:i w:val="0"/>
          <w:color w:val="171B20"/>
          <w:sz w:val="21"/>
        </w:rPr>
        <w:t>The accessible path provides the same complete review and confirmation; it is not a weaker or hidden fallback.</w:t>
      </w:r>
    </w:p>
    <w:p>
      <w:pPr>
        <w:pStyle w:val="ListBullet"/>
        <w:spacing w:after="80" w:line="283" w:lineRule="auto"/>
      </w:pPr>
      <w:r>
        <w:rPr>
          <w:rFonts w:ascii="Aptos" w:hAnsi="Aptos"/>
          <w:b w:val="0"/>
          <w:i w:val="0"/>
          <w:color w:val="171B20"/>
          <w:sz w:val="21"/>
        </w:rPr>
        <w:t>When an approval becomes invalid, focus moves to the changed-terms heading and the before/after differences are announced in order.</w:t>
      </w:r>
    </w:p>
    <w:p>
      <w:pPr>
        <w:pStyle w:val="ListBullet"/>
        <w:spacing w:after="80" w:line="283" w:lineRule="auto"/>
      </w:pPr>
      <w:r>
        <w:rPr>
          <w:rFonts w:ascii="Aptos" w:hAnsi="Aptos"/>
          <w:b w:val="0"/>
          <w:i w:val="0"/>
          <w:color w:val="171B20"/>
          <w:sz w:val="21"/>
        </w:rPr>
        <w:t>Offline and expired approvals expose disabled-state reasons programmatically and provide a recovery action.</w:t>
      </w:r>
    </w:p>
    <w:p>
      <w:r>
        <w:br w:type="page"/>
      </w:r>
    </w:p>
    <w:p>
      <w:pPr>
        <w:pStyle w:val="Heading1"/>
        <w:keepNext/>
      </w:pPr>
      <w:r>
        <w:t>11. Content design and notifications</w:t>
      </w:r>
    </w:p>
    <w:p>
      <w:pPr>
        <w:pStyle w:val="Heading2"/>
        <w:keepNext/>
      </w:pPr>
      <w:r>
        <w:t>11.1 Voice</w:t>
      </w:r>
    </w:p>
    <w:p>
      <w:pPr>
        <w:spacing w:before="0" w:after="120" w:line="300" w:lineRule="auto"/>
      </w:pPr>
      <w:r>
        <w:rPr>
          <w:rFonts w:ascii="Aptos" w:hAnsi="Aptos"/>
          <w:b w:val="0"/>
          <w:i w:val="0"/>
          <w:color w:val="171B20"/>
          <w:sz w:val="21"/>
        </w:rPr>
        <w:t>ReservEdge speaks with calm competence: specific, brief, transparent, and never promotional during a decision. It distinguishes fact from judgment, avoids claiming certainty it does not have, and states the consequence of every privacy or financial action. It never claims a Booking, hold, or payment in simulation, and never promises cross-session resume while durability is unsupported.</w:t>
      </w:r>
    </w:p>
    <w:tbl>
      <w:tblPr>
        <w:tblStyle w:val="TableGrid"/>
        <w:tblW w:type="dxa" w:w="9360"/>
        <w:jc w:val="left"/>
        <w:tblLayout w:type="fixed"/>
        <w:tblLook w:firstColumn="1" w:firstRow="1" w:lastColumn="0" w:lastRow="0" w:noHBand="0" w:noVBand="1" w:val="04A0"/>
        <w:tblInd w:w="120" w:type="dxa"/>
      </w:tblPr>
      <w:tblGrid>
        <w:gridCol w:w="1900"/>
        <w:gridCol w:w="7460"/>
      </w:tblGrid>
      <w:tr>
        <w:trPr>
          <w:cantSplit/>
          <w:tblHeader w:val="true"/>
        </w:trPr>
        <w:tc>
          <w:tcPr>
            <w:tcW w:type="dxa" w:w="190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7"/>
              </w:rPr>
              <w:t>Situation</w:t>
            </w:r>
          </w:p>
        </w:tc>
        <w:tc>
          <w:tcPr>
            <w:tcW w:type="dxa" w:w="746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7"/>
              </w:rPr>
              <w:t>Approved pattern</w:t>
            </w:r>
          </w:p>
        </w:tc>
      </w:tr>
      <w:tr>
        <w:trPr>
          <w:cantSplit/>
        </w:trPr>
        <w:tc>
          <w:tcPr>
            <w:tcW w:type="dxa" w:w="19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Low confidence</w:t>
            </w:r>
          </w:p>
        </w:tc>
        <w:tc>
          <w:tcPr>
            <w:tcW w:type="dxa" w:w="74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'I am not certain about the terminal. Confirm it, choose another, or continue without using terminal.'</w:t>
            </w:r>
          </w:p>
        </w:tc>
      </w:tr>
      <w:tr>
        <w:trPr>
          <w:cantSplit/>
        </w:trPr>
        <w:tc>
          <w:tcPr>
            <w:tcW w:type="dxa" w:w="19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Gate 1</w:t>
            </w:r>
          </w:p>
        </w:tc>
        <w:tc>
          <w:tcPr>
            <w:tcW w:type="dxa" w:w="74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'Share the fields above with 3 suppliers. This does not reserve, buy, or charge anything.'</w:t>
            </w:r>
          </w:p>
        </w:tc>
      </w:tr>
      <w:tr>
        <w:trPr>
          <w:cantSplit/>
        </w:trPr>
        <w:tc>
          <w:tcPr>
            <w:tcW w:type="dxa" w:w="19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Recommendation</w:t>
            </w:r>
          </w:p>
        </w:tc>
        <w:tc>
          <w:tcPr>
            <w:tcW w:type="dxa" w:w="7460"/>
            <w:tcMar>
              <w:top w:w="90" w:type="dxa"/>
              <w:start w:w="120" w:type="dxa"/>
              <w:bottom w:w="90" w:type="dxa"/>
              <w:end w:w="120" w:type="dxa"/>
            </w:tcMar>
            <w:vAlign w:val="center"/>
          </w:tcPr>
          <w:p>
            <w:pPr>
              <w:spacing w:before="0" w:after="0" w:line="259" w:lineRule="auto"/>
              <w:jc w:val="left"/>
            </w:pPr>
            <w:r>
              <w:t>'ReservEdge recommends SkyPark Covered. It is $6.20 more than the cheapest option, but it is the only confirmed covered and EV-capable offer under $90.'</w:t>
            </w:r>
            <w:r>
              <w:rPr>
                <w:rFonts w:ascii="Aptos" w:hAnsi="Aptos"/>
                <w:b w:val="0"/>
                <w:i w:val="0"/>
                <w:color w:val="171B20"/>
                <w:sz w:val="17"/>
              </w:rPr>
            </w:r>
          </w:p>
        </w:tc>
      </w:tr>
      <w:tr>
        <w:trPr>
          <w:cantSplit/>
        </w:trPr>
        <w:tc>
          <w:tcPr>
            <w:tcW w:type="dxa" w:w="19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Gate 2</w:t>
            </w:r>
          </w:p>
        </w:tc>
        <w:tc>
          <w:tcPr>
            <w:tcW w:type="dxa" w:w="74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'Authorize a simulated four-day parking reservation with SkyPark for $84.20.'</w:t>
            </w:r>
          </w:p>
        </w:tc>
      </w:tr>
      <w:tr>
        <w:trPr>
          <w:cantSplit/>
        </w:trPr>
        <w:tc>
          <w:tcPr>
            <w:tcW w:type="dxa" w:w="19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Timeout</w:t>
            </w:r>
          </w:p>
        </w:tc>
        <w:tc>
          <w:tcPr>
            <w:tcW w:type="dxa" w:w="74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'Two suppliers responded. Supplier C did not respond. You can compare the two valid offers or wait.'</w:t>
            </w:r>
          </w:p>
        </w:tc>
      </w:tr>
      <w:tr>
        <w:trPr>
          <w:cantSplit/>
        </w:trPr>
        <w:tc>
          <w:tcPr>
            <w:tcW w:type="dxa" w:w="19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Terms changed</w:t>
            </w:r>
          </w:p>
        </w:tc>
        <w:tc>
          <w:tcPr>
            <w:tcW w:type="dxa" w:w="74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'Your previous approval is no longer valid. The total changed from $84.20 to $88.90 and cancellation changed from free until Aug 21 to 48 hours.'</w:t>
            </w:r>
          </w:p>
        </w:tc>
      </w:tr>
      <w:tr>
        <w:trPr>
          <w:cantSplit/>
        </w:trPr>
        <w:tc>
          <w:tcPr>
            <w:tcW w:type="dxa" w:w="19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Simulation receipt</w:t>
            </w:r>
          </w:p>
        </w:tc>
        <w:tc>
          <w:tcPr>
            <w:tcW w:type="dxa" w:w="74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'No card was charged. No supplier reservation was created.'</w:t>
            </w:r>
          </w:p>
        </w:tc>
      </w:tr>
    </w:tbl>
    <w:p>
      <w:pPr>
        <w:spacing w:after="20"/>
      </w:pPr>
    </w:p>
    <w:p>
      <w:pPr>
        <w:pStyle w:val="Heading2"/>
        <w:keepNext/>
      </w:pPr>
      <w:r>
        <w:t>11.2 Notification policy</w:t>
      </w:r>
    </w:p>
    <w:tbl>
      <w:tblPr>
        <w:tblStyle w:val="TableGrid"/>
        <w:tblW w:type="dxa" w:w="9360"/>
        <w:jc w:val="left"/>
        <w:tblLayout w:type="fixed"/>
        <w:tblLook w:firstColumn="1" w:firstRow="1" w:lastColumn="0" w:lastRow="0" w:noHBand="0" w:noVBand="1" w:val="04A0"/>
        <w:tblInd w:w="120" w:type="dxa"/>
      </w:tblPr>
      <w:tblGrid>
        <w:gridCol w:w="850"/>
        <w:gridCol w:w="2500"/>
        <w:gridCol w:w="2150"/>
        <w:gridCol w:w="3860"/>
      </w:tblGrid>
      <w:tr>
        <w:trPr>
          <w:cantSplit/>
          <w:tblHeader w:val="true"/>
        </w:trPr>
        <w:tc>
          <w:tcPr>
            <w:tcW w:type="dxa" w:w="85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6"/>
              </w:rPr>
              <w:t>Priority</w:t>
            </w:r>
          </w:p>
        </w:tc>
        <w:tc>
          <w:tcPr>
            <w:tcW w:type="dxa" w:w="250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6"/>
              </w:rPr>
              <w:t>Notification</w:t>
            </w:r>
          </w:p>
        </w:tc>
        <w:tc>
          <w:tcPr>
            <w:tcW w:type="dxa" w:w="215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6"/>
              </w:rPr>
              <w:t>Deep-link</w:t>
            </w:r>
          </w:p>
        </w:tc>
        <w:tc>
          <w:tcPr>
            <w:tcW w:type="dxa" w:w="386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6"/>
              </w:rPr>
              <w:t>Rule</w:t>
            </w:r>
          </w:p>
        </w:tc>
      </w:tr>
      <w:tr>
        <w:trPr>
          <w:cantSplit/>
        </w:trPr>
        <w:tc>
          <w:tcPr>
            <w:tcW w:type="dxa" w:w="85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1</w:t>
            </w:r>
          </w:p>
        </w:tc>
        <w:tc>
          <w:tcPr>
            <w:tcW w:type="dxa" w:w="25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Action required - terms changed</w:t>
            </w:r>
          </w:p>
        </w:tc>
        <w:tc>
          <w:tcPr>
            <w:tcW w:type="dxa" w:w="215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UX-10 / TermsChangedDiff</w:t>
            </w:r>
          </w:p>
        </w:tc>
        <w:tc>
          <w:tcPr>
            <w:tcW w:type="dxa" w:w="38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Consequential; no amount in lock-screen copy by default.</w:t>
            </w:r>
          </w:p>
        </w:tc>
      </w:tr>
      <w:tr>
        <w:trPr>
          <w:cantSplit/>
        </w:trPr>
        <w:tc>
          <w:tcPr>
            <w:tcW w:type="dxa" w:w="85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2</w:t>
            </w:r>
          </w:p>
        </w:tc>
        <w:tc>
          <w:tcPr>
            <w:tcW w:type="dxa" w:w="25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Decision ready</w:t>
            </w:r>
          </w:p>
        </w:tc>
        <w:tc>
          <w:tcPr>
            <w:tcW w:type="dxa" w:w="215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UX-07</w:t>
            </w:r>
          </w:p>
        </w:tc>
        <w:tc>
          <w:tcPr>
            <w:tcW w:type="dxa" w:w="38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One notification per completed decision; group repeated updates.</w:t>
            </w:r>
          </w:p>
        </w:tc>
      </w:tr>
      <w:tr>
        <w:trPr>
          <w:cantSplit/>
        </w:trPr>
        <w:tc>
          <w:tcPr>
            <w:tcW w:type="dxa" w:w="85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3</w:t>
            </w:r>
          </w:p>
        </w:tc>
        <w:tc>
          <w:tcPr>
            <w:tcW w:type="dxa" w:w="25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Offer expiring</w:t>
            </w:r>
          </w:p>
        </w:tc>
        <w:tc>
          <w:tcPr>
            <w:tcW w:type="dxa" w:w="215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UX-07</w:t>
            </w:r>
          </w:p>
        </w:tc>
        <w:tc>
          <w:tcPr>
            <w:tcW w:type="dxa" w:w="38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Supplier-derived validity only; neutral language; no repeated pressure.</w:t>
            </w:r>
          </w:p>
        </w:tc>
      </w:tr>
      <w:tr>
        <w:trPr>
          <w:cantSplit/>
        </w:trPr>
        <w:tc>
          <w:tcPr>
            <w:tcW w:type="dxa" w:w="85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4</w:t>
            </w:r>
          </w:p>
        </w:tc>
        <w:tc>
          <w:tcPr>
            <w:tcW w:type="dxa" w:w="25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Supplier improved an offer</w:t>
            </w:r>
          </w:p>
        </w:tc>
        <w:tc>
          <w:tcPr>
            <w:tcW w:type="dxa" w:w="215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UX-07</w:t>
            </w:r>
          </w:p>
        </w:tc>
        <w:tc>
          <w:tcPr>
            <w:tcW w:type="dxa" w:w="38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Only when material and re-ranking was performed.</w:t>
            </w:r>
          </w:p>
        </w:tc>
      </w:tr>
      <w:tr>
        <w:trPr>
          <w:cantSplit/>
        </w:trPr>
        <w:tc>
          <w:tcPr>
            <w:tcW w:type="dxa" w:w="85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5</w:t>
            </w:r>
          </w:p>
        </w:tc>
        <w:tc>
          <w:tcPr>
            <w:tcW w:type="dxa" w:w="25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Subscription</w:t>
            </w:r>
          </w:p>
        </w:tc>
        <w:tc>
          <w:tcPr>
            <w:tcW w:type="dxa" w:w="215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UX-15</w:t>
            </w:r>
          </w:p>
        </w:tc>
        <w:tc>
          <w:tcPr>
            <w:tcW w:type="dxa" w:w="38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Transactional entitlement state only; marketing push is out of v1.</w:t>
            </w:r>
          </w:p>
        </w:tc>
      </w:tr>
    </w:tbl>
    <w:p>
      <w:pPr>
        <w:spacing w:after="20"/>
      </w:pPr>
    </w:p>
    <w:p>
      <w:pPr>
        <w:spacing w:before="0" w:after="120" w:line="300" w:lineRule="auto"/>
      </w:pPr>
      <w:r>
        <w:rPr>
          <w:rFonts w:ascii="Aptos" w:hAnsi="Aptos"/>
          <w:b w:val="0"/>
          <w:i w:val="0"/>
          <w:color w:val="171B20"/>
          <w:sz w:val="21"/>
        </w:rPr>
        <w:t>Notifications MUST deep-link to the exact object and state, validate authentication, re-fetch authoritative status, and never assume the offer or approval is still valid from notification payload data.</w:t>
      </w:r>
    </w:p>
    <w:p>
      <w:pPr>
        <w:pStyle w:val="Heading1"/>
        <w:keepNext/>
      </w:pPr>
      <w:r>
        <w:t>12. UI implementation contract</w:t>
      </w:r>
    </w:p>
    <w:p>
      <w:pPr>
        <w:pStyle w:val="Heading2"/>
        <w:keepNext/>
      </w:pPr>
      <w:r>
        <w:t>12.1 Architectural boundary</w:t>
      </w:r>
    </w:p>
    <w:p>
      <w:pPr>
        <w:spacing w:before="600" w:after="100"/>
      </w:pPr>
      <w:r>
        <w:rPr>
          <w:rFonts w:ascii="Consolas" w:hAnsi="Consolas"/>
          <w:b/>
          <w:i w:val="0"/>
          <w:color w:val="2F7A58"/>
          <w:sz w:val="20"/>
        </w:rPr>
        <w:t>Current UI lives in apps/web as responsive web, including 320 / 390 / 410 CSS pixels. apps/mobile remains a placeholder. No native framework, native shell, share extension, store client, or RevenueCat client is selected for current work. UI consumes typed view models; it does not redefine governance, ranking, or disclosure policy.</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1F3F4"/>
            <w:tcMar>
              <w:top w:w="90" w:type="dxa"/>
              <w:start w:w="120" w:type="dxa"/>
              <w:bottom w:w="90" w:type="dxa"/>
              <w:end w:w="120" w:type="dxa"/>
            </w:tcMar>
            <w:vAlign w:val="center"/>
          </w:tcPr>
          <w:p>
            <w:pPr>
              <w:spacing w:after="0" w:line="240" w:lineRule="auto"/>
            </w:pPr>
            <w:r>
              <w:t>apps/web (responsive, including 320/390/410) → typed UI view models / generated contract types → application API client → cloud-neutral application/core → provider ports → local simulation | Google adapter | AWS adapter. apps/mobile is a placeholder. RevenueCat/store/share-extension clients are future productization only. UI components never import Google ADK, Gemini, Strands, Bedrock, AgentCore, RevenueCat server secrets, supplier policy engines, or raw model responses.</w:t>
            </w:r>
            <w:r>
              <w:rPr>
                <w:rFonts w:ascii="Consolas" w:hAnsi="Consolas"/>
                <w:b w:val="0"/>
                <w:i w:val="0"/>
                <w:color w:val="171B20"/>
                <w:sz w:val="16"/>
              </w:rPr>
            </w:r>
          </w:p>
        </w:tc>
      </w:tr>
    </w:tbl>
    <w:p>
      <w:pPr>
        <w:spacing w:after="20"/>
      </w:pPr>
    </w:p>
    <w:p>
      <w:pPr>
        <w:pStyle w:val="Heading2"/>
        <w:keepNext/>
      </w:pPr>
      <w:r>
        <w:t>12.2 Required view models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cantSplit/>
          <w:tblHeader w:val="true"/>
        </w:trPr>
        <w:tc>
          <w:tcPr>
            <w:tcW w:type="dxa" w:w="250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6"/>
              </w:rPr>
              <w:t>View model</w:t>
            </w:r>
          </w:p>
        </w:tc>
        <w:tc>
          <w:tcPr>
            <w:tcW w:type="dxa" w:w="686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6"/>
              </w:rPr>
              <w:t>Minimum fields</w:t>
            </w:r>
          </w:p>
        </w:tc>
      </w:tr>
      <w:tr>
        <w:trPr>
          <w:cantSplit/>
        </w:trPr>
        <w:tc>
          <w:tcPr>
            <w:tcW w:type="dxa" w:w="25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IntentCardVM</w:t>
            </w:r>
          </w:p>
        </w:tc>
        <w:tc>
          <w:tcPr>
            <w:tcW w:type="dxa" w:w="68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intentId, title, subtitle, userState, stateLabel, updatedAt, expiry?, nextAction, simulation</w:t>
            </w:r>
          </w:p>
        </w:tc>
      </w:tr>
      <w:tr>
        <w:trPr>
          <w:cantSplit/>
        </w:trPr>
        <w:tc>
          <w:tcPr>
            <w:tcW w:type="dxa" w:w="25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RequirementReviewVM</w:t>
            </w:r>
          </w:p>
        </w:tc>
        <w:tc>
          <w:tcPr>
            <w:tcW w:type="dxa" w:w="68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intent/version, fields[value, evidenceLabel, confidenceLabel, editable, required], validation</w:t>
            </w:r>
          </w:p>
        </w:tc>
      </w:tr>
      <w:tr>
        <w:trPr>
          <w:cantSplit/>
        </w:trPr>
        <w:tc>
          <w:tcPr>
            <w:tcW w:type="dxa" w:w="25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ResearchProgressVM</w:t>
            </w:r>
          </w:p>
        </w:tc>
        <w:tc>
          <w:tcPr>
            <w:tcW w:type="dxa" w:w="68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tasks[state,label], referencesSummary, partial, failureScope, privacyStatus</w:t>
            </w:r>
          </w:p>
        </w:tc>
      </w:tr>
      <w:tr>
        <w:trPr>
          <w:cantSplit/>
        </w:trPr>
        <w:tc>
          <w:tcPr>
            <w:tcW w:type="dxa" w:w="25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DisclosurePreviewVM</w:t>
            </w:r>
          </w:p>
        </w:tc>
        <w:tc>
          <w:tcPr>
            <w:tcW w:type="dxa" w:w="6860"/>
            <w:shd w:fill="F5F7F8"/>
            <w:tcMar>
              <w:top w:w="90" w:type="dxa"/>
              <w:start w:w="120" w:type="dxa"/>
              <w:bottom w:w="90" w:type="dxa"/>
              <w:end w:w="120" w:type="dxa"/>
            </w:tcMar>
            <w:vAlign w:val="center"/>
          </w:tcPr>
          <w:p>
            <w:pPr>
              <w:spacing w:before="0" w:after="0" w:line="259" w:lineRule="auto"/>
              <w:jc w:val="left"/>
            </w:pPr>
            <w:r>
              <w:t>previewId, taskId, intentVersion, recipients, purpose, sentRequirementFields, withheldRequirementFields, expiresAt, payloadHashRef, approvalState. Preferences omitted entirely; not withheldFields.</w:t>
            </w:r>
            <w:r>
              <w:rPr>
                <w:rFonts w:ascii="Aptos" w:hAnsi="Aptos"/>
                <w:b w:val="0"/>
                <w:i w:val="0"/>
                <w:color w:val="171B20"/>
                <w:sz w:val="16"/>
              </w:rPr>
            </w:r>
          </w:p>
        </w:tc>
      </w:tr>
      <w:tr>
        <w:trPr>
          <w:cantSplit/>
        </w:trPr>
        <w:tc>
          <w:tcPr>
            <w:tcW w:type="dxa" w:w="25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SupplierProgressVM</w:t>
            </w:r>
          </w:p>
        </w:tc>
        <w:tc>
          <w:tcPr>
            <w:tcW w:type="dxa" w:w="68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dispatchId, lanes[supplierId, displayName, state, updatedAt], eligibleCount, canDecide</w:t>
            </w:r>
          </w:p>
        </w:tc>
      </w:tr>
      <w:tr>
        <w:trPr>
          <w:cantSplit/>
        </w:trPr>
        <w:tc>
          <w:tcPr>
            <w:tcW w:type="dxa" w:w="25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DecisionVM</w:t>
            </w:r>
          </w:p>
        </w:tc>
        <w:tc>
          <w:tcPr>
            <w:tcW w:type="dxa" w:w="6860"/>
            <w:shd w:fill="F5F7F8"/>
            <w:tcMar>
              <w:top w:w="90" w:type="dxa"/>
              <w:start w:w="120" w:type="dxa"/>
              <w:bottom w:w="90" w:type="dxa"/>
              <w:end w:w="120" w:type="dxa"/>
            </w:tcMar>
            <w:vAlign w:val="center"/>
          </w:tcPr>
          <w:p>
            <w:pPr>
              <w:spacing w:before="0" w:after="0" w:line="259" w:lineRule="auto"/>
              <w:jc w:val="left"/>
            </w:pPr>
            <w:r>
              <w:t>decisionId/version, recommendedOfferId, fitLabel (Strong/Good/Fair; no scoreMicros), reasons, downside, alternatives, provenanceSummary, validity, inventory (not_held in simulation), transactionResult</w:t>
            </w:r>
            <w:r>
              <w:rPr>
                <w:rFonts w:ascii="Aptos" w:hAnsi="Aptos"/>
                <w:b w:val="0"/>
                <w:i w:val="0"/>
                <w:color w:val="171B20"/>
                <w:sz w:val="16"/>
              </w:rPr>
            </w:r>
          </w:p>
        </w:tc>
      </w:tr>
      <w:tr>
        <w:trPr>
          <w:cantSplit/>
        </w:trPr>
        <w:tc>
          <w:tcPr>
            <w:tcW w:type="dxa" w:w="25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OfferComparisonVM</w:t>
            </w:r>
          </w:p>
        </w:tc>
        <w:tc>
          <w:tcPr>
            <w:tcW w:type="dxa" w:w="6860"/>
            <w:tcMar>
              <w:top w:w="90" w:type="dxa"/>
              <w:start w:w="120" w:type="dxa"/>
              <w:bottom w:w="90" w:type="dxa"/>
              <w:end w:w="120" w:type="dxa"/>
            </w:tcMar>
            <w:vAlign w:val="center"/>
          </w:tcPr>
          <w:p>
            <w:pPr>
              <w:spacing w:before="0" w:after="0" w:line="259" w:lineRule="auto"/>
              <w:jc w:val="left"/>
            </w:pPr>
            <w:r>
              <w:t>dimensions, offers[{validity: valid|expiring|expired|superseded, inventory: not_held|subject_to_availability|held_until, transactionResult, validUntil, inventoryHeldUntil omitted in simulation}], marketReferences, missingDataLegend, recommendedOfferId. validUntil never implies hold. Expired/superseded cannot proceed to A3/A4. No scoreMicros.</w:t>
            </w:r>
            <w:r>
              <w:rPr>
                <w:rFonts w:ascii="Aptos" w:hAnsi="Aptos"/>
                <w:b w:val="0"/>
                <w:i w:val="0"/>
                <w:color w:val="171B20"/>
                <w:sz w:val="16"/>
              </w:rPr>
            </w:r>
          </w:p>
        </w:tc>
      </w:tr>
      <w:tr>
        <w:trPr>
          <w:cantSplit/>
        </w:trPr>
        <w:tc>
          <w:tcPr>
            <w:tcW w:type="dxa" w:w="25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AuthorizationVM</w:t>
            </w:r>
          </w:p>
        </w:tc>
        <w:tc>
          <w:tcPr>
            <w:tcW w:type="dxa" w:w="6860"/>
            <w:shd w:fill="F5F7F8"/>
            <w:tcMar>
              <w:top w:w="90" w:type="dxa"/>
              <w:start w:w="120" w:type="dxa"/>
              <w:bottom w:w="90" w:type="dxa"/>
              <w:end w:w="120" w:type="dxa"/>
            </w:tcMar>
            <w:vAlign w:val="center"/>
          </w:tcPr>
          <w:p>
            <w:pPr>
              <w:spacing w:before="0" w:after="0" w:line="259" w:lineRule="auto"/>
              <w:jc w:val="left"/>
            </w:pPr>
            <w:r>
              <w:t>authorizationDraftId, offer/version, termsHashRef, supplier, action, amount, terms, validity, inventory (not_held in simulation), transactionResult (simulated|authorized|pending|confirmed|failed), expiry, simulation, invalidation. A4 is not a Booking.</w:t>
            </w:r>
            <w:r>
              <w:rPr>
                <w:rFonts w:ascii="Aptos" w:hAnsi="Aptos"/>
                <w:b w:val="0"/>
                <w:i w:val="0"/>
                <w:color w:val="171B20"/>
                <w:sz w:val="16"/>
              </w:rPr>
            </w:r>
          </w:p>
        </w:tc>
      </w:tr>
      <w:tr>
        <w:trPr>
          <w:cantSplit/>
        </w:trPr>
        <w:tc>
          <w:tcPr>
            <w:tcW w:type="dxa" w:w="25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ReceiptVM</w:t>
            </w:r>
          </w:p>
        </w:tc>
        <w:tc>
          <w:tcPr>
            <w:tcW w:type="dxa" w:w="6860"/>
            <w:tcMar>
              <w:top w:w="90" w:type="dxa"/>
              <w:start w:w="120" w:type="dxa"/>
              <w:bottom w:w="90" w:type="dxa"/>
              <w:end w:w="120" w:type="dxa"/>
            </w:tcMar>
            <w:vAlign w:val="center"/>
          </w:tcPr>
          <w:p>
            <w:pPr>
              <w:spacing w:before="0" w:after="0" w:line="259" w:lineRule="auto"/>
              <w:jc w:val="left"/>
            </w:pPr>
            <w:r>
              <w:t>receiptId, authorizedAt, supplier, action, amount, termsSnapshot, simulation, transactionResult, inventory not_held, redactionState. Never present as a Booking after authorized_simulated.</w:t>
            </w:r>
            <w:r>
              <w:rPr>
                <w:rFonts w:ascii="Aptos" w:hAnsi="Aptos"/>
                <w:b w:val="0"/>
                <w:i w:val="0"/>
                <w:color w:val="171B20"/>
                <w:sz w:val="16"/>
              </w:rPr>
            </w:r>
          </w:p>
        </w:tc>
      </w:tr>
      <w:tr>
        <w:trPr>
          <w:cantSplit/>
        </w:trPr>
        <w:tc>
          <w:tcPr>
            <w:tcW w:type="dxa" w:w="25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PreferenceVM</w:t>
            </w:r>
          </w:p>
        </w:tc>
        <w:tc>
          <w:tcPr>
            <w:tcW w:type="dxa" w:w="6860"/>
            <w:shd w:fill="F5F7F8"/>
            <w:tcMar>
              <w:top w:w="90" w:type="dxa"/>
              <w:start w:w="120" w:type="dxa"/>
              <w:bottom w:w="90" w:type="dxa"/>
              <w:end w:w="120" w:type="dxa"/>
            </w:tcMar>
            <w:vAlign w:val="center"/>
          </w:tcPr>
          <w:p>
            <w:pPr>
              <w:spacing w:before="0" w:after="0" w:line="259" w:lineRule="auto"/>
              <w:jc w:val="left"/>
            </w:pPr>
            <w:r>
              <w:t>key, value, context, confidenceLabel, evidenceSummary, status, actions, localOnly=true. Never A2-eligible; never listed as withheld-for-disclosure.</w:t>
            </w:r>
            <w:r>
              <w:rPr>
                <w:rFonts w:ascii="Aptos" w:hAnsi="Aptos"/>
                <w:b w:val="0"/>
                <w:i w:val="0"/>
                <w:color w:val="171B20"/>
                <w:sz w:val="16"/>
              </w:rPr>
            </w:r>
          </w:p>
        </w:tc>
      </w:tr>
      <w:tr>
        <w:trPr>
          <w:cantSplit/>
        </w:trPr>
        <w:tc>
          <w:tcPr>
            <w:tcW w:type="dxa" w:w="25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PrivacyContextVM</w:t>
            </w:r>
          </w:p>
        </w:tc>
        <w:tc>
          <w:tcPr>
            <w:tcW w:type="dxa" w:w="68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knownFields, disclosureRecords, withheldCategories, activeControls, retentionSummary</w:t>
            </w:r>
          </w:p>
        </w:tc>
      </w:tr>
      <w:tr>
        <w:trPr>
          <w:cantSplit/>
        </w:trPr>
        <w:tc>
          <w:tcPr>
            <w:tcW w:type="dxa" w:w="25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EntitlementVM</w:t>
            </w:r>
          </w:p>
        </w:tc>
        <w:tc>
          <w:tcPr>
            <w:tcW w:type="dxa" w:w="68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customerRef, entitlement, offerings, activeProduct, status, refreshRequired</w:t>
            </w:r>
          </w:p>
        </w:tc>
      </w:tr>
      <w:tr>
        <w:trPr>
          <w:cantSplit/>
        </w:trPr>
        <w:tc>
          <w:tcPr>
            <w:tcW w:type="dxa" w:w="2500"/>
            <w:shd w:fill="F5F7F8"/>
            <w:tcMar>
              <w:top w:w="90" w:type="dxa"/>
              <w:start w:w="120" w:type="dxa"/>
              <w:bottom w:w="90" w:type="dxa"/>
              <w:end w:w="120" w:type="dxa"/>
            </w:tcMar>
            <w:vAlign w:val="center"/>
          </w:tcPr>
          <w:p>
            <w:pPr>
              <w:spacing w:before="0" w:after="0" w:line="259" w:lineRule="auto"/>
              <w:jc w:val="left"/>
            </w:pPr>
            <w:r>
              <w:t>IntentWorkspaceVM</w:t>
            </w:r>
            <w:r>
              <w:rPr>
                <w:rFonts w:ascii="Aptos" w:hAnsi="Aptos"/>
                <w:b w:val="0"/>
                <w:i w:val="0"/>
                <w:color w:val="171B20"/>
                <w:sz w:val="16"/>
              </w:rPr>
            </w:r>
          </w:p>
        </w:tc>
        <w:tc>
          <w:tcPr>
            <w:tcW w:type="dxa" w:w="6860"/>
            <w:shd w:fill="F5F7F8"/>
            <w:tcMar>
              <w:top w:w="90" w:type="dxa"/>
              <w:start w:w="120" w:type="dxa"/>
              <w:bottom w:w="90" w:type="dxa"/>
              <w:end w:w="120" w:type="dxa"/>
            </w:tcMar>
            <w:vAlign w:val="center"/>
          </w:tcPr>
          <w:p>
            <w:pPr>
              <w:spacing w:before="0" w:after="0" w:line="259" w:lineRule="auto"/>
              <w:jc w:val="left"/>
            </w:pPr>
            <w:r>
              <w:t>intentId, conversationSummary, planTasks[], combinedRecommendations?, ledger, simulation, durabilityUnsupported</w:t>
            </w:r>
            <w:r>
              <w:rPr>
                <w:rFonts w:ascii="Aptos" w:hAnsi="Aptos"/>
                <w:b w:val="0"/>
                <w:i w:val="0"/>
                <w:color w:val="171B20"/>
                <w:sz w:val="16"/>
              </w:rPr>
            </w:r>
          </w:p>
        </w:tc>
      </w:tr>
      <w:tr>
        <w:trPr>
          <w:cantSplit/>
        </w:trPr>
        <w:tc>
          <w:tcPr>
            <w:tcW w:type="dxa" w:w="2500"/>
            <w:shd w:fill="F5F7F8"/>
            <w:tcMar>
              <w:top w:w="90" w:type="dxa"/>
              <w:start w:w="120" w:type="dxa"/>
              <w:bottom w:w="90" w:type="dxa"/>
              <w:end w:w="120" w:type="dxa"/>
            </w:tcMar>
            <w:vAlign w:val="center"/>
          </w:tcPr>
          <w:p>
            <w:pPr>
              <w:spacing w:before="0" w:after="0" w:line="259" w:lineRule="auto"/>
              <w:jc w:val="left"/>
            </w:pPr>
            <w:r>
              <w:t>BookingTaskVM</w:t>
            </w:r>
            <w:r>
              <w:rPr>
                <w:rFonts w:ascii="Aptos" w:hAnsi="Aptos"/>
                <w:b w:val="0"/>
                <w:i w:val="0"/>
                <w:color w:val="171B20"/>
                <w:sz w:val="16"/>
              </w:rPr>
            </w:r>
          </w:p>
        </w:tc>
        <w:tc>
          <w:tcPr>
            <w:tcW w:type="dxa" w:w="6860"/>
            <w:shd w:fill="F5F7F8"/>
            <w:tcMar>
              <w:top w:w="90" w:type="dxa"/>
              <w:start w:w="120" w:type="dxa"/>
              <w:bottom w:w="90" w:type="dxa"/>
              <w:end w:w="120" w:type="dxa"/>
            </w:tcMar>
            <w:vAlign w:val="center"/>
          </w:tcPr>
          <w:p>
            <w:pPr>
              <w:spacing w:before="0" w:after="0" w:line="259" w:lineRule="auto"/>
              <w:jc w:val="left"/>
            </w:pPr>
            <w:r>
              <w:t>intentId, taskId, domain, a1–a4 state, requirementVersion, validity, inventory (not_held in simulation), transactionResult, nestedRoutes</w:t>
            </w:r>
            <w:r>
              <w:rPr>
                <w:rFonts w:ascii="Aptos" w:hAnsi="Aptos"/>
                <w:b w:val="0"/>
                <w:i w:val="0"/>
                <w:color w:val="171B20"/>
                <w:sz w:val="16"/>
              </w:rPr>
            </w:r>
          </w:p>
        </w:tc>
      </w:tr>
      <w:tr>
        <w:trPr>
          <w:cantSplit/>
        </w:trPr>
        <w:tc>
          <w:tcPr>
            <w:tcW w:type="dxa" w:w="2500"/>
            <w:shd w:fill="F5F7F8"/>
            <w:tcMar>
              <w:top w:w="90" w:type="dxa"/>
              <w:start w:w="120" w:type="dxa"/>
              <w:bottom w:w="90" w:type="dxa"/>
              <w:end w:w="120" w:type="dxa"/>
            </w:tcMar>
            <w:vAlign w:val="center"/>
          </w:tcPr>
          <w:p>
            <w:pPr>
              <w:spacing w:before="0" w:after="0" w:line="259" w:lineRule="auto"/>
              <w:jc w:val="left"/>
            </w:pPr>
            <w:r>
              <w:t>BuyerOfferVM</w:t>
            </w:r>
            <w:r>
              <w:rPr>
                <w:rFonts w:ascii="Aptos" w:hAnsi="Aptos"/>
                <w:b w:val="0"/>
                <w:i w:val="0"/>
                <w:color w:val="171B20"/>
                <w:sz w:val="16"/>
              </w:rPr>
            </w:r>
          </w:p>
        </w:tc>
        <w:tc>
          <w:tcPr>
            <w:tcW w:type="dxa" w:w="6860"/>
            <w:shd w:fill="F5F7F8"/>
            <w:tcMar>
              <w:top w:w="90" w:type="dxa"/>
              <w:start w:w="120" w:type="dxa"/>
              <w:bottom w:w="90" w:type="dxa"/>
              <w:end w:w="120" w:type="dxa"/>
            </w:tcMar>
            <w:vAlign w:val="center"/>
          </w:tcPr>
          <w:p>
            <w:pPr>
              <w:spacing w:before="0" w:after="0" w:line="259" w:lineRule="auto"/>
              <w:jc w:val="left"/>
            </w:pPr>
            <w:r>
              <w:t>sourceType, offerClass, price/terms, version, evidence, completeness, fitLabel (no scoreMicros), validity, inventoryHeldUntil omitted in simulation, validUntil never implies hold</w:t>
            </w:r>
            <w:r>
              <w:rPr>
                <w:rFonts w:ascii="Aptos" w:hAnsi="Aptos"/>
                <w:b w:val="0"/>
                <w:i w:val="0"/>
                <w:color w:val="171B20"/>
                <w:sz w:val="16"/>
              </w:rPr>
            </w:r>
          </w:p>
        </w:tc>
      </w:tr>
      <w:tr>
        <w:trPr>
          <w:cantSplit/>
        </w:trPr>
        <w:tc>
          <w:tcPr>
            <w:tcW w:type="dxa" w:w="2500"/>
            <w:shd w:fill="F5F7F8"/>
            <w:tcMar>
              <w:top w:w="90" w:type="dxa"/>
              <w:start w:w="120" w:type="dxa"/>
              <w:bottom w:w="90" w:type="dxa"/>
              <w:end w:w="120" w:type="dxa"/>
            </w:tcMar>
            <w:vAlign w:val="center"/>
          </w:tcPr>
          <w:p>
            <w:pPr>
              <w:spacing w:before="0" w:after="0" w:line="259" w:lineRule="auto"/>
              <w:jc w:val="left"/>
            </w:pPr>
            <w:r>
              <w:t>CostLedgerVM</w:t>
            </w:r>
            <w:r>
              <w:rPr>
                <w:rFonts w:ascii="Aptos" w:hAnsi="Aptos"/>
                <w:b w:val="0"/>
                <w:i w:val="0"/>
                <w:color w:val="171B20"/>
                <w:sz w:val="16"/>
              </w:rPr>
            </w:r>
          </w:p>
        </w:tc>
        <w:tc>
          <w:tcPr>
            <w:tcW w:type="dxa" w:w="6860"/>
            <w:shd w:fill="F5F7F8"/>
            <w:tcMar>
              <w:top w:w="90" w:type="dxa"/>
              <w:start w:w="120" w:type="dxa"/>
              <w:bottom w:w="90" w:type="dxa"/>
              <w:end w:w="120" w:type="dxa"/>
            </w:tcMar>
            <w:vAlign w:val="center"/>
          </w:tcPr>
          <w:p>
            <w:pPr>
              <w:spacing w:before="0" w:after="0" w:line="259" w:lineRule="auto"/>
              <w:jc w:val="left"/>
            </w:pPr>
            <w:r>
              <w:t>taskRows, buckets as UX-28, currencies[], fxEvidence?</w:t>
            </w:r>
            <w:r>
              <w:rPr>
                <w:rFonts w:ascii="Aptos" w:hAnsi="Aptos"/>
                <w:b w:val="0"/>
                <w:i w:val="0"/>
                <w:color w:val="171B20"/>
                <w:sz w:val="16"/>
              </w:rPr>
            </w:r>
          </w:p>
        </w:tc>
      </w:tr>
    </w:tbl>
    <w:p>
      <w:pPr>
        <w:spacing w:after="20"/>
      </w:pPr>
    </w:p>
    <w:p>
      <w:pPr>
        <w:pStyle w:val="Heading2"/>
        <w:keepNext/>
      </w:pPr>
      <w:r>
        <w:t>12.3 API-to-screen map</w:t>
      </w:r>
    </w:p>
    <w:tbl>
      <w:tblPr>
        <w:tblStyle w:val="TableGrid"/>
        <w:tblW w:type="dxa" w:w="9360"/>
        <w:jc w:val="left"/>
        <w:tblLayout w:type="fixed"/>
        <w:tblLook w:firstColumn="1" w:firstRow="1" w:lastColumn="0" w:lastRow="0" w:noHBand="0" w:noVBand="1" w:val="04A0"/>
        <w:tblInd w:w="120" w:type="dxa"/>
      </w:tblPr>
      <w:tblGrid>
        <w:gridCol w:w="1300"/>
        <w:gridCol w:w="3500"/>
        <w:gridCol w:w="4560"/>
      </w:tblGrid>
      <w:tr>
        <w:trPr>
          <w:cantSplit/>
          <w:tblHeader w:val="true"/>
        </w:trPr>
        <w:tc>
          <w:tcPr>
            <w:tcW w:type="dxa" w:w="130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6"/>
              </w:rPr>
              <w:t>Screens</w:t>
            </w:r>
          </w:p>
        </w:tc>
        <w:tc>
          <w:tcPr>
            <w:tcW w:type="dxa" w:w="350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6"/>
              </w:rPr>
              <w:t>Endpoint group</w:t>
            </w:r>
          </w:p>
        </w:tc>
        <w:tc>
          <w:tcPr>
            <w:tcW w:type="dxa" w:w="456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6"/>
              </w:rPr>
              <w:t>UI safety contract</w:t>
            </w:r>
          </w:p>
        </w:tc>
      </w:tr>
      <w:tr>
        <w:trPr>
          <w:cantSplit/>
        </w:trPr>
        <w:tc>
          <w:tcPr>
            <w:tcW w:type="dxa" w:w="13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UX-02</w:t>
            </w:r>
          </w:p>
        </w:tc>
        <w:tc>
          <w:tcPr>
            <w:tcW w:type="dxa" w:w="3500"/>
            <w:tcMar>
              <w:top w:w="90" w:type="dxa"/>
              <w:start w:w="120" w:type="dxa"/>
              <w:bottom w:w="90" w:type="dxa"/>
              <w:end w:w="120" w:type="dxa"/>
            </w:tcMar>
            <w:vAlign w:val="center"/>
          </w:tcPr>
          <w:p>
            <w:pPr>
              <w:spacing w:before="0" w:after="0" w:line="259" w:lineRule="auto"/>
              <w:jc w:val="left"/>
            </w:pPr>
            <w:r>
              <w:t>Current: POST /v1/intents from typed entry. FUTURE share-drafts for Share to ReservEdge</w:t>
            </w:r>
            <w:r>
              <w:rPr>
                <w:rFonts w:ascii="Aptos" w:hAnsi="Aptos"/>
                <w:b w:val="0"/>
                <w:i w:val="0"/>
                <w:color w:val="171B20"/>
                <w:sz w:val="16"/>
              </w:rPr>
            </w:r>
          </w:p>
        </w:tc>
        <w:tc>
          <w:tcPr>
            <w:tcW w:type="dxa" w:w="45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Idempotency key; raw capture never returned to analytics</w:t>
            </w:r>
          </w:p>
        </w:tc>
      </w:tr>
      <w:tr>
        <w:trPr>
          <w:cantSplit/>
        </w:trPr>
        <w:tc>
          <w:tcPr>
            <w:tcW w:type="dxa" w:w="13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UX-03</w:t>
            </w:r>
          </w:p>
        </w:tc>
        <w:tc>
          <w:tcPr>
            <w:tcW w:type="dxa" w:w="35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GET/PATCH /v1/intents/{id}/requirement; POST /confirm</w:t>
            </w:r>
          </w:p>
        </w:tc>
        <w:tc>
          <w:tcPr>
            <w:tcW w:type="dxa" w:w="45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Version conflict refreshes the review</w:t>
            </w:r>
          </w:p>
        </w:tc>
      </w:tr>
      <w:tr>
        <w:trPr>
          <w:cantSplit/>
        </w:trPr>
        <w:tc>
          <w:tcPr>
            <w:tcW w:type="dxa" w:w="13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UX-04</w:t>
            </w:r>
          </w:p>
        </w:tc>
        <w:tc>
          <w:tcPr>
            <w:tcW w:type="dxa" w:w="35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POST /research; GET /research; event stream/poll</w:t>
            </w:r>
          </w:p>
        </w:tc>
        <w:tc>
          <w:tcPr>
            <w:tcW w:type="dxa" w:w="45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Provenance included; partial results valid</w:t>
            </w:r>
          </w:p>
        </w:tc>
      </w:tr>
      <w:tr>
        <w:trPr>
          <w:cantSplit/>
        </w:trPr>
        <w:tc>
          <w:tcPr>
            <w:tcW w:type="dxa" w:w="13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UX-05</w:t>
            </w:r>
          </w:p>
        </w:tc>
        <w:tc>
          <w:tcPr>
            <w:tcW w:type="dxa" w:w="35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POST /disclosure-previews; POST /approvals/disclosure</w:t>
            </w:r>
          </w:p>
        </w:tc>
        <w:tc>
          <w:tcPr>
            <w:tcW w:type="dxa" w:w="45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Preview hash/version/recipients/expiry bound</w:t>
            </w:r>
          </w:p>
        </w:tc>
      </w:tr>
      <w:tr>
        <w:trPr>
          <w:cantSplit/>
        </w:trPr>
        <w:tc>
          <w:tcPr>
            <w:tcW w:type="dxa" w:w="13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UX-06</w:t>
            </w:r>
          </w:p>
        </w:tc>
        <w:tc>
          <w:tcPr>
            <w:tcW w:type="dxa" w:w="35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POST /dispatches; GET /dispatches/{id}</w:t>
            </w:r>
          </w:p>
        </w:tc>
        <w:tc>
          <w:tcPr>
            <w:tcW w:type="dxa" w:w="45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Supplier-specific state only; no cross-supplier payload</w:t>
            </w:r>
          </w:p>
        </w:tc>
      </w:tr>
      <w:tr>
        <w:trPr>
          <w:cantSplit/>
        </w:trPr>
        <w:tc>
          <w:tcPr>
            <w:tcW w:type="dxa" w:w="13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UX-07/08</w:t>
            </w:r>
          </w:p>
        </w:tc>
        <w:tc>
          <w:tcPr>
            <w:tcW w:type="dxa" w:w="35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GET /decisions/{id}; GET /offers</w:t>
            </w:r>
          </w:p>
        </w:tc>
        <w:tc>
          <w:tcPr>
            <w:tcW w:type="dxa" w:w="45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Validated normalized facts; no raw model text</w:t>
            </w:r>
          </w:p>
        </w:tc>
      </w:tr>
      <w:tr>
        <w:trPr>
          <w:cantSplit/>
        </w:trPr>
        <w:tc>
          <w:tcPr>
            <w:tcW w:type="dxa" w:w="13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UX-09</w:t>
            </w:r>
          </w:p>
        </w:tc>
        <w:tc>
          <w:tcPr>
            <w:tcW w:type="dxa" w:w="35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POST /offer-selections</w:t>
            </w:r>
          </w:p>
        </w:tc>
        <w:tc>
          <w:tcPr>
            <w:tcW w:type="dxa" w:w="45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Creates selection only</w:t>
            </w:r>
          </w:p>
        </w:tc>
      </w:tr>
      <w:tr>
        <w:trPr>
          <w:cantSplit/>
        </w:trPr>
        <w:tc>
          <w:tcPr>
            <w:tcW w:type="dxa" w:w="13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UX-10</w:t>
            </w:r>
          </w:p>
        </w:tc>
        <w:tc>
          <w:tcPr>
            <w:tcW w:type="dxa" w:w="35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POST /transaction-authorization-previews; POST /transaction-authorizations</w:t>
            </w:r>
          </w:p>
        </w:tc>
        <w:tc>
          <w:tcPr>
            <w:tcW w:type="dxa" w:w="45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SIMULATED required; idempotent; term hash bound</w:t>
            </w:r>
          </w:p>
        </w:tc>
      </w:tr>
      <w:tr>
        <w:trPr>
          <w:cantSplit/>
        </w:trPr>
        <w:tc>
          <w:tcPr>
            <w:tcW w:type="dxa" w:w="13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UX-11/12</w:t>
            </w:r>
          </w:p>
        </w:tc>
        <w:tc>
          <w:tcPr>
            <w:tcW w:type="dxa" w:w="35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GET /receipts/{id}; GET /audit-events</w:t>
            </w:r>
          </w:p>
        </w:tc>
        <w:tc>
          <w:tcPr>
            <w:tcW w:type="dxa" w:w="45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Redaction-safe; append-only source</w:t>
            </w:r>
          </w:p>
        </w:tc>
      </w:tr>
      <w:tr>
        <w:trPr>
          <w:cantSplit/>
        </w:trPr>
        <w:tc>
          <w:tcPr>
            <w:tcW w:type="dxa" w:w="13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UX-13/14</w:t>
            </w:r>
          </w:p>
        </w:tc>
        <w:tc>
          <w:tcPr>
            <w:tcW w:type="dxa" w:w="35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GET/PATCH /preferences; GET /privacy; POST /deletion-requests</w:t>
            </w:r>
          </w:p>
        </w:tc>
        <w:tc>
          <w:tcPr>
            <w:tcW w:type="dxa" w:w="45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Evidence/context retained; deletion status explicit</w:t>
            </w:r>
          </w:p>
        </w:tc>
      </w:tr>
      <w:tr>
        <w:trPr>
          <w:cantSplit/>
        </w:trPr>
        <w:tc>
          <w:tcPr>
            <w:tcW w:type="dxa" w:w="13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UX-15</w:t>
            </w:r>
          </w:p>
        </w:tc>
        <w:tc>
          <w:tcPr>
            <w:tcW w:type="dxa" w:w="3500"/>
            <w:tcMar>
              <w:top w:w="90" w:type="dxa"/>
              <w:start w:w="120" w:type="dxa"/>
              <w:bottom w:w="90" w:type="dxa"/>
              <w:end w:w="120" w:type="dxa"/>
            </w:tcMar>
            <w:vAlign w:val="center"/>
          </w:tcPr>
          <w:p>
            <w:pPr>
              <w:spacing w:before="0" w:after="0" w:line="259" w:lineRule="auto"/>
              <w:jc w:val="left"/>
            </w:pPr>
            <w:r>
              <w:t>FUTURE: GET /entitlements/offerings; POST /entitlements/refresh</w:t>
            </w:r>
            <w:r>
              <w:rPr>
                <w:rFonts w:ascii="Aptos" w:hAnsi="Aptos"/>
                <w:b w:val="0"/>
                <w:i w:val="0"/>
                <w:color w:val="171B20"/>
                <w:sz w:val="16"/>
              </w:rPr>
            </w:r>
          </w:p>
        </w:tc>
        <w:tc>
          <w:tcPr>
            <w:tcW w:type="dxa" w:w="4560"/>
            <w:tcMar>
              <w:top w:w="90" w:type="dxa"/>
              <w:start w:w="120" w:type="dxa"/>
              <w:bottom w:w="90" w:type="dxa"/>
              <w:end w:w="120" w:type="dxa"/>
            </w:tcMar>
            <w:vAlign w:val="center"/>
          </w:tcPr>
          <w:p>
            <w:pPr>
              <w:spacing w:before="0" w:after="0" w:line="259" w:lineRule="auto"/>
              <w:jc w:val="left"/>
            </w:pPr>
            <w:r>
              <w:t>Future productization only; no current RevenueCat client</w:t>
            </w:r>
            <w:r>
              <w:rPr>
                <w:rFonts w:ascii="Aptos" w:hAnsi="Aptos"/>
                <w:b w:val="0"/>
                <w:i w:val="0"/>
                <w:color w:val="171B20"/>
                <w:sz w:val="16"/>
              </w:rPr>
            </w:r>
          </w:p>
        </w:tc>
      </w:tr>
      <w:tr>
        <w:trPr>
          <w:cantSplit/>
        </w:trPr>
        <w:tc>
          <w:tcPr>
            <w:tcW w:type="dxa" w:w="1300"/>
            <w:tcMar>
              <w:top w:w="90" w:type="dxa"/>
              <w:start w:w="120" w:type="dxa"/>
              <w:bottom w:w="90" w:type="dxa"/>
              <w:end w:w="120" w:type="dxa"/>
            </w:tcMar>
            <w:vAlign w:val="center"/>
          </w:tcPr>
          <w:p>
            <w:pPr>
              <w:spacing w:before="0" w:after="0" w:line="259" w:lineRule="auto"/>
              <w:jc w:val="left"/>
            </w:pPr>
            <w:r>
              <w:t>UX-17/18/19/20</w:t>
            </w:r>
            <w:r>
              <w:rPr>
                <w:rFonts w:ascii="Aptos" w:hAnsi="Aptos"/>
                <w:b w:val="0"/>
                <w:i w:val="0"/>
                <w:color w:val="171B20"/>
                <w:sz w:val="16"/>
              </w:rPr>
            </w:r>
          </w:p>
        </w:tc>
        <w:tc>
          <w:tcPr>
            <w:tcW w:type="dxa" w:w="3500"/>
            <w:tcMar>
              <w:top w:w="90" w:type="dxa"/>
              <w:start w:w="120" w:type="dxa"/>
              <w:bottom w:w="90" w:type="dxa"/>
              <w:end w:w="120" w:type="dxa"/>
            </w:tcMar>
            <w:vAlign w:val="center"/>
          </w:tcPr>
          <w:p>
            <w:pPr>
              <w:spacing w:before="0" w:after="0" w:line="259" w:lineRule="auto"/>
              <w:jc w:val="left"/>
            </w:pPr>
            <w:r>
              <w:t>Intent draft/plan/task GETs; compatibility wrap of pi_*</w:t>
            </w:r>
            <w:r>
              <w:rPr>
                <w:rFonts w:ascii="Aptos" w:hAnsi="Aptos"/>
                <w:b w:val="0"/>
                <w:i w:val="0"/>
                <w:color w:val="171B20"/>
                <w:sz w:val="16"/>
              </w:rPr>
            </w:r>
          </w:p>
        </w:tc>
        <w:tc>
          <w:tcPr>
            <w:tcW w:type="dxa" w:w="4560"/>
            <w:tcMar>
              <w:top w:w="90" w:type="dxa"/>
              <w:start w:w="120" w:type="dxa"/>
              <w:bottom w:w="90" w:type="dxa"/>
              <w:end w:w="120" w:type="dxa"/>
            </w:tcMar>
            <w:vAlign w:val="center"/>
          </w:tcPr>
          <w:p>
            <w:pPr>
              <w:spacing w:before="0" w:after="0" w:line="259" w:lineRule="auto"/>
              <w:jc w:val="left"/>
            </w:pPr>
            <w:r>
              <w:t>No domain-mandatory create; no durable resume claim</w:t>
            </w:r>
            <w:r>
              <w:rPr>
                <w:rFonts w:ascii="Aptos" w:hAnsi="Aptos"/>
                <w:b w:val="0"/>
                <w:i w:val="0"/>
                <w:color w:val="171B20"/>
                <w:sz w:val="16"/>
              </w:rPr>
            </w:r>
          </w:p>
        </w:tc>
      </w:tr>
      <w:tr>
        <w:trPr>
          <w:cantSplit/>
        </w:trPr>
        <w:tc>
          <w:tcPr>
            <w:tcW w:type="dxa" w:w="1300"/>
            <w:tcMar>
              <w:top w:w="90" w:type="dxa"/>
              <w:start w:w="120" w:type="dxa"/>
              <w:bottom w:w="90" w:type="dxa"/>
              <w:end w:w="120" w:type="dxa"/>
            </w:tcMar>
            <w:vAlign w:val="center"/>
          </w:tcPr>
          <w:p>
            <w:pPr>
              <w:spacing w:before="0" w:after="0" w:line="259" w:lineRule="auto"/>
              <w:jc w:val="left"/>
            </w:pPr>
            <w:r>
              <w:t>UX-21–26</w:t>
            </w:r>
            <w:r>
              <w:rPr>
                <w:rFonts w:ascii="Aptos" w:hAnsi="Aptos"/>
                <w:b w:val="0"/>
                <w:i w:val="0"/>
                <w:color w:val="171B20"/>
                <w:sz w:val="16"/>
              </w:rPr>
            </w:r>
          </w:p>
        </w:tc>
        <w:tc>
          <w:tcPr>
            <w:tcW w:type="dxa" w:w="3500"/>
            <w:tcMar>
              <w:top w:w="90" w:type="dxa"/>
              <w:start w:w="120" w:type="dxa"/>
              <w:bottom w:w="90" w:type="dxa"/>
              <w:end w:w="120" w:type="dxa"/>
            </w:tcMar>
            <w:vAlign w:val="center"/>
          </w:tcPr>
          <w:p>
            <w:pPr>
              <w:spacing w:before="0" w:after="0" w:line="259" w:lineRule="auto"/>
              <w:jc w:val="left"/>
            </w:pPr>
            <w:r>
              <w:t>Nested /intents/:intentId/tasks/:taskId/{a1,a2,offers,a3,a4,confirmation}</w:t>
            </w:r>
            <w:r>
              <w:rPr>
                <w:rFonts w:ascii="Aptos" w:hAnsi="Aptos"/>
                <w:b w:val="0"/>
                <w:i w:val="0"/>
                <w:color w:val="171B20"/>
                <w:sz w:val="16"/>
              </w:rPr>
            </w:r>
          </w:p>
        </w:tc>
        <w:tc>
          <w:tcPr>
            <w:tcW w:type="dxa" w:w="4560"/>
            <w:tcMar>
              <w:top w:w="90" w:type="dxa"/>
              <w:start w:w="120" w:type="dxa"/>
              <w:bottom w:w="90" w:type="dxa"/>
              <w:end w:w="120" w:type="dxa"/>
            </w:tcMar>
            <w:vAlign w:val="center"/>
          </w:tcPr>
          <w:p>
            <w:pPr>
              <w:spacing w:before="0" w:after="0" w:line="259" w:lineRule="auto"/>
              <w:jc w:val="left"/>
            </w:pPr>
            <w:r>
              <w:t>A4 SIMULATED; not a Booking</w:t>
            </w:r>
            <w:r>
              <w:rPr>
                <w:rFonts w:ascii="Aptos" w:hAnsi="Aptos"/>
                <w:b w:val="0"/>
                <w:i w:val="0"/>
                <w:color w:val="171B20"/>
                <w:sz w:val="16"/>
              </w:rPr>
            </w:r>
          </w:p>
        </w:tc>
      </w:tr>
      <w:tr>
        <w:trPr>
          <w:cantSplit/>
        </w:trPr>
        <w:tc>
          <w:tcPr>
            <w:tcW w:type="dxa" w:w="1300"/>
            <w:tcMar>
              <w:top w:w="90" w:type="dxa"/>
              <w:start w:w="120" w:type="dxa"/>
              <w:bottom w:w="90" w:type="dxa"/>
              <w:end w:w="120" w:type="dxa"/>
            </w:tcMar>
            <w:vAlign w:val="center"/>
          </w:tcPr>
          <w:p>
            <w:pPr>
              <w:spacing w:before="0" w:after="0" w:line="259" w:lineRule="auto"/>
              <w:jc w:val="left"/>
            </w:pPr>
            <w:r>
              <w:t>UX-27/28</w:t>
            </w:r>
            <w:r>
              <w:rPr>
                <w:rFonts w:ascii="Aptos" w:hAnsi="Aptos"/>
                <w:b w:val="0"/>
                <w:i w:val="0"/>
                <w:color w:val="171B20"/>
                <w:sz w:val="16"/>
              </w:rPr>
            </w:r>
          </w:p>
        </w:tc>
        <w:tc>
          <w:tcPr>
            <w:tcW w:type="dxa" w:w="3500"/>
            <w:tcMar>
              <w:top w:w="90" w:type="dxa"/>
              <w:start w:w="120" w:type="dxa"/>
              <w:bottom w:w="90" w:type="dxa"/>
              <w:end w:w="120" w:type="dxa"/>
            </w:tcMar>
            <w:vAlign w:val="center"/>
          </w:tcPr>
          <w:p>
            <w:pPr>
              <w:spacing w:before="0" w:after="0" w:line="259" w:lineRule="auto"/>
              <w:jc w:val="left"/>
            </w:pPr>
            <w:r>
              <w:t>Plan recommendations + ledger view models</w:t>
            </w:r>
            <w:r>
              <w:rPr>
                <w:rFonts w:ascii="Aptos" w:hAnsi="Aptos"/>
                <w:b w:val="0"/>
                <w:i w:val="0"/>
                <w:color w:val="171B20"/>
                <w:sz w:val="16"/>
              </w:rPr>
            </w:r>
          </w:p>
        </w:tc>
        <w:tc>
          <w:tcPr>
            <w:tcW w:type="dxa" w:w="4560"/>
            <w:tcMar>
              <w:top w:w="90" w:type="dxa"/>
              <w:start w:w="120" w:type="dxa"/>
              <w:bottom w:w="90" w:type="dxa"/>
              <w:end w:w="120" w:type="dxa"/>
            </w:tcMar>
            <w:vAlign w:val="center"/>
          </w:tcPr>
          <w:p>
            <w:pPr>
              <w:spacing w:before="0" w:after="0" w:line="259" w:lineRule="auto"/>
              <w:jc w:val="left"/>
            </w:pPr>
            <w:r>
              <w:t>Deterministic; no LLM totals; no scoreMicros</w:t>
            </w:r>
            <w:r>
              <w:rPr>
                <w:rFonts w:ascii="Aptos" w:hAnsi="Aptos"/>
                <w:b w:val="0"/>
                <w:i w:val="0"/>
                <w:color w:val="171B20"/>
                <w:sz w:val="16"/>
              </w:rPr>
            </w:r>
          </w:p>
        </w:tc>
      </w:tr>
    </w:tbl>
    <w:p>
      <w:pPr>
        <w:spacing w:after="20"/>
      </w:pPr>
    </w:p>
    <w:p>
      <w:pPr>
        <w:pStyle w:val="Heading2"/>
        <w:keepNext/>
      </w:pPr>
      <w:r>
        <w:t>12.4 Client-state rules</w:t>
      </w:r>
    </w:p>
    <w:p>
      <w:pPr>
        <w:pStyle w:val="ListBullet"/>
        <w:spacing w:after="80" w:line="283" w:lineRule="auto"/>
      </w:pPr>
      <w:r>
        <w:rPr>
          <w:rFonts w:ascii="Aptos" w:hAnsi="Aptos"/>
          <w:b w:val="0"/>
          <w:i w:val="0"/>
          <w:color w:val="171B20"/>
          <w:sz w:val="21"/>
        </w:rPr>
        <w:t>Backend domain state and audit events are authoritative when present. Current durability is unsupported; browser session storage is cache, not authoritative persistence. Client stores are view state, not the system of record. Do not promise continuity across sessions, devices, or backend restarts.</w:t>
      </w:r>
    </w:p>
    <w:p>
      <w:pPr>
        <w:pStyle w:val="ListBullet"/>
        <w:spacing w:after="80" w:line="283" w:lineRule="auto"/>
      </w:pPr>
      <w:r>
        <w:rPr>
          <w:rFonts w:ascii="Aptos" w:hAnsi="Aptos"/>
          <w:b w:val="0"/>
          <w:i w:val="0"/>
          <w:color w:val="171B20"/>
          <w:sz w:val="21"/>
        </w:rPr>
        <w:t>No optimistic success for Gate 1 or Gate 2. The UI may show 'authorizing' but displays success only after the server accepts the bound approval.</w:t>
      </w:r>
    </w:p>
    <w:p>
      <w:pPr>
        <w:pStyle w:val="ListBullet"/>
        <w:spacing w:after="80" w:line="283" w:lineRule="auto"/>
      </w:pPr>
      <w:r>
        <w:rPr>
          <w:rFonts w:ascii="Aptos" w:hAnsi="Aptos"/>
          <w:b w:val="0"/>
          <w:i w:val="0"/>
          <w:color w:val="171B20"/>
          <w:sz w:val="21"/>
        </w:rPr>
        <w:t>Approval payloads, offers, and decision view models carry versions. A version mismatch triggers refresh and clear explanation.</w:t>
      </w:r>
    </w:p>
    <w:p>
      <w:pPr>
        <w:pStyle w:val="ListBullet"/>
        <w:spacing w:after="80" w:line="283" w:lineRule="auto"/>
      </w:pPr>
      <w:r>
        <w:rPr>
          <w:rFonts w:ascii="Aptos" w:hAnsi="Aptos"/>
          <w:b w:val="0"/>
          <w:i w:val="0"/>
          <w:color w:val="171B20"/>
          <w:sz w:val="21"/>
        </w:rPr>
        <w:t>Sensitive raw intake and preference evidence are excluded from general telemetry, crash context, push payloads, and URL query strings.</w:t>
      </w:r>
    </w:p>
    <w:p>
      <w:pPr>
        <w:pStyle w:val="ListBullet"/>
        <w:spacing w:after="80" w:line="283" w:lineRule="auto"/>
      </w:pPr>
      <w:r>
        <w:rPr>
          <w:rFonts w:ascii="Aptos" w:hAnsi="Aptos"/>
          <w:b w:val="0"/>
          <w:i w:val="0"/>
          <w:color w:val="171B20"/>
          <w:sz w:val="21"/>
        </w:rPr>
        <w:t>Offline mode is read-only for consequential transitions. Queued approval commands are prohibited.</w:t>
      </w:r>
    </w:p>
    <w:p>
      <w:pPr>
        <w:pStyle w:val="Heading2"/>
        <w:keepNext/>
      </w:pPr>
      <w:r>
        <w:t>12.5 Repository placement</w:t>
      </w:r>
    </w:p>
    <w:p>
      <w:pPr>
        <w:spacing w:before="600" w:after="100"/>
      </w:pPr>
      <w:r>
        <w:rPr>
          <w:rFonts w:ascii="Consolas" w:hAnsi="Consolas"/>
          <w:b/>
          <w:i w:val="0"/>
          <w:color w:val="2F7A58"/>
          <w:sz w:val="20"/>
        </w:rPr>
        <w:t>packages/ui-kit holds tokens and primitives. apps/web holds the ReservEdge shell, Intent/Task routes, and responsive adapters. apps/mobile is a placeholder only. packages/contracts remain canonical. Do not scaffold Expo, React Native, Flutter, a share extension, or a store/RevenueCat client.</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1F3F4"/>
            <w:tcMar>
              <w:top w:w="90" w:type="dxa"/>
              <w:start w:w="120" w:type="dxa"/>
              <w:bottom w:w="90" w:type="dxa"/>
              <w:end w:w="120" w:type="dxa"/>
            </w:tcMar>
            <w:vAlign w:val="center"/>
          </w:tcPr>
          <w:p>
            <w:pPr>
              <w:spacing w:after="0" w:line="240" w:lineRule="auto"/>
            </w:pPr>
            <w:r>
              <w:t>packages/ui-kit/ tokens and web primitives; apps/web responsive ReservEdge shell and Intent/Task routes; apps/mobile placeholder only — no native shell, share extension, deep-link client, or RevenueCat client in current work; packages/contracts canonical schemas; packages/policy approval/disclosure rules never duplicated in UI.</w:t>
            </w:r>
            <w:r>
              <w:rPr>
                <w:rFonts w:ascii="Consolas" w:hAnsi="Consolas"/>
                <w:b w:val="0"/>
                <w:i w:val="0"/>
                <w:color w:val="171B20"/>
                <w:sz w:val="16"/>
              </w:rPr>
            </w:r>
          </w:p>
        </w:tc>
      </w:tr>
    </w:tbl>
    <w:p>
      <w:pPr>
        <w:spacing w:after="20"/>
      </w:pPr>
    </w:p>
    <w:p>
      <w:r>
        <w:br w:type="page"/>
      </w:r>
    </w:p>
    <w:p>
      <w:pPr>
        <w:pStyle w:val="Heading1"/>
        <w:keepNext/>
      </w:pPr>
      <w:r>
        <w:t>13. Analytics, observability, and auditability</w:t>
      </w:r>
    </w:p>
    <w:p>
      <w:pPr>
        <w:spacing w:before="0" w:after="120" w:line="300" w:lineRule="auto"/>
      </w:pPr>
      <w:r>
        <w:rPr>
          <w:rFonts w:ascii="Aptos" w:hAnsi="Aptos"/>
          <w:b w:val="0"/>
          <w:i w:val="0"/>
          <w:color w:val="171B20"/>
          <w:sz w:val="21"/>
        </w:rPr>
        <w:t>Product analytics measure comprehension and flow health without collecting raw intent content, exact travel details, supplier payloads, identity, payment data, or free text. Operational telemetry uses trace IDs and redaction-safe reason codes. Audit events remain separate, authoritative records.</w:t>
      </w:r>
    </w:p>
    <w:p>
      <w:pPr>
        <w:pStyle w:val="Heading2"/>
        <w:keepNext/>
      </w:pPr>
      <w:r>
        <w:t>13.1 Product events</w:t>
      </w:r>
    </w:p>
    <w:tbl>
      <w:tblPr>
        <w:tblStyle w:val="TableGrid"/>
        <w:tblW w:type="dxa" w:w="9360"/>
        <w:jc w:val="left"/>
        <w:tblLayout w:type="fixed"/>
        <w:tblLook w:firstColumn="1" w:firstRow="1" w:lastColumn="0" w:lastRow="0" w:noHBand="0" w:noVBand="1" w:val="04A0"/>
        <w:tblInd w:w="120" w:type="dxa"/>
      </w:tblPr>
      <w:tblGrid>
        <w:gridCol w:w="3000"/>
        <w:gridCol w:w="3350"/>
        <w:gridCol w:w="3010"/>
      </w:tblGrid>
      <w:tr>
        <w:trPr>
          <w:cantSplit/>
          <w:tblHeader w:val="true"/>
        </w:trPr>
        <w:tc>
          <w:tcPr>
            <w:tcW w:type="dxa" w:w="300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6"/>
              </w:rPr>
              <w:t>Event</w:t>
            </w:r>
          </w:p>
        </w:tc>
        <w:tc>
          <w:tcPr>
            <w:tcW w:type="dxa" w:w="335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6"/>
              </w:rPr>
              <w:t>Allowed properties</w:t>
            </w:r>
          </w:p>
        </w:tc>
        <w:tc>
          <w:tcPr>
            <w:tcW w:type="dxa" w:w="301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6"/>
              </w:rPr>
              <w:t>Prohibited detail</w:t>
            </w:r>
          </w:p>
        </w:tc>
      </w:tr>
      <w:tr>
        <w:trPr>
          <w:cantSplit/>
        </w:trPr>
        <w:tc>
          <w:tcPr>
            <w:tcW w:type="dxa" w:w="30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intent_capture_started/completed/cancelled</w:t>
            </w:r>
          </w:p>
        </w:tc>
        <w:tc>
          <w:tcPr>
            <w:tcW w:type="dxa" w:w="335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source_type, platform, result</w:t>
            </w:r>
          </w:p>
        </w:tc>
        <w:tc>
          <w:tcPr>
            <w:tcW w:type="dxa" w:w="301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No shared excerpt or URL</w:t>
            </w:r>
          </w:p>
        </w:tc>
      </w:tr>
      <w:tr>
        <w:trPr>
          <w:cantSplit/>
        </w:trPr>
        <w:tc>
          <w:tcPr>
            <w:tcW w:type="dxa" w:w="30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requirement_reviewed</w:t>
            </w:r>
          </w:p>
        </w:tc>
        <w:tc>
          <w:tcPr>
            <w:tcW w:type="dxa" w:w="335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field_count, low_confidence_count, correction_count</w:t>
            </w:r>
          </w:p>
        </w:tc>
        <w:tc>
          <w:tcPr>
            <w:tcW w:type="dxa" w:w="301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No values</w:t>
            </w:r>
          </w:p>
        </w:tc>
      </w:tr>
      <w:tr>
        <w:trPr>
          <w:cantSplit/>
        </w:trPr>
        <w:tc>
          <w:tcPr>
            <w:tcW w:type="dxa" w:w="30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research_state_changed</w:t>
            </w:r>
          </w:p>
        </w:tc>
        <w:tc>
          <w:tcPr>
            <w:tcW w:type="dxa" w:w="335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state, provider_class, reference_count, failure_code</w:t>
            </w:r>
          </w:p>
        </w:tc>
        <w:tc>
          <w:tcPr>
            <w:tcW w:type="dxa" w:w="301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No query text or source content</w:t>
            </w:r>
          </w:p>
        </w:tc>
      </w:tr>
      <w:tr>
        <w:trPr>
          <w:cantSplit/>
        </w:trPr>
        <w:tc>
          <w:tcPr>
            <w:tcW w:type="dxa" w:w="30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disclosure_preview_viewed</w:t>
            </w:r>
          </w:p>
        </w:tc>
        <w:tc>
          <w:tcPr>
            <w:tcW w:type="dxa" w:w="335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sent_category_count, withheld_category_count, recipient_count</w:t>
            </w:r>
          </w:p>
        </w:tc>
        <w:tc>
          <w:tcPr>
            <w:tcW w:type="dxa" w:w="301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No field values</w:t>
            </w:r>
          </w:p>
        </w:tc>
      </w:tr>
      <w:tr>
        <w:trPr>
          <w:cantSplit/>
        </w:trPr>
        <w:tc>
          <w:tcPr>
            <w:tcW w:type="dxa" w:w="30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disclosure_approved/declined/expired</w:t>
            </w:r>
          </w:p>
        </w:tc>
        <w:tc>
          <w:tcPr>
            <w:tcW w:type="dxa" w:w="335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preview_version, recipient_count, reason_code</w:t>
            </w:r>
          </w:p>
        </w:tc>
        <w:tc>
          <w:tcPr>
            <w:tcW w:type="dxa" w:w="301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Hash reference allowed; no payload</w:t>
            </w:r>
          </w:p>
        </w:tc>
      </w:tr>
      <w:tr>
        <w:trPr>
          <w:cantSplit/>
        </w:trPr>
        <w:tc>
          <w:tcPr>
            <w:tcW w:type="dxa" w:w="30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supplier_progress_changed</w:t>
            </w:r>
          </w:p>
        </w:tc>
        <w:tc>
          <w:tcPr>
            <w:tcW w:type="dxa" w:w="335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supplier_count, response_count, timeout_count</w:t>
            </w:r>
          </w:p>
        </w:tc>
        <w:tc>
          <w:tcPr>
            <w:tcW w:type="dxa" w:w="301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No rates until decision analytics, and never competitor visibility</w:t>
            </w:r>
          </w:p>
        </w:tc>
      </w:tr>
      <w:tr>
        <w:trPr>
          <w:cantSplit/>
        </w:trPr>
        <w:tc>
          <w:tcPr>
            <w:tcW w:type="dxa" w:w="30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decision_viewed</w:t>
            </w:r>
          </w:p>
        </w:tc>
        <w:tc>
          <w:tcPr>
            <w:tcW w:type="dxa" w:w="335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eligible_offer_count, recommendation_available, fit_label</w:t>
            </w:r>
          </w:p>
        </w:tc>
        <w:tc>
          <w:tcPr>
            <w:tcW w:type="dxa" w:w="301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No raw supplier reasoning</w:t>
            </w:r>
          </w:p>
        </w:tc>
      </w:tr>
      <w:tr>
        <w:trPr>
          <w:cantSplit/>
        </w:trPr>
        <w:tc>
          <w:tcPr>
            <w:tcW w:type="dxa" w:w="30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offer_selected</w:t>
            </w:r>
          </w:p>
        </w:tc>
        <w:tc>
          <w:tcPr>
            <w:tcW w:type="dxa" w:w="335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recommended_selected, rank_position, price_band</w:t>
            </w:r>
          </w:p>
        </w:tc>
        <w:tc>
          <w:tcPr>
            <w:tcW w:type="dxa" w:w="301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Prefer price band; exact amount only in restricted operational metrics</w:t>
            </w:r>
          </w:p>
        </w:tc>
      </w:tr>
      <w:tr>
        <w:trPr>
          <w:cantSplit/>
        </w:trPr>
        <w:tc>
          <w:tcPr>
            <w:tcW w:type="dxa" w:w="30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transaction_approval_result</w:t>
            </w:r>
          </w:p>
        </w:tc>
        <w:tc>
          <w:tcPr>
            <w:tcW w:type="dxa" w:w="335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simulation, result, invalidation_code</w:t>
            </w:r>
          </w:p>
        </w:tc>
        <w:tc>
          <w:tcPr>
            <w:tcW w:type="dxa" w:w="301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No payment data</w:t>
            </w:r>
          </w:p>
        </w:tc>
      </w:tr>
      <w:tr>
        <w:trPr>
          <w:cantSplit/>
        </w:trPr>
        <w:tc>
          <w:tcPr>
            <w:tcW w:type="dxa" w:w="30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privacy_control_used</w:t>
            </w:r>
          </w:p>
        </w:tc>
        <w:tc>
          <w:tcPr>
            <w:tcW w:type="dxa" w:w="335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control_type, scope, result</w:t>
            </w:r>
          </w:p>
        </w:tc>
        <w:tc>
          <w:tcPr>
            <w:tcW w:type="dxa" w:w="301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No deleted values</w:t>
            </w:r>
          </w:p>
        </w:tc>
      </w:tr>
      <w:tr>
        <w:trPr>
          <w:cantSplit/>
        </w:trPr>
        <w:tc>
          <w:tcPr>
            <w:tcW w:type="dxa" w:w="30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paywall_viewed/purchase_result/restore_result</w:t>
            </w:r>
          </w:p>
        </w:tc>
        <w:tc>
          <w:tcPr>
            <w:tcW w:type="dxa" w:w="335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offering_id, package_id, result</w:t>
            </w:r>
          </w:p>
        </w:tc>
        <w:tc>
          <w:tcPr>
            <w:tcW w:type="dxa" w:w="301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Use opaque buyer/RevenueCat IDs</w:t>
            </w:r>
          </w:p>
        </w:tc>
      </w:tr>
    </w:tbl>
    <w:p>
      <w:pPr>
        <w:spacing w:after="20"/>
      </w:pPr>
    </w:p>
    <w:p>
      <w:pPr>
        <w:pStyle w:val="Heading2"/>
        <w:keepNext/>
      </w:pPr>
      <w:r>
        <w:t>13.2 Experience metrics</w:t>
      </w:r>
    </w:p>
    <w:p>
      <w:pPr>
        <w:pStyle w:val="ListBullet"/>
        <w:spacing w:after="80" w:line="283" w:lineRule="auto"/>
      </w:pPr>
      <w:r>
        <w:rPr>
          <w:rFonts w:ascii="Aptos" w:hAnsi="Aptos"/>
          <w:b w:val="0"/>
          <w:i w:val="0"/>
          <w:color w:val="171B20"/>
          <w:sz w:val="21"/>
        </w:rPr>
        <w:t>Privacy: disclosure comprehension, preview-to-approval rate, edit-before-approval rate, privacy-sheet usage, deletion/future-use controls.</w:t>
      </w:r>
    </w:p>
    <w:p>
      <w:pPr>
        <w:pStyle w:val="ListBullet"/>
        <w:spacing w:after="80" w:line="283" w:lineRule="auto"/>
      </w:pPr>
      <w:r>
        <w:rPr>
          <w:rFonts w:ascii="Aptos" w:hAnsi="Aptos"/>
          <w:b w:val="0"/>
          <w:i w:val="0"/>
          <w:color w:val="171B20"/>
          <w:sz w:val="21"/>
        </w:rPr>
        <w:t>Decision: decision-ready open rate, time to confident choice, comparison usage, recommended-offer selection, offer expiry before decision.</w:t>
      </w:r>
    </w:p>
    <w:p>
      <w:pPr>
        <w:pStyle w:val="ListBullet"/>
        <w:spacing w:after="80" w:line="283" w:lineRule="auto"/>
      </w:pPr>
      <w:r>
        <w:rPr>
          <w:rFonts w:ascii="Aptos" w:hAnsi="Aptos"/>
          <w:b w:val="0"/>
          <w:i w:val="0"/>
          <w:color w:val="171B20"/>
          <w:sz w:val="21"/>
        </w:rPr>
        <w:t>Reliability: research failure, supplier timeout, invalid offer, version conflict, terms-change, idempotent retry, crash-free sessions.</w:t>
      </w:r>
    </w:p>
    <w:p>
      <w:pPr>
        <w:pStyle w:val="ListBullet"/>
        <w:spacing w:after="80" w:line="283" w:lineRule="auto"/>
      </w:pPr>
      <w:r>
        <w:rPr>
          <w:rFonts w:ascii="Aptos" w:hAnsi="Aptos"/>
          <w:b w:val="0"/>
          <w:i w:val="0"/>
          <w:color w:val="171B20"/>
          <w:sz w:val="21"/>
        </w:rPr>
        <w:t>Accessibility: automated violations, keyboard completion, screen-reader task completion, large-text layout defects.</w:t>
      </w:r>
    </w:p>
    <w:p>
      <w:pPr>
        <w:pStyle w:val="ListBullet"/>
        <w:spacing w:after="80" w:line="283" w:lineRule="auto"/>
      </w:pPr>
      <w:r>
        <w:rPr>
          <w:rFonts w:ascii="Aptos" w:hAnsi="Aptos"/>
          <w:b w:val="0"/>
          <w:i w:val="0"/>
          <w:color w:val="171B20"/>
          <w:sz w:val="21"/>
        </w:rPr>
        <w:t>Commercial: offering impression, trial/start, purchase, restore, entitlement mismatch, retention - reported separately from private intent data.</w:t>
      </w:r>
    </w:p>
    <w:p>
      <w:pPr>
        <w:pStyle w:val="Heading1"/>
        <w:keepNext/>
      </w:pPr>
      <w:r>
        <w:t>14. Future productization — RevenueCat and store (no current implementation authority)</w:t>
      </w:r>
    </w:p>
    <w:p>
      <w:pPr>
        <w:spacing w:before="600" w:after="100"/>
      </w:pPr>
      <w:r>
        <w:rPr>
          <w:rFonts w:ascii="Consolas" w:hAnsi="Consolas"/>
          <w:b/>
          <w:i w:val="0"/>
          <w:color w:val="2F7A58"/>
          <w:sz w:val="20"/>
        </w:rPr>
        <w:t>FUTURE PRODUCTIZATION — no current implementation authority. Requires a later Product Owner-approved ADR and work order. Current approved mobile surface is responsive web at 1440 / 1280 / 410 / 390 / 320 CSS pixels. apps/mobile remains a placeholder. Section 14 and UX-15 subscription controls do not authorize native, store, or RevenueCat implementation in current work.</w:t>
      </w:r>
    </w:p>
    <w:p>
      <w:pPr>
        <w:pStyle w:val="Heading2"/>
        <w:keepNext/>
      </w:pPr>
      <w:r>
        <w:t>14.1 Locked rules</w:t>
      </w:r>
    </w:p>
    <w:p>
      <w:pPr>
        <w:pStyle w:val="ListBullet"/>
        <w:spacing w:after="80" w:line="283" w:lineRule="auto"/>
      </w:pPr>
      <w:r>
        <w:rPr>
          <w:rFonts w:ascii="Aptos" w:hAnsi="Aptos"/>
          <w:b w:val="0"/>
          <w:i w:val="0"/>
          <w:color w:val="171B20"/>
          <w:sz w:val="21"/>
        </w:rPr>
        <w:t>If later approved, public plan name is ReservEdge Pro. Historical/internal offering label: ITAA Pro. FUTURE PRODUCTIZATION — no current implementation authority. Requires a later Product Owner-approved ADR and work order. Current approved mobile surface is responsive web at 1440 / 1280 / 410 / 390 / 320 CSS pixels. apps/mobile remains a placeholder.</w:t>
      </w:r>
    </w:p>
    <w:p>
      <w:pPr>
        <w:pStyle w:val="ListBullet"/>
        <w:spacing w:after="80" w:line="283" w:lineRule="auto"/>
      </w:pPr>
      <w:r>
        <w:rPr>
          <w:rFonts w:ascii="Aptos" w:hAnsi="Aptos"/>
          <w:b w:val="0"/>
          <w:i w:val="0"/>
          <w:color w:val="171B20"/>
          <w:sz w:val="21"/>
        </w:rPr>
        <w:t>FUTURE PRODUCTIZATION — no current implementation authority. Requires a later Product Owner-approved ADR and work order. Current approved mobile surface is responsive web at 1440 / 1280 / 410 / 390 / 320 CSS pixels. apps/mobile remains a placeholder. If later approved, offerings, package identifiers, localized price, trial eligibility, and entitlement state would drive the subscription UI.</w:t>
      </w:r>
    </w:p>
    <w:p>
      <w:pPr>
        <w:pStyle w:val="ListBullet"/>
        <w:spacing w:after="80" w:line="283" w:lineRule="auto"/>
      </w:pPr>
      <w:r>
        <w:rPr>
          <w:rFonts w:ascii="Aptos" w:hAnsi="Aptos"/>
          <w:b w:val="0"/>
          <w:i w:val="0"/>
          <w:color w:val="171B20"/>
          <w:sz w:val="21"/>
        </w:rPr>
        <w:t>FUTURE PRODUCTIZATION — no current implementation authority. Requires a later Product Owner-approved ADR and work order. Current approved mobile surface is responsive web at 1440 / 1280 / 410 / 390 / 320 CSS pixels. apps/mobile remains a placeholder. No store or RevenueCat client is selected for current work.</w:t>
      </w:r>
    </w:p>
    <w:p>
      <w:pPr>
        <w:pStyle w:val="ListBullet"/>
        <w:spacing w:after="80" w:line="283" w:lineRule="auto"/>
      </w:pPr>
      <w:r>
        <w:rPr>
          <w:rFonts w:ascii="Aptos" w:hAnsi="Aptos"/>
          <w:b w:val="0"/>
          <w:i w:val="0"/>
          <w:color w:val="171B20"/>
          <w:sz w:val="21"/>
        </w:rPr>
        <w:t>Free-tier counts and plan prices are product configuration, not locked UI constants. The conflicting design-proposal values are rejected.</w:t>
      </w:r>
    </w:p>
    <w:p>
      <w:pPr>
        <w:pStyle w:val="ListBullet"/>
        <w:spacing w:after="80" w:line="283" w:lineRule="auto"/>
      </w:pPr>
      <w:r>
        <w:rPr>
          <w:rFonts w:ascii="Aptos" w:hAnsi="Aptos"/>
          <w:b w:val="0"/>
          <w:i w:val="0"/>
          <w:color w:val="171B20"/>
          <w:sz w:val="21"/>
        </w:rPr>
        <w:t>The active intent can always finish under the entitlement state valid when it started; no paywall appears between Gate 1 and Gate 2.</w:t>
      </w:r>
    </w:p>
    <w:p>
      <w:pPr>
        <w:pStyle w:val="ListBullet"/>
        <w:spacing w:after="80" w:line="283" w:lineRule="auto"/>
      </w:pPr>
      <w:r>
        <w:rPr>
          <w:rFonts w:ascii="Aptos" w:hAnsi="Aptos"/>
          <w:b w:val="0"/>
          <w:i w:val="0"/>
          <w:color w:val="171B20"/>
          <w:sz w:val="21"/>
        </w:rPr>
        <w:t>The competition demo and first meaningful free experience must demonstrate three-supplier comparison rather than degrading to one supplier.</w:t>
      </w:r>
    </w:p>
    <w:p>
      <w:pPr>
        <w:pStyle w:val="Heading2"/>
        <w:keepNext/>
      </w:pPr>
      <w:r>
        <w:t>14.2 Paywall placement</w:t>
      </w: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blHeader w:val="true"/>
        </w:trPr>
        <w:tc>
          <w:tcPr>
            <w:tcW w:type="dxa" w:w="468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7"/>
              </w:rPr>
              <w:t>Allowed</w:t>
            </w:r>
          </w:p>
        </w:tc>
        <w:tc>
          <w:tcPr>
            <w:tcW w:type="dxa" w:w="468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7"/>
              </w:rPr>
              <w:t>Prohibited</w:t>
            </w:r>
          </w:p>
        </w:tc>
      </w:tr>
      <w:tr>
        <w:trPr>
          <w:cantSplit/>
        </w:trPr>
        <w:tc>
          <w:tcPr>
            <w:tcW w:type="dxa" w:w="468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Before starting a new premium-only intent, after a completed decision, or from Account.</w:t>
            </w:r>
          </w:p>
        </w:tc>
        <w:tc>
          <w:tcPr>
            <w:tcW w:type="dxa" w:w="468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During requirement review, disclosure approval, supplier response, decision review, or final authorization.</w:t>
            </w:r>
          </w:p>
        </w:tc>
      </w:tr>
      <w:tr>
        <w:trPr>
          <w:cantSplit/>
        </w:trPr>
        <w:tc>
          <w:tcPr>
            <w:tcW w:type="dxa" w:w="4680"/>
            <w:shd w:fill="F5F7F8"/>
            <w:tcMar>
              <w:top w:w="90" w:type="dxa"/>
              <w:start w:w="120" w:type="dxa"/>
              <w:bottom w:w="90" w:type="dxa"/>
              <w:end w:w="120" w:type="dxa"/>
            </w:tcMar>
            <w:vAlign w:val="center"/>
          </w:tcPr>
          <w:p>
            <w:pPr>
              <w:spacing w:before="0" w:after="0" w:line="259" w:lineRule="auto"/>
              <w:jc w:val="left"/>
            </w:pPr>
            <w:r>
              <w:t>FUTURE PRODUCTIZATION — no current implementation authority. Requires a later Product Owner-approved ADR and work order. Current approved mobile surface is responsive web at 1440 / 1280 / 410 / 390 / 320 CSS pixels. apps/mobile remains a placeholder. If later approved, display Free and ReservEdge Pro (historical/internal label ITAA Pro) with restore. Not current work.</w:t>
            </w:r>
            <w:r>
              <w:rPr>
                <w:rFonts w:ascii="Aptos" w:hAnsi="Aptos"/>
                <w:b w:val="0"/>
                <w:i w:val="0"/>
                <w:color w:val="171B20"/>
                <w:sz w:val="17"/>
              </w:rPr>
            </w:r>
          </w:p>
        </w:tc>
        <w:tc>
          <w:tcPr>
            <w:tcW w:type="dxa" w:w="468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Preselecting a paid plan, hiding restore, fake urgency, or implying privacy requires payment.</w:t>
            </w:r>
          </w:p>
        </w:tc>
      </w:tr>
      <w:tr>
        <w:trPr>
          <w:cantSplit/>
        </w:trPr>
        <w:tc>
          <w:tcPr>
            <w:tcW w:type="dxa" w:w="468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Explain which future capability requires Pro.</w:t>
            </w:r>
          </w:p>
        </w:tc>
        <w:tc>
          <w:tcPr>
            <w:tcW w:type="dxa" w:w="468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Withholding an existing receipt, privacy controls, data export/deletion, or an active authorization.</w:t>
            </w:r>
          </w:p>
        </w:tc>
      </w:tr>
    </w:tbl>
    <w:p>
      <w:pPr>
        <w:spacing w:after="20"/>
      </w:pPr>
    </w:p>
    <w:p>
      <w:pPr>
        <w:pStyle w:val="Heading2"/>
        <w:keepNext/>
      </w:pPr>
      <w:r>
        <w:t>14.3 Store-readiness UX</w:t>
      </w:r>
    </w:p>
    <w:p>
      <w:pPr>
        <w:pStyle w:val="ListBullet"/>
        <w:spacing w:after="80" w:line="283" w:lineRule="auto"/>
      </w:pPr>
      <w:r>
        <w:rPr>
          <w:rFonts w:ascii="Aptos" w:hAnsi="Aptos"/>
          <w:b w:val="0"/>
          <w:i w:val="0"/>
          <w:color w:val="171B20"/>
          <w:sz w:val="21"/>
        </w:rPr>
        <w:t>Include restore purchases, subscription terms, privacy policy, account deletion, support, and entitlement refresh.</w:t>
      </w:r>
    </w:p>
    <w:p>
      <w:pPr>
        <w:pStyle w:val="ListBullet"/>
        <w:spacing w:after="80" w:line="283" w:lineRule="auto"/>
      </w:pPr>
      <w:r>
        <w:rPr>
          <w:rFonts w:ascii="Aptos" w:hAnsi="Aptos"/>
          <w:b w:val="0"/>
          <w:i w:val="0"/>
          <w:color w:val="171B20"/>
          <w:sz w:val="21"/>
        </w:rPr>
        <w:t>FUTURE PRODUCTIZATION — no current implementation authority. Requires a later Product Owner-approved ADR and work order. Current approved mobile surface is responsive web at 1440 / 1280 / 410 / 390 / 320 CSS pixels. apps/mobile remains a placeholder. Store screenshots, if later authorized, may show Share to ReservEdge, disclosure, decision, comparison, and simulated receipt without claiming a Booking.</w:t>
      </w:r>
    </w:p>
    <w:p>
      <w:pPr>
        <w:pStyle w:val="ListBullet"/>
        <w:spacing w:after="80" w:line="283" w:lineRule="auto"/>
      </w:pPr>
      <w:r>
        <w:rPr>
          <w:rFonts w:ascii="Aptos" w:hAnsi="Aptos"/>
          <w:b w:val="0"/>
          <w:i w:val="0"/>
          <w:color w:val="171B20"/>
          <w:sz w:val="21"/>
        </w:rPr>
        <w:t>Use stable demo fixtures and a demo-mode reset that does not expose hidden developer controls in production screenshots.</w:t>
      </w:r>
    </w:p>
    <w:p>
      <w:r>
        <w:br w:type="page"/>
      </w:r>
    </w:p>
    <w:p>
      <w:pPr>
        <w:pStyle w:val="Heading1"/>
        <w:keepNext/>
      </w:pPr>
      <w:r>
        <w:t>15. UX test strategy and acceptance</w:t>
      </w:r>
    </w:p>
    <w:p>
      <w:pPr>
        <w:pStyle w:val="Heading2"/>
        <w:keepNext/>
      </w:pPr>
      <w:r>
        <w:t>15.1 Test layers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cantSplit/>
          <w:tblHeader w:val="true"/>
        </w:trPr>
        <w:tc>
          <w:tcPr>
            <w:tcW w:type="dxa" w:w="190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7"/>
              </w:rPr>
              <w:t>Layer</w:t>
            </w:r>
          </w:p>
        </w:tc>
        <w:tc>
          <w:tcPr>
            <w:tcW w:type="dxa" w:w="746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7"/>
              </w:rPr>
              <w:t>Required coverage</w:t>
            </w:r>
          </w:p>
        </w:tc>
      </w:tr>
      <w:tr>
        <w:trPr>
          <w:cantSplit/>
        </w:trPr>
        <w:tc>
          <w:tcPr>
            <w:tcW w:type="dxa" w:w="19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Component</w:t>
            </w:r>
          </w:p>
        </w:tc>
        <w:tc>
          <w:tcPr>
            <w:tcW w:type="dxa" w:w="74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All variants, long copy, empty/loading/error, color independence, keyboard/touch, screen-reader names, simulation labels.</w:t>
            </w:r>
          </w:p>
        </w:tc>
      </w:tr>
      <w:tr>
        <w:trPr>
          <w:cantSplit/>
        </w:trPr>
        <w:tc>
          <w:tcPr>
            <w:tcW w:type="dxa" w:w="19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Contract</w:t>
            </w:r>
          </w:p>
        </w:tc>
        <w:tc>
          <w:tcPr>
            <w:tcW w:type="dxa" w:w="74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Generated types and view models match canonical API schemas; unknown enum states fail safely.</w:t>
            </w:r>
          </w:p>
        </w:tc>
      </w:tr>
      <w:tr>
        <w:trPr>
          <w:cantSplit/>
        </w:trPr>
        <w:tc>
          <w:tcPr>
            <w:tcW w:type="dxa" w:w="19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Visual regression</w:t>
            </w:r>
          </w:p>
        </w:tc>
        <w:tc>
          <w:tcPr>
            <w:tcW w:type="dxa" w:w="74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Mobile compact and large-text; desktop wide and 200 percent zoom; Gate 1, Decision Ready, comparison, Gate 2, receipt, changed terms.</w:t>
            </w:r>
          </w:p>
        </w:tc>
      </w:tr>
      <w:tr>
        <w:trPr>
          <w:cantSplit/>
        </w:trPr>
        <w:tc>
          <w:tcPr>
            <w:tcW w:type="dxa" w:w="19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End-to-end</w:t>
            </w:r>
          </w:p>
        </w:tc>
        <w:tc>
          <w:tcPr>
            <w:tcW w:type="dxa" w:w="7460"/>
            <w:shd w:fill="F5F7F8"/>
            <w:tcMar>
              <w:top w:w="90" w:type="dxa"/>
              <w:start w:w="120" w:type="dxa"/>
              <w:bottom w:w="90" w:type="dxa"/>
              <w:end w:w="120" w:type="dxa"/>
            </w:tcMar>
            <w:vAlign w:val="center"/>
          </w:tcPr>
          <w:p>
            <w:pPr>
              <w:spacing w:before="0" w:after="0" w:line="259" w:lineRule="auto"/>
              <w:jc w:val="left"/>
            </w:pPr>
            <w:r>
              <w:t>Golden path plus timeout, research failure, expiry, terms change, denial, offline, duplicate retry. RevenueCat restore/failure is future productization only.</w:t>
            </w:r>
            <w:r>
              <w:rPr>
                <w:rFonts w:ascii="Aptos" w:hAnsi="Aptos"/>
                <w:b w:val="0"/>
                <w:i w:val="0"/>
                <w:color w:val="171B20"/>
                <w:sz w:val="17"/>
              </w:rPr>
            </w:r>
          </w:p>
        </w:tc>
      </w:tr>
      <w:tr>
        <w:trPr>
          <w:cantSplit/>
        </w:trPr>
        <w:tc>
          <w:tcPr>
            <w:tcW w:type="dxa" w:w="19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Accessibility</w:t>
            </w:r>
          </w:p>
        </w:tc>
        <w:tc>
          <w:tcPr>
            <w:tcW w:type="dxa" w:w="74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Automated checks plus manual keyboard, VoiceOver/TalkBack, screen reader, contrast, reduced motion, dynamic text.</w:t>
            </w:r>
          </w:p>
        </w:tc>
      </w:tr>
      <w:tr>
        <w:trPr>
          <w:cantSplit/>
        </w:trPr>
        <w:tc>
          <w:tcPr>
            <w:tcW w:type="dxa" w:w="19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Usability</w:t>
            </w:r>
          </w:p>
        </w:tc>
        <w:tc>
          <w:tcPr>
            <w:tcW w:type="dxa" w:w="74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Two-gate comprehension, disclosure recall, recommendation understanding, simulation recognition, deletion semantics.</w:t>
            </w:r>
          </w:p>
        </w:tc>
      </w:tr>
      <w:tr>
        <w:trPr>
          <w:cantSplit/>
        </w:trPr>
        <w:tc>
          <w:tcPr>
            <w:tcW w:type="dxa" w:w="19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Security/privacy</w:t>
            </w:r>
          </w:p>
        </w:tc>
        <w:tc>
          <w:tcPr>
            <w:tcW w:type="dxa" w:w="74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No raw context in analytics/logs; approval/version enforcement; cross-supplier denial; URL/push redaction; screenshots do not expose secrets.</w:t>
            </w:r>
          </w:p>
        </w:tc>
      </w:tr>
    </w:tbl>
    <w:p>
      <w:pPr>
        <w:spacing w:after="20"/>
      </w:pPr>
    </w:p>
    <w:p>
      <w:pPr>
        <w:pStyle w:val="Heading2"/>
        <w:keepNext/>
      </w:pPr>
      <w:r>
        <w:t>15.2 Golden-path acceptance criteria</w:t>
      </w:r>
    </w:p>
    <w:tbl>
      <w:tblPr>
        <w:tblStyle w:val="TableGrid"/>
        <w:tblW w:type="dxa" w:w="9360"/>
        <w:jc w:val="left"/>
        <w:tblLayout w:type="fixed"/>
        <w:tblLook w:firstColumn="1" w:firstRow="1" w:lastColumn="0" w:lastRow="0" w:noHBand="0" w:noVBand="1" w:val="04A0"/>
        <w:tblInd w:w="120" w:type="dxa"/>
      </w:tblPr>
      <w:tblGrid>
        <w:gridCol w:w="1200"/>
        <w:gridCol w:w="8160"/>
      </w:tblGrid>
      <w:tr>
        <w:trPr>
          <w:cantSplit/>
          <w:tblHeader w:val="true"/>
        </w:trPr>
        <w:tc>
          <w:tcPr>
            <w:tcW w:type="dxa" w:w="120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7"/>
              </w:rPr>
              <w:t>ID</w:t>
            </w:r>
          </w:p>
        </w:tc>
        <w:tc>
          <w:tcPr>
            <w:tcW w:type="dxa" w:w="816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7"/>
              </w:rPr>
              <w:t>Acceptance criterion</w:t>
            </w:r>
          </w:p>
        </w:tc>
      </w:tr>
      <w:tr>
        <w:trPr>
          <w:cantSplit/>
        </w:trPr>
        <w:tc>
          <w:tcPr>
            <w:tcW w:type="dxa" w:w="12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UX-AC-01</w:t>
            </w:r>
          </w:p>
        </w:tc>
        <w:tc>
          <w:tcPr>
            <w:tcW w:type="dxa" w:w="8160"/>
            <w:tcMar>
              <w:top w:w="90" w:type="dxa"/>
              <w:start w:w="120" w:type="dxa"/>
              <w:bottom w:w="90" w:type="dxa"/>
              <w:end w:w="120" w:type="dxa"/>
            </w:tcMar>
            <w:vAlign w:val="center"/>
          </w:tcPr>
          <w:p>
            <w:pPr>
              <w:spacing w:before="0" w:after="0" w:line="259" w:lineRule="auto"/>
              <w:jc w:val="left"/>
            </w:pPr>
            <w:r>
              <w:t>A user can create a JFK parking Intent from objective-first entry or a parking shortcut. Share to ReservEdge is future G3 UX only (historical/internal label Share-to-ITAA).</w:t>
            </w:r>
            <w:r>
              <w:rPr>
                <w:rFonts w:ascii="Aptos" w:hAnsi="Aptos"/>
                <w:b w:val="0"/>
                <w:i w:val="0"/>
                <w:color w:val="171B20"/>
                <w:sz w:val="17"/>
              </w:rPr>
            </w:r>
          </w:p>
        </w:tc>
      </w:tr>
      <w:tr>
        <w:trPr>
          <w:cantSplit/>
        </w:trPr>
        <w:tc>
          <w:tcPr>
            <w:tcW w:type="dxa" w:w="12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UX-AC-02</w:t>
            </w:r>
          </w:p>
        </w:tc>
        <w:tc>
          <w:tcPr>
            <w:tcW w:type="dxa" w:w="81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At least one low-confidence field can be corrected or explicitly excluded before requirement confirmation.</w:t>
            </w:r>
          </w:p>
        </w:tc>
      </w:tr>
      <w:tr>
        <w:trPr>
          <w:cantSplit/>
        </w:trPr>
        <w:tc>
          <w:tcPr>
            <w:tcW w:type="dxa" w:w="12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UX-AC-03</w:t>
            </w:r>
          </w:p>
        </w:tc>
        <w:tc>
          <w:tcPr>
            <w:tcW w:type="dxa" w:w="81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Research progress shows concrete tasks, public provenance, partial/failure handling, and 'nothing sent to suppliers' status.</w:t>
            </w:r>
          </w:p>
        </w:tc>
      </w:tr>
      <w:tr>
        <w:trPr>
          <w:cantSplit/>
        </w:trPr>
        <w:tc>
          <w:tcPr>
            <w:tcW w:type="dxa" w:w="12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UX-AC-04</w:t>
            </w:r>
          </w:p>
        </w:tc>
        <w:tc>
          <w:tcPr>
            <w:tcW w:type="dxa" w:w="8160"/>
            <w:shd w:fill="F5F7F8"/>
            <w:tcMar>
              <w:top w:w="90" w:type="dxa"/>
              <w:start w:w="120" w:type="dxa"/>
              <w:bottom w:w="90" w:type="dxa"/>
              <w:end w:w="120" w:type="dxa"/>
            </w:tcMar>
            <w:vAlign w:val="center"/>
          </w:tcPr>
          <w:p>
            <w:pPr>
              <w:spacing w:before="0" w:after="0" w:line="259" w:lineRule="auto"/>
              <w:jc w:val="left"/>
            </w:pPr>
            <w:r>
              <w:t>Gate 1 shows exact sent/withheld requirement-field categories and purpose; identity, raw source, exact itinerary, payment, and precise budget are withheld. Preferences never appear and are never A2 candidates.</w:t>
            </w:r>
            <w:r>
              <w:rPr>
                <w:rFonts w:ascii="Aptos" w:hAnsi="Aptos"/>
                <w:b w:val="0"/>
                <w:i w:val="0"/>
                <w:color w:val="171B20"/>
                <w:sz w:val="17"/>
              </w:rPr>
            </w:r>
          </w:p>
        </w:tc>
      </w:tr>
      <w:tr>
        <w:trPr>
          <w:cantSplit/>
        </w:trPr>
        <w:tc>
          <w:tcPr>
            <w:tcW w:type="dxa" w:w="12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UX-AC-05</w:t>
            </w:r>
          </w:p>
        </w:tc>
        <w:tc>
          <w:tcPr>
            <w:tcW w:type="dxa" w:w="81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Changing a material requirement or recipient scope invalidates the disclosure approval and requires a fresh preview.</w:t>
            </w:r>
          </w:p>
        </w:tc>
      </w:tr>
      <w:tr>
        <w:trPr>
          <w:cantSplit/>
        </w:trPr>
        <w:tc>
          <w:tcPr>
            <w:tcW w:type="dxa" w:w="12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UX-AC-06</w:t>
            </w:r>
          </w:p>
        </w:tc>
        <w:tc>
          <w:tcPr>
            <w:tcW w:type="dxa" w:w="81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Three supplier simulations execute in isolated contexts; the buyer can see supplier identity, while suppliers cannot see one another or competitor offers.</w:t>
            </w:r>
          </w:p>
        </w:tc>
      </w:tr>
      <w:tr>
        <w:trPr>
          <w:cantSplit/>
        </w:trPr>
        <w:tc>
          <w:tcPr>
            <w:tcW w:type="dxa" w:w="12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UX-AC-07</w:t>
            </w:r>
          </w:p>
        </w:tc>
        <w:tc>
          <w:tcPr>
            <w:tcW w:type="dxa" w:w="8160"/>
            <w:tcMar>
              <w:top w:w="90" w:type="dxa"/>
              <w:start w:w="120" w:type="dxa"/>
              <w:bottom w:w="90" w:type="dxa"/>
              <w:end w:w="120" w:type="dxa"/>
            </w:tcMar>
            <w:vAlign w:val="center"/>
          </w:tcPr>
          <w:p>
            <w:pPr>
              <w:spacing w:before="0" w:after="0" w:line="259" w:lineRule="auto"/>
              <w:jc w:val="left"/>
            </w:pPr>
            <w:r>
              <w:t>Decision Ready presents one recommendation, all-in total, reasons, downside, local preference influence, validity, inventory (not_held in simulation), transaction result, and alternatives without a numeric score. Combined recommendations appear on the Intent Plan when ≥2 tasks are offer-ready.</w:t>
            </w:r>
            <w:r>
              <w:rPr>
                <w:rFonts w:ascii="Aptos" w:hAnsi="Aptos"/>
                <w:b w:val="0"/>
                <w:i w:val="0"/>
                <w:color w:val="171B20"/>
                <w:sz w:val="17"/>
              </w:rPr>
            </w:r>
          </w:p>
        </w:tc>
      </w:tr>
      <w:tr>
        <w:trPr>
          <w:cantSplit/>
        </w:trPr>
        <w:tc>
          <w:tcPr>
            <w:tcW w:type="dxa" w:w="12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UX-AC-08</w:t>
            </w:r>
          </w:p>
        </w:tc>
        <w:tc>
          <w:tcPr>
            <w:tcW w:type="dxa" w:w="81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Comparison includes all locked dimensions, distinguishes No from Not provided, and remains operable on mobile and web.</w:t>
            </w:r>
          </w:p>
        </w:tc>
      </w:tr>
      <w:tr>
        <w:trPr>
          <w:cantSplit/>
        </w:trPr>
        <w:tc>
          <w:tcPr>
            <w:tcW w:type="dxa" w:w="12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UX-AC-09</w:t>
            </w:r>
          </w:p>
        </w:tc>
        <w:tc>
          <w:tcPr>
            <w:tcW w:type="dxa" w:w="81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Offer selection does not authorize an action; Gate 2 separately shows exact supplier, action, total, and terms.</w:t>
            </w:r>
          </w:p>
        </w:tc>
      </w:tr>
      <w:tr>
        <w:trPr>
          <w:cantSplit/>
        </w:trPr>
        <w:tc>
          <w:tcPr>
            <w:tcW w:type="dxa" w:w="12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UX-AC-10</w:t>
            </w:r>
          </w:p>
        </w:tc>
        <w:tc>
          <w:tcPr>
            <w:tcW w:type="dxa" w:w="81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A one-cent or material-term change invalidates Gate 2, shows a before/after diff, and requires fresh authorization.</w:t>
            </w:r>
          </w:p>
        </w:tc>
      </w:tr>
      <w:tr>
        <w:trPr>
          <w:cantSplit/>
        </w:trPr>
        <w:tc>
          <w:tcPr>
            <w:tcW w:type="dxa" w:w="12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UX-AC-11</w:t>
            </w:r>
          </w:p>
        </w:tc>
        <w:tc>
          <w:tcPr>
            <w:tcW w:type="dxa" w:w="8160"/>
            <w:tcMar>
              <w:top w:w="90" w:type="dxa"/>
              <w:start w:w="120" w:type="dxa"/>
              <w:bottom w:w="90" w:type="dxa"/>
              <w:end w:w="120" w:type="dxa"/>
            </w:tcMar>
            <w:vAlign w:val="center"/>
          </w:tcPr>
          <w:p>
            <w:pPr>
              <w:spacing w:before="0" w:after="0" w:line="259" w:lineRule="auto"/>
              <w:jc w:val="left"/>
            </w:pPr>
            <w:r>
              <w:t>Successful MVP A4 creates an unmistakably simulated receipt. A4 is not a Booking. Simulation inventory remains not_held. No real charge or reservation.</w:t>
            </w:r>
            <w:r>
              <w:rPr>
                <w:rFonts w:ascii="Aptos" w:hAnsi="Aptos"/>
                <w:b w:val="0"/>
                <w:i w:val="0"/>
                <w:color w:val="171B20"/>
                <w:sz w:val="17"/>
              </w:rPr>
            </w:r>
          </w:p>
        </w:tc>
      </w:tr>
      <w:tr>
        <w:trPr>
          <w:cantSplit/>
        </w:trPr>
        <w:tc>
          <w:tcPr>
            <w:tcW w:type="dxa" w:w="12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UX-AC-12</w:t>
            </w:r>
          </w:p>
        </w:tc>
        <w:tc>
          <w:tcPr>
            <w:tcW w:type="dxa" w:w="81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Every consequential state appears in Activity with a redaction-safe authoritative audit event.</w:t>
            </w:r>
          </w:p>
        </w:tc>
      </w:tr>
      <w:tr>
        <w:trPr>
          <w:cantSplit/>
        </w:trPr>
        <w:tc>
          <w:tcPr>
            <w:tcW w:type="dxa" w:w="12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UX-AC-13</w:t>
            </w:r>
          </w:p>
        </w:tc>
        <w:tc>
          <w:tcPr>
            <w:tcW w:type="dxa" w:w="81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Both gates can be completed without a drag/hold gesture and remain usable by keyboard and screen reader.</w:t>
            </w:r>
          </w:p>
        </w:tc>
      </w:tr>
      <w:tr>
        <w:trPr>
          <w:cantSplit/>
        </w:trPr>
        <w:tc>
          <w:tcPr>
            <w:tcW w:type="dxa" w:w="12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UX-AC-14</w:t>
            </w:r>
          </w:p>
        </w:tc>
        <w:tc>
          <w:tcPr>
            <w:tcW w:type="dxa" w:w="81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Offline mode disables both approvals and never queues them.</w:t>
            </w:r>
          </w:p>
        </w:tc>
      </w:tr>
      <w:tr>
        <w:trPr>
          <w:cantSplit/>
        </w:trPr>
        <w:tc>
          <w:tcPr>
            <w:tcW w:type="dxa" w:w="12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UX-AC-15</w:t>
            </w:r>
          </w:p>
        </w:tc>
        <w:tc>
          <w:tcPr>
            <w:tcW w:type="dxa" w:w="8160"/>
            <w:tcMar>
              <w:top w:w="90" w:type="dxa"/>
              <w:start w:w="120" w:type="dxa"/>
              <w:bottom w:w="90" w:type="dxa"/>
              <w:end w:w="120" w:type="dxa"/>
            </w:tcMar>
            <w:vAlign w:val="center"/>
          </w:tcPr>
          <w:p>
            <w:pPr>
              <w:spacing w:before="0" w:after="0" w:line="259" w:lineRule="auto"/>
              <w:jc w:val="left"/>
            </w:pPr>
            <w:r>
              <w:t>Current: no paywall interrupts an active Intent. RevenueCat pricing/restore is future productization only and has no current implementation authority.</w:t>
            </w:r>
            <w:r>
              <w:rPr>
                <w:rFonts w:ascii="Aptos" w:hAnsi="Aptos"/>
                <w:b w:val="0"/>
                <w:i w:val="0"/>
                <w:color w:val="171B20"/>
                <w:sz w:val="17"/>
              </w:rPr>
            </w:r>
          </w:p>
        </w:tc>
      </w:tr>
    </w:tbl>
    <w:p>
      <w:pPr>
        <w:spacing w:after="20"/>
      </w:pPr>
    </w:p>
    <w:p>
      <w:pPr>
        <w:pStyle w:val="Heading2"/>
        <w:keepNext/>
      </w:pPr>
      <w:r>
        <w:t>15.3 Usability-test questions</w:t>
      </w:r>
    </w:p>
    <w:p>
      <w:pPr>
        <w:numPr>
          <w:ilvl w:val="0"/>
          <w:numId w:val="13"/>
        </w:numPr>
        <w:spacing w:after="80" w:line="283" w:lineRule="auto"/>
      </w:pPr>
      <w:r>
        <w:rPr>
          <w:rFonts w:ascii="Aptos" w:hAnsi="Aptos"/>
          <w:b w:val="0"/>
          <w:i w:val="0"/>
          <w:color w:val="171B20"/>
          <w:sz w:val="21"/>
        </w:rPr>
        <w:t>What requirement fields did suppliers receive, and which requirement fields did ReservEdge keep private? (Preferences are never disclosed.)</w:t>
      </w:r>
    </w:p>
    <w:p>
      <w:pPr>
        <w:numPr>
          <w:ilvl w:val="0"/>
          <w:numId w:val="13"/>
        </w:numPr>
        <w:spacing w:after="80" w:line="283" w:lineRule="auto"/>
      </w:pPr>
      <w:r>
        <w:rPr>
          <w:rFonts w:ascii="Aptos" w:hAnsi="Aptos"/>
          <w:b w:val="0"/>
          <w:i w:val="0"/>
          <w:color w:val="171B20"/>
          <w:sz w:val="21"/>
        </w:rPr>
        <w:t>What did the first authorization allow? Did it buy anything?</w:t>
      </w:r>
    </w:p>
    <w:p>
      <w:pPr>
        <w:numPr>
          <w:ilvl w:val="0"/>
          <w:numId w:val="13"/>
        </w:numPr>
        <w:spacing w:after="80" w:line="283" w:lineRule="auto"/>
      </w:pPr>
      <w:r>
        <w:rPr>
          <w:rFonts w:ascii="Aptos" w:hAnsi="Aptos"/>
          <w:b w:val="0"/>
          <w:i w:val="0"/>
          <w:color w:val="171B20"/>
          <w:sz w:val="21"/>
        </w:rPr>
        <w:t>Why did ReservEdge recommend this offer, and what is its main downside?</w:t>
      </w:r>
    </w:p>
    <w:p>
      <w:pPr>
        <w:numPr>
          <w:ilvl w:val="0"/>
          <w:numId w:val="13"/>
        </w:numPr>
        <w:spacing w:after="80" w:line="283" w:lineRule="auto"/>
      </w:pPr>
      <w:r>
        <w:rPr>
          <w:rFonts w:ascii="Aptos" w:hAnsi="Aptos"/>
          <w:b w:val="0"/>
          <w:i w:val="0"/>
          <w:color w:val="171B20"/>
          <w:sz w:val="21"/>
        </w:rPr>
        <w:t>What will happen if you authorize on the final screen?</w:t>
      </w:r>
    </w:p>
    <w:p>
      <w:pPr>
        <w:numPr>
          <w:ilvl w:val="0"/>
          <w:numId w:val="13"/>
        </w:numPr>
        <w:spacing w:after="80" w:line="283" w:lineRule="auto"/>
      </w:pPr>
      <w:r>
        <w:rPr>
          <w:rFonts w:ascii="Aptos" w:hAnsi="Aptos"/>
          <w:b w:val="0"/>
          <w:i w:val="0"/>
          <w:color w:val="171B20"/>
          <w:sz w:val="21"/>
        </w:rPr>
        <w:t>Was a real booking or payment created? How do you know?</w:t>
      </w:r>
    </w:p>
    <w:p>
      <w:pPr>
        <w:numPr>
          <w:ilvl w:val="0"/>
          <w:numId w:val="13"/>
        </w:numPr>
        <w:spacing w:after="80" w:line="283" w:lineRule="auto"/>
      </w:pPr>
      <w:r>
        <w:rPr>
          <w:rFonts w:ascii="Aptos" w:hAnsi="Aptos"/>
          <w:b w:val="0"/>
          <w:i w:val="0"/>
          <w:color w:val="171B20"/>
          <w:sz w:val="21"/>
        </w:rPr>
        <w:t>If you stop future use or request deletion, what happens to information already disclosed?</w:t>
      </w:r>
    </w:p>
    <w:p>
      <w:pPr>
        <w:pStyle w:val="Heading1"/>
        <w:keepNext/>
      </w:pPr>
      <w:r>
        <w:t>16. Delivery and implementation sequence</w:t>
      </w:r>
    </w:p>
    <w:tbl>
      <w:tblPr>
        <w:tblStyle w:val="TableGrid"/>
        <w:tblW w:type="dxa" w:w="9360"/>
        <w:jc w:val="left"/>
        <w:tblLayout w:type="fixed"/>
        <w:tblLook w:firstColumn="1" w:firstRow="1" w:lastColumn="0" w:lastRow="0" w:noHBand="0" w:noVBand="1" w:val="04A0"/>
        <w:tblInd w:w="120" w:type="dxa"/>
      </w:tblPr>
      <w:tblGrid>
        <w:gridCol w:w="1400"/>
        <w:gridCol w:w="1100"/>
        <w:gridCol w:w="4560"/>
        <w:gridCol w:w="2300"/>
      </w:tblGrid>
      <w:tr>
        <w:trPr>
          <w:cantSplit/>
          <w:tblHeader w:val="true"/>
        </w:trPr>
        <w:tc>
          <w:tcPr>
            <w:tcW w:type="dxa" w:w="140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6"/>
              </w:rPr>
              <w:t>Gate</w:t>
            </w:r>
          </w:p>
        </w:tc>
        <w:tc>
          <w:tcPr>
            <w:tcW w:type="dxa" w:w="110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6"/>
              </w:rPr>
              <w:t>Date</w:t>
            </w:r>
          </w:p>
        </w:tc>
        <w:tc>
          <w:tcPr>
            <w:tcW w:type="dxa" w:w="456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6"/>
              </w:rPr>
              <w:t>UI/UX must ship</w:t>
            </w:r>
          </w:p>
        </w:tc>
        <w:tc>
          <w:tcPr>
            <w:tcW w:type="dxa" w:w="230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6"/>
              </w:rPr>
              <w:t>Deferred safely</w:t>
            </w:r>
          </w:p>
        </w:tc>
      </w:tr>
      <w:tr>
        <w:trPr>
          <w:cantSplit/>
        </w:trPr>
        <w:tc>
          <w:tcPr>
            <w:tcW w:type="dxa" w:w="14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G1 - Google</w:t>
            </w:r>
          </w:p>
        </w:tc>
        <w:tc>
          <w:tcPr>
            <w:tcW w:type="dxa" w:w="11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Aug 31</w:t>
            </w:r>
          </w:p>
        </w:tc>
        <w:tc>
          <w:tcPr>
            <w:tcW w:type="dxa" w:w="45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Responsive golden path UX-01, 03-11; direct entry; core UX-16; tokens/components; simulation; Google adapter demo</w:t>
            </w:r>
          </w:p>
        </w:tc>
        <w:tc>
          <w:tcPr>
            <w:tcW w:type="dxa" w:w="2300"/>
            <w:tcMar>
              <w:top w:w="90" w:type="dxa"/>
              <w:start w:w="120" w:type="dxa"/>
              <w:bottom w:w="90" w:type="dxa"/>
              <w:end w:w="120" w:type="dxa"/>
            </w:tcMar>
            <w:vAlign w:val="center"/>
          </w:tcPr>
          <w:p>
            <w:pPr>
              <w:spacing w:before="0" w:after="0" w:line="259" w:lineRule="auto"/>
              <w:jc w:val="left"/>
            </w:pPr>
            <w:r>
              <w:t>Native share extension, paywall polish, and store clients remain future productization; not current G1 work</w:t>
            </w:r>
            <w:r>
              <w:rPr>
                <w:rFonts w:ascii="Aptos" w:hAnsi="Aptos"/>
                <w:b w:val="0"/>
                <w:i w:val="0"/>
                <w:color w:val="171B20"/>
                <w:sz w:val="16"/>
              </w:rPr>
            </w:r>
          </w:p>
        </w:tc>
      </w:tr>
      <w:tr>
        <w:trPr>
          <w:cantSplit/>
        </w:trPr>
        <w:tc>
          <w:tcPr>
            <w:tcW w:type="dxa" w:w="14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G2 - AWS</w:t>
            </w:r>
          </w:p>
        </w:tc>
        <w:tc>
          <w:tcPr>
            <w:tcW w:type="dxa" w:w="11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Sep 14</w:t>
            </w:r>
          </w:p>
        </w:tc>
        <w:tc>
          <w:tcPr>
            <w:tcW w:type="dxa" w:w="45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Same core experience on AWS adapter; Activity; contextual privacy; preference read-only; fuller recovery; five-minute demo</w:t>
            </w:r>
          </w:p>
        </w:tc>
        <w:tc>
          <w:tcPr>
            <w:tcW w:type="dxa" w:w="23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Advanced deletion integrations, custom icon set, annual plan</w:t>
            </w:r>
          </w:p>
        </w:tc>
      </w:tr>
      <w:tr>
        <w:trPr>
          <w:cantSplit/>
        </w:trPr>
        <w:tc>
          <w:tcPr>
            <w:tcW w:type="dxa" w:w="14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G3 - RevenueCat</w:t>
            </w:r>
          </w:p>
        </w:tc>
        <w:tc>
          <w:tcPr>
            <w:tcW w:type="dxa" w:w="11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Sep 30</w:t>
            </w:r>
          </w:p>
        </w:tc>
        <w:tc>
          <w:tcPr>
            <w:tcW w:type="dxa" w:w="4560"/>
            <w:tcMar>
              <w:top w:w="90" w:type="dxa"/>
              <w:start w:w="120" w:type="dxa"/>
              <w:bottom w:w="90" w:type="dxa"/>
              <w:end w:w="120" w:type="dxa"/>
            </w:tcMar>
            <w:vAlign w:val="center"/>
          </w:tcPr>
          <w:p>
            <w:pPr>
              <w:spacing w:before="0" w:after="0" w:line="259" w:lineRule="auto"/>
              <w:jc w:val="left"/>
            </w:pPr>
            <w:r>
              <w:t>FUTURE PRODUCTIZATION — no current implementation authority. Requires a later Product Owner-approved ADR and work order. Current approved mobile surface is responsive web at 1440 / 1280 / 410 / 390 / 320 CSS pixels. apps/mobile remains a placeholder. Historical G3 row only: public store app, native Share to ReservEdge, RevenueCat. Not current acceptance.</w:t>
            </w:r>
            <w:r>
              <w:rPr>
                <w:rFonts w:ascii="Aptos" w:hAnsi="Aptos"/>
                <w:b w:val="0"/>
                <w:i w:val="0"/>
                <w:color w:val="171B20"/>
                <w:sz w:val="16"/>
              </w:rPr>
            </w:r>
          </w:p>
        </w:tc>
        <w:tc>
          <w:tcPr>
            <w:tcW w:type="dxa" w:w="23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Real supplier/payment integrations, Phase 2 demand aggregation</w:t>
            </w:r>
          </w:p>
        </w:tc>
      </w:tr>
    </w:tbl>
    <w:p>
      <w:pPr>
        <w:spacing w:after="20"/>
      </w:pPr>
    </w:p>
    <w:p>
      <w:pPr>
        <w:pStyle w:val="Heading2"/>
        <w:keepNext/>
      </w:pPr>
      <w:r>
        <w:t>16.1 Cursor work-package sequence</w:t>
      </w:r>
    </w:p>
    <w:tbl>
      <w:tblPr>
        <w:tblStyle w:val="TableGrid"/>
        <w:tblW w:type="dxa" w:w="9360"/>
        <w:jc w:val="left"/>
        <w:tblLayout w:type="fixed"/>
        <w:tblLook w:firstColumn="1" w:firstRow="1" w:lastColumn="0" w:lastRow="0" w:noHBand="0" w:noVBand="1" w:val="04A0"/>
        <w:tblInd w:w="120" w:type="dxa"/>
      </w:tblPr>
      <w:tblGrid>
        <w:gridCol w:w="1200"/>
        <w:gridCol w:w="2100"/>
        <w:gridCol w:w="6060"/>
      </w:tblGrid>
      <w:tr>
        <w:trPr>
          <w:cantSplit/>
          <w:tblHeader w:val="true"/>
        </w:trPr>
        <w:tc>
          <w:tcPr>
            <w:tcW w:type="dxa" w:w="120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7"/>
              </w:rPr>
              <w:t>Package</w:t>
            </w:r>
          </w:p>
        </w:tc>
        <w:tc>
          <w:tcPr>
            <w:tcW w:type="dxa" w:w="210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7"/>
              </w:rPr>
              <w:t>Name</w:t>
            </w:r>
          </w:p>
        </w:tc>
        <w:tc>
          <w:tcPr>
            <w:tcW w:type="dxa" w:w="606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7"/>
              </w:rPr>
              <w:t>Outcome</w:t>
            </w:r>
          </w:p>
        </w:tc>
      </w:tr>
      <w:tr>
        <w:trPr>
          <w:cantSplit/>
        </w:trPr>
        <w:tc>
          <w:tcPr>
            <w:tcW w:type="dxa" w:w="12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UI-00</w:t>
            </w:r>
          </w:p>
        </w:tc>
        <w:tc>
          <w:tcPr>
            <w:tcW w:type="dxa" w:w="21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Foundations</w:t>
            </w:r>
          </w:p>
        </w:tc>
        <w:tc>
          <w:tcPr>
            <w:tcW w:type="dxa" w:w="60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Tokens, type, spacing, semantic colors, accessibility helpers, simulation banner, test harness</w:t>
            </w:r>
          </w:p>
        </w:tc>
      </w:tr>
      <w:tr>
        <w:trPr>
          <w:cantSplit/>
        </w:trPr>
        <w:tc>
          <w:tcPr>
            <w:tcW w:type="dxa" w:w="12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UI-01</w:t>
            </w:r>
          </w:p>
        </w:tc>
        <w:tc>
          <w:tcPr>
            <w:tcW w:type="dxa" w:w="21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Intent shell</w:t>
            </w:r>
          </w:p>
        </w:tc>
        <w:tc>
          <w:tcPr>
            <w:tcW w:type="dxa" w:w="60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Navigation, Inbox, IntentCard, routing/deep-link skeleton</w:t>
            </w:r>
          </w:p>
        </w:tc>
      </w:tr>
      <w:tr>
        <w:trPr>
          <w:cantSplit/>
        </w:trPr>
        <w:tc>
          <w:tcPr>
            <w:tcW w:type="dxa" w:w="12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UI-02</w:t>
            </w:r>
          </w:p>
        </w:tc>
        <w:tc>
          <w:tcPr>
            <w:tcW w:type="dxa" w:w="21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Requirement and research</w:t>
            </w:r>
          </w:p>
        </w:tc>
        <w:tc>
          <w:tcPr>
            <w:tcW w:type="dxa" w:w="60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UX-03/04, FieldRow, confidence/evidence, provenance</w:t>
            </w:r>
          </w:p>
        </w:tc>
      </w:tr>
      <w:tr>
        <w:trPr>
          <w:cantSplit/>
        </w:trPr>
        <w:tc>
          <w:tcPr>
            <w:tcW w:type="dxa" w:w="12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UI-03</w:t>
            </w:r>
          </w:p>
        </w:tc>
        <w:tc>
          <w:tcPr>
            <w:tcW w:type="dxa" w:w="21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Disclosure spine</w:t>
            </w:r>
          </w:p>
        </w:tc>
        <w:tc>
          <w:tcPr>
            <w:tcW w:type="dxa" w:w="60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UX-05, DisclosureGroup/Row, Gate 1 confirmation, invalidation</w:t>
            </w:r>
          </w:p>
        </w:tc>
      </w:tr>
      <w:tr>
        <w:trPr>
          <w:cantSplit/>
        </w:trPr>
        <w:tc>
          <w:tcPr>
            <w:tcW w:type="dxa" w:w="12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UI-04</w:t>
            </w:r>
          </w:p>
        </w:tc>
        <w:tc>
          <w:tcPr>
            <w:tcW w:type="dxa" w:w="21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Supplier progress</w:t>
            </w:r>
          </w:p>
        </w:tc>
        <w:tc>
          <w:tcPr>
            <w:tcW w:type="dxa" w:w="60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UX-06, partial/timeouts/declines, isolation copy</w:t>
            </w:r>
          </w:p>
        </w:tc>
      </w:tr>
      <w:tr>
        <w:trPr>
          <w:cantSplit/>
        </w:trPr>
        <w:tc>
          <w:tcPr>
            <w:tcW w:type="dxa" w:w="12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UI-05</w:t>
            </w:r>
          </w:p>
        </w:tc>
        <w:tc>
          <w:tcPr>
            <w:tcW w:type="dxa" w:w="21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Decision</w:t>
            </w:r>
          </w:p>
        </w:tc>
        <w:tc>
          <w:tcPr>
            <w:tcW w:type="dxa" w:w="60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UX-07/08/09, recommendation, comparison, selection</w:t>
            </w:r>
          </w:p>
        </w:tc>
      </w:tr>
      <w:tr>
        <w:trPr>
          <w:cantSplit/>
        </w:trPr>
        <w:tc>
          <w:tcPr>
            <w:tcW w:type="dxa" w:w="12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UI-06</w:t>
            </w:r>
          </w:p>
        </w:tc>
        <w:tc>
          <w:tcPr>
            <w:tcW w:type="dxa" w:w="21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Authorization</w:t>
            </w:r>
          </w:p>
        </w:tc>
        <w:tc>
          <w:tcPr>
            <w:tcW w:type="dxa" w:w="60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UX-10/11, Gate 2, changed-terms diff, idempotent receipt</w:t>
            </w:r>
          </w:p>
        </w:tc>
      </w:tr>
      <w:tr>
        <w:trPr>
          <w:cantSplit/>
        </w:trPr>
        <w:tc>
          <w:tcPr>
            <w:tcW w:type="dxa" w:w="12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UI-07</w:t>
            </w:r>
          </w:p>
        </w:tc>
        <w:tc>
          <w:tcPr>
            <w:tcW w:type="dxa" w:w="21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Audit/privacy/preferences</w:t>
            </w:r>
          </w:p>
        </w:tc>
        <w:tc>
          <w:tcPr>
            <w:tcW w:type="dxa" w:w="60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UX-12/13/14, contextual privacy, Activity</w:t>
            </w:r>
          </w:p>
        </w:tc>
      </w:tr>
      <w:tr>
        <w:trPr>
          <w:cantSplit/>
        </w:trPr>
        <w:tc>
          <w:tcPr>
            <w:tcW w:type="dxa" w:w="12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UI-08</w:t>
            </w:r>
          </w:p>
        </w:tc>
        <w:tc>
          <w:tcPr>
            <w:tcW w:type="dxa" w:w="21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Mobile product</w:t>
            </w:r>
          </w:p>
        </w:tc>
        <w:tc>
          <w:tcPr>
            <w:tcW w:type="dxa" w:w="6060"/>
            <w:tcMar>
              <w:top w:w="90" w:type="dxa"/>
              <w:start w:w="120" w:type="dxa"/>
              <w:bottom w:w="90" w:type="dxa"/>
              <w:end w:w="120" w:type="dxa"/>
            </w:tcMar>
            <w:vAlign w:val="center"/>
          </w:tcPr>
          <w:p>
            <w:pPr>
              <w:spacing w:before="0" w:after="0" w:line="259" w:lineRule="auto"/>
              <w:jc w:val="left"/>
            </w:pPr>
            <w:r>
              <w:t>FUTURE PRODUCTIZATION — no current implementation authority. Requires a later Product Owner-approved ADR and work order. Current approved mobile surface is responsive web at 1440 / 1280 / 410 / 390 / 320 CSS pixels. apps/mobile remains a placeholder. Historical UI-08 only: native UX-00/02, push/deep links, RevenueCat, store readiness. Current mobile = responsive web.</w:t>
            </w:r>
            <w:r>
              <w:rPr>
                <w:rFonts w:ascii="Aptos" w:hAnsi="Aptos"/>
                <w:b w:val="0"/>
                <w:i w:val="0"/>
                <w:color w:val="171B20"/>
                <w:sz w:val="17"/>
              </w:rPr>
            </w:r>
          </w:p>
        </w:tc>
      </w:tr>
      <w:tr>
        <w:trPr>
          <w:cantSplit/>
        </w:trPr>
        <w:tc>
          <w:tcPr>
            <w:tcW w:type="dxa" w:w="12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UI-09</w:t>
            </w:r>
          </w:p>
        </w:tc>
        <w:tc>
          <w:tcPr>
            <w:tcW w:type="dxa" w:w="21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Hardening</w:t>
            </w:r>
          </w:p>
        </w:tc>
        <w:tc>
          <w:tcPr>
            <w:tcW w:type="dxa" w:w="60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7"/>
              </w:rPr>
              <w:t>All UX-16 states, a11y/manual tests, visual regression, demo reset and evidence</w:t>
            </w:r>
          </w:p>
        </w:tc>
      </w:tr>
    </w:tbl>
    <w:p>
      <w:pPr>
        <w:spacing w:after="20"/>
      </w:pPr>
    </w:p>
    <w:p>
      <w:pPr>
        <w:pStyle w:val="Heading2"/>
        <w:keepNext/>
      </w:pPr>
      <w:r>
        <w:t>16.2 Mandatory cut rules</w:t>
      </w:r>
    </w:p>
    <w:p>
      <w:pPr>
        <w:spacing w:before="0" w:after="120" w:line="300" w:lineRule="auto"/>
      </w:pPr>
      <w:r>
        <w:rPr>
          <w:rFonts w:ascii="Aptos" w:hAnsi="Aptos"/>
          <w:b w:val="0"/>
          <w:i w:val="0"/>
          <w:color w:val="171B20"/>
          <w:sz w:val="21"/>
        </w:rPr>
        <w:t>If time slips, defer decorative polish, dark mode, custom icons, advanced preference editing, annual plan, or secondary notifications first. Never cut the disclosure preview, supplier isolation, separate approvals, simulation labels, recommendation downside, missing-data treatment, authoritative audit linkage, or accessible approval alternative.</w:t>
      </w:r>
    </w:p>
    <w:p>
      <w:r>
        <w:br w:type="page"/>
      </w:r>
    </w:p>
    <w:p>
      <w:pPr>
        <w:pStyle w:val="Heading1"/>
        <w:keepNext/>
      </w:pPr>
      <w:r>
        <w:t>Appendix A - Screen/state matrix</w:t>
      </w:r>
    </w:p>
    <w:tbl>
      <w:tblPr>
        <w:tblStyle w:val="TableGrid"/>
        <w:tblW w:type="dxa" w:w="9360"/>
        <w:jc w:val="left"/>
        <w:tblLayout w:type="fixed"/>
        <w:tblLook w:firstColumn="1" w:firstRow="1" w:lastColumn="0" w:lastRow="0" w:noHBand="0" w:noVBand="1" w:val="04A0"/>
        <w:tblInd w:w="120" w:type="dxa"/>
      </w:tblPr>
      <w:tblGrid>
        <w:gridCol w:w="1800"/>
        <w:gridCol w:w="1000"/>
        <w:gridCol w:w="1450"/>
        <w:gridCol w:w="1000"/>
        <w:gridCol w:w="1450"/>
        <w:gridCol w:w="1250"/>
        <w:gridCol w:w="1410"/>
      </w:tblGrid>
      <w:tr>
        <w:trPr>
          <w:cantSplit/>
          <w:tblHeader w:val="true"/>
        </w:trPr>
        <w:tc>
          <w:tcPr>
            <w:tcW w:type="dxa" w:w="180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5"/>
              </w:rPr>
              <w:t>Screen</w:t>
            </w:r>
          </w:p>
        </w:tc>
        <w:tc>
          <w:tcPr>
            <w:tcW w:type="dxa" w:w="100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5"/>
              </w:rPr>
              <w:t>Loading</w:t>
            </w:r>
          </w:p>
        </w:tc>
        <w:tc>
          <w:tcPr>
            <w:tcW w:type="dxa" w:w="145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5"/>
              </w:rPr>
              <w:t>Empty/partial</w:t>
            </w:r>
          </w:p>
        </w:tc>
        <w:tc>
          <w:tcPr>
            <w:tcW w:type="dxa" w:w="100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5"/>
              </w:rPr>
              <w:t>Error</w:t>
            </w:r>
          </w:p>
        </w:tc>
        <w:tc>
          <w:tcPr>
            <w:tcW w:type="dxa" w:w="145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5"/>
              </w:rPr>
              <w:t>Offline</w:t>
            </w:r>
          </w:p>
        </w:tc>
        <w:tc>
          <w:tcPr>
            <w:tcW w:type="dxa" w:w="125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5"/>
              </w:rPr>
              <w:t>RevenueCat</w:t>
            </w:r>
          </w:p>
        </w:tc>
        <w:tc>
          <w:tcPr>
            <w:tcW w:type="dxa" w:w="141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5"/>
              </w:rPr>
              <w:t>Simulation</w:t>
            </w:r>
          </w:p>
        </w:tc>
      </w:tr>
      <w:tr>
        <w:trPr>
          <w:cantSplit/>
        </w:trPr>
        <w:tc>
          <w:tcPr>
            <w:tcW w:type="dxa" w:w="18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UX-01 Inbox</w:t>
            </w:r>
          </w:p>
        </w:tc>
        <w:tc>
          <w:tcPr>
            <w:tcW w:type="dxa" w:w="10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Yes</w:t>
            </w:r>
          </w:p>
        </w:tc>
        <w:tc>
          <w:tcPr>
            <w:tcW w:type="dxa" w:w="145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Yes</w:t>
            </w:r>
          </w:p>
        </w:tc>
        <w:tc>
          <w:tcPr>
            <w:tcW w:type="dxa" w:w="10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Yes</w:t>
            </w:r>
          </w:p>
        </w:tc>
        <w:tc>
          <w:tcPr>
            <w:tcW w:type="dxa" w:w="145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Read-only</w:t>
            </w:r>
          </w:p>
        </w:tc>
        <w:tc>
          <w:tcPr>
            <w:tcW w:type="dxa" w:w="125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Limit info</w:t>
            </w:r>
          </w:p>
        </w:tc>
        <w:tc>
          <w:tcPr>
            <w:tcW w:type="dxa" w:w="141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N/A</w:t>
            </w:r>
          </w:p>
        </w:tc>
      </w:tr>
      <w:tr>
        <w:trPr>
          <w:cantSplit/>
        </w:trPr>
        <w:tc>
          <w:tcPr>
            <w:tcW w:type="dxa" w:w="18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UX-02 Share</w:t>
            </w:r>
          </w:p>
        </w:tc>
        <w:tc>
          <w:tcPr>
            <w:tcW w:type="dxa" w:w="10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Yes</w:t>
            </w:r>
          </w:p>
        </w:tc>
        <w:tc>
          <w:tcPr>
            <w:tcW w:type="dxa" w:w="145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Yes</w:t>
            </w:r>
          </w:p>
        </w:tc>
        <w:tc>
          <w:tcPr>
            <w:tcW w:type="dxa" w:w="10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Yes</w:t>
            </w:r>
          </w:p>
        </w:tc>
        <w:tc>
          <w:tcPr>
            <w:tcW w:type="dxa" w:w="145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Draft only</w:t>
            </w:r>
          </w:p>
        </w:tc>
        <w:tc>
          <w:tcPr>
            <w:tcW w:type="dxa" w:w="125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N/A</w:t>
            </w:r>
          </w:p>
        </w:tc>
        <w:tc>
          <w:tcPr>
            <w:tcW w:type="dxa" w:w="141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Persistent</w:t>
            </w:r>
          </w:p>
        </w:tc>
      </w:tr>
      <w:tr>
        <w:trPr>
          <w:cantSplit/>
        </w:trPr>
        <w:tc>
          <w:tcPr>
            <w:tcW w:type="dxa" w:w="18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UX-03 Requirement</w:t>
            </w:r>
          </w:p>
        </w:tc>
        <w:tc>
          <w:tcPr>
            <w:tcW w:type="dxa" w:w="10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Yes</w:t>
            </w:r>
          </w:p>
        </w:tc>
        <w:tc>
          <w:tcPr>
            <w:tcW w:type="dxa" w:w="145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Yes</w:t>
            </w:r>
          </w:p>
        </w:tc>
        <w:tc>
          <w:tcPr>
            <w:tcW w:type="dxa" w:w="10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Yes</w:t>
            </w:r>
          </w:p>
        </w:tc>
        <w:tc>
          <w:tcPr>
            <w:tcW w:type="dxa" w:w="145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Draft only</w:t>
            </w:r>
          </w:p>
        </w:tc>
        <w:tc>
          <w:tcPr>
            <w:tcW w:type="dxa" w:w="125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N/A</w:t>
            </w:r>
          </w:p>
        </w:tc>
        <w:tc>
          <w:tcPr>
            <w:tcW w:type="dxa" w:w="141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Persistent</w:t>
            </w:r>
          </w:p>
        </w:tc>
      </w:tr>
      <w:tr>
        <w:trPr>
          <w:cantSplit/>
        </w:trPr>
        <w:tc>
          <w:tcPr>
            <w:tcW w:type="dxa" w:w="18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UX-04 Research</w:t>
            </w:r>
          </w:p>
        </w:tc>
        <w:tc>
          <w:tcPr>
            <w:tcW w:type="dxa" w:w="10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Yes</w:t>
            </w:r>
          </w:p>
        </w:tc>
        <w:tc>
          <w:tcPr>
            <w:tcW w:type="dxa" w:w="145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Yes</w:t>
            </w:r>
          </w:p>
        </w:tc>
        <w:tc>
          <w:tcPr>
            <w:tcW w:type="dxa" w:w="10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Yes</w:t>
            </w:r>
          </w:p>
        </w:tc>
        <w:tc>
          <w:tcPr>
            <w:tcW w:type="dxa" w:w="145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Cached status</w:t>
            </w:r>
          </w:p>
        </w:tc>
        <w:tc>
          <w:tcPr>
            <w:tcW w:type="dxa" w:w="125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N/A</w:t>
            </w:r>
          </w:p>
        </w:tc>
        <w:tc>
          <w:tcPr>
            <w:tcW w:type="dxa" w:w="141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Persistent</w:t>
            </w:r>
          </w:p>
        </w:tc>
      </w:tr>
      <w:tr>
        <w:trPr>
          <w:cantSplit/>
        </w:trPr>
        <w:tc>
          <w:tcPr>
            <w:tcW w:type="dxa" w:w="18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UX-05 Gate 1</w:t>
            </w:r>
          </w:p>
        </w:tc>
        <w:tc>
          <w:tcPr>
            <w:tcW w:type="dxa" w:w="10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Yes</w:t>
            </w:r>
          </w:p>
        </w:tc>
        <w:tc>
          <w:tcPr>
            <w:tcW w:type="dxa" w:w="145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N/A</w:t>
            </w:r>
          </w:p>
        </w:tc>
        <w:tc>
          <w:tcPr>
            <w:tcW w:type="dxa" w:w="10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Yes</w:t>
            </w:r>
          </w:p>
        </w:tc>
        <w:tc>
          <w:tcPr>
            <w:tcW w:type="dxa" w:w="145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Disabled</w:t>
            </w:r>
          </w:p>
        </w:tc>
        <w:tc>
          <w:tcPr>
            <w:tcW w:type="dxa" w:w="125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N/A</w:t>
            </w:r>
          </w:p>
        </w:tc>
        <w:tc>
          <w:tcPr>
            <w:tcW w:type="dxa" w:w="141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Persistent</w:t>
            </w:r>
          </w:p>
        </w:tc>
      </w:tr>
      <w:tr>
        <w:trPr>
          <w:cantSplit/>
        </w:trPr>
        <w:tc>
          <w:tcPr>
            <w:tcW w:type="dxa" w:w="18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UX-06 Suppliers</w:t>
            </w:r>
          </w:p>
        </w:tc>
        <w:tc>
          <w:tcPr>
            <w:tcW w:type="dxa" w:w="10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Yes</w:t>
            </w:r>
          </w:p>
        </w:tc>
        <w:tc>
          <w:tcPr>
            <w:tcW w:type="dxa" w:w="145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Partial</w:t>
            </w:r>
          </w:p>
        </w:tc>
        <w:tc>
          <w:tcPr>
            <w:tcW w:type="dxa" w:w="10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Yes</w:t>
            </w:r>
          </w:p>
        </w:tc>
        <w:tc>
          <w:tcPr>
            <w:tcW w:type="dxa" w:w="145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Cached status</w:t>
            </w:r>
          </w:p>
        </w:tc>
        <w:tc>
          <w:tcPr>
            <w:tcW w:type="dxa" w:w="125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N/A</w:t>
            </w:r>
          </w:p>
        </w:tc>
        <w:tc>
          <w:tcPr>
            <w:tcW w:type="dxa" w:w="141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Persistent</w:t>
            </w:r>
          </w:p>
        </w:tc>
      </w:tr>
      <w:tr>
        <w:trPr>
          <w:cantSplit/>
        </w:trPr>
        <w:tc>
          <w:tcPr>
            <w:tcW w:type="dxa" w:w="18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UX-07 Decision</w:t>
            </w:r>
          </w:p>
        </w:tc>
        <w:tc>
          <w:tcPr>
            <w:tcW w:type="dxa" w:w="10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Yes</w:t>
            </w:r>
          </w:p>
        </w:tc>
        <w:tc>
          <w:tcPr>
            <w:tcW w:type="dxa" w:w="145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Partial</w:t>
            </w:r>
          </w:p>
        </w:tc>
        <w:tc>
          <w:tcPr>
            <w:tcW w:type="dxa" w:w="10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Yes</w:t>
            </w:r>
          </w:p>
        </w:tc>
        <w:tc>
          <w:tcPr>
            <w:tcW w:type="dxa" w:w="145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Cached</w:t>
            </w:r>
          </w:p>
        </w:tc>
        <w:tc>
          <w:tcPr>
            <w:tcW w:type="dxa" w:w="125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N/A</w:t>
            </w:r>
          </w:p>
        </w:tc>
        <w:tc>
          <w:tcPr>
            <w:tcW w:type="dxa" w:w="141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Persistent</w:t>
            </w:r>
          </w:p>
        </w:tc>
      </w:tr>
      <w:tr>
        <w:trPr>
          <w:cantSplit/>
        </w:trPr>
        <w:tc>
          <w:tcPr>
            <w:tcW w:type="dxa" w:w="18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UX-08 Compare</w:t>
            </w:r>
          </w:p>
        </w:tc>
        <w:tc>
          <w:tcPr>
            <w:tcW w:type="dxa" w:w="10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Yes</w:t>
            </w:r>
          </w:p>
        </w:tc>
        <w:tc>
          <w:tcPr>
            <w:tcW w:type="dxa" w:w="145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Partial</w:t>
            </w:r>
          </w:p>
        </w:tc>
        <w:tc>
          <w:tcPr>
            <w:tcW w:type="dxa" w:w="10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Yes</w:t>
            </w:r>
          </w:p>
        </w:tc>
        <w:tc>
          <w:tcPr>
            <w:tcW w:type="dxa" w:w="145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Cached</w:t>
            </w:r>
          </w:p>
        </w:tc>
        <w:tc>
          <w:tcPr>
            <w:tcW w:type="dxa" w:w="125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N/A</w:t>
            </w:r>
          </w:p>
        </w:tc>
        <w:tc>
          <w:tcPr>
            <w:tcW w:type="dxa" w:w="141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Per offer</w:t>
            </w:r>
          </w:p>
        </w:tc>
      </w:tr>
      <w:tr>
        <w:trPr>
          <w:cantSplit/>
        </w:trPr>
        <w:tc>
          <w:tcPr>
            <w:tcW w:type="dxa" w:w="18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UX-09 Offer</w:t>
            </w:r>
          </w:p>
        </w:tc>
        <w:tc>
          <w:tcPr>
            <w:tcW w:type="dxa" w:w="10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Yes</w:t>
            </w:r>
          </w:p>
        </w:tc>
        <w:tc>
          <w:tcPr>
            <w:tcW w:type="dxa" w:w="145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N/A</w:t>
            </w:r>
          </w:p>
        </w:tc>
        <w:tc>
          <w:tcPr>
            <w:tcW w:type="dxa" w:w="10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Yes</w:t>
            </w:r>
          </w:p>
        </w:tc>
        <w:tc>
          <w:tcPr>
            <w:tcW w:type="dxa" w:w="145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Cached</w:t>
            </w:r>
          </w:p>
        </w:tc>
        <w:tc>
          <w:tcPr>
            <w:tcW w:type="dxa" w:w="125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N/A</w:t>
            </w:r>
          </w:p>
        </w:tc>
        <w:tc>
          <w:tcPr>
            <w:tcW w:type="dxa" w:w="141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Per offer</w:t>
            </w:r>
          </w:p>
        </w:tc>
      </w:tr>
      <w:tr>
        <w:trPr>
          <w:cantSplit/>
        </w:trPr>
        <w:tc>
          <w:tcPr>
            <w:tcW w:type="dxa" w:w="18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UX-10 Gate 2</w:t>
            </w:r>
          </w:p>
        </w:tc>
        <w:tc>
          <w:tcPr>
            <w:tcW w:type="dxa" w:w="10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Yes</w:t>
            </w:r>
          </w:p>
        </w:tc>
        <w:tc>
          <w:tcPr>
            <w:tcW w:type="dxa" w:w="145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N/A</w:t>
            </w:r>
          </w:p>
        </w:tc>
        <w:tc>
          <w:tcPr>
            <w:tcW w:type="dxa" w:w="10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Yes</w:t>
            </w:r>
          </w:p>
        </w:tc>
        <w:tc>
          <w:tcPr>
            <w:tcW w:type="dxa" w:w="145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Disabled</w:t>
            </w:r>
          </w:p>
        </w:tc>
        <w:tc>
          <w:tcPr>
            <w:tcW w:type="dxa" w:w="125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N/A</w:t>
            </w:r>
          </w:p>
        </w:tc>
        <w:tc>
          <w:tcPr>
            <w:tcW w:type="dxa" w:w="141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Persistent</w:t>
            </w:r>
          </w:p>
        </w:tc>
      </w:tr>
      <w:tr>
        <w:trPr>
          <w:cantSplit/>
        </w:trPr>
        <w:tc>
          <w:tcPr>
            <w:tcW w:type="dxa" w:w="18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UX-11 Receipt</w:t>
            </w:r>
          </w:p>
        </w:tc>
        <w:tc>
          <w:tcPr>
            <w:tcW w:type="dxa" w:w="10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Yes</w:t>
            </w:r>
          </w:p>
        </w:tc>
        <w:tc>
          <w:tcPr>
            <w:tcW w:type="dxa" w:w="145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Redacted</w:t>
            </w:r>
          </w:p>
        </w:tc>
        <w:tc>
          <w:tcPr>
            <w:tcW w:type="dxa" w:w="10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Yes</w:t>
            </w:r>
          </w:p>
        </w:tc>
        <w:tc>
          <w:tcPr>
            <w:tcW w:type="dxa" w:w="145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Cached</w:t>
            </w:r>
          </w:p>
        </w:tc>
        <w:tc>
          <w:tcPr>
            <w:tcW w:type="dxa" w:w="125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N/A</w:t>
            </w:r>
          </w:p>
        </w:tc>
        <w:tc>
          <w:tcPr>
            <w:tcW w:type="dxa" w:w="141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Primary heading</w:t>
            </w:r>
          </w:p>
        </w:tc>
      </w:tr>
      <w:tr>
        <w:trPr>
          <w:cantSplit/>
        </w:trPr>
        <w:tc>
          <w:tcPr>
            <w:tcW w:type="dxa" w:w="18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UX-12 Activity</w:t>
            </w:r>
          </w:p>
        </w:tc>
        <w:tc>
          <w:tcPr>
            <w:tcW w:type="dxa" w:w="10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Yes</w:t>
            </w:r>
          </w:p>
        </w:tc>
        <w:tc>
          <w:tcPr>
            <w:tcW w:type="dxa" w:w="145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Yes</w:t>
            </w:r>
          </w:p>
        </w:tc>
        <w:tc>
          <w:tcPr>
            <w:tcW w:type="dxa" w:w="10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Yes</w:t>
            </w:r>
          </w:p>
        </w:tc>
        <w:tc>
          <w:tcPr>
            <w:tcW w:type="dxa" w:w="145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Cached</w:t>
            </w:r>
          </w:p>
        </w:tc>
        <w:tc>
          <w:tcPr>
            <w:tcW w:type="dxa" w:w="125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N/A</w:t>
            </w:r>
          </w:p>
        </w:tc>
        <w:tc>
          <w:tcPr>
            <w:tcW w:type="dxa" w:w="141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Per event</w:t>
            </w:r>
          </w:p>
        </w:tc>
      </w:tr>
      <w:tr>
        <w:trPr>
          <w:cantSplit/>
        </w:trPr>
        <w:tc>
          <w:tcPr>
            <w:tcW w:type="dxa" w:w="18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UX-13 Preferences</w:t>
            </w:r>
          </w:p>
        </w:tc>
        <w:tc>
          <w:tcPr>
            <w:tcW w:type="dxa" w:w="10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Yes</w:t>
            </w:r>
          </w:p>
        </w:tc>
        <w:tc>
          <w:tcPr>
            <w:tcW w:type="dxa" w:w="145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Yes</w:t>
            </w:r>
          </w:p>
        </w:tc>
        <w:tc>
          <w:tcPr>
            <w:tcW w:type="dxa" w:w="10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Yes</w:t>
            </w:r>
          </w:p>
        </w:tc>
        <w:tc>
          <w:tcPr>
            <w:tcW w:type="dxa" w:w="145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Cached/read-only</w:t>
            </w:r>
          </w:p>
        </w:tc>
        <w:tc>
          <w:tcPr>
            <w:tcW w:type="dxa" w:w="125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N/A</w:t>
            </w:r>
          </w:p>
        </w:tc>
        <w:tc>
          <w:tcPr>
            <w:tcW w:type="dxa" w:w="141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N/A</w:t>
            </w:r>
          </w:p>
        </w:tc>
      </w:tr>
      <w:tr>
        <w:trPr>
          <w:cantSplit/>
        </w:trPr>
        <w:tc>
          <w:tcPr>
            <w:tcW w:type="dxa" w:w="18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UX-14 Privacy</w:t>
            </w:r>
          </w:p>
        </w:tc>
        <w:tc>
          <w:tcPr>
            <w:tcW w:type="dxa" w:w="10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Yes</w:t>
            </w:r>
          </w:p>
        </w:tc>
        <w:tc>
          <w:tcPr>
            <w:tcW w:type="dxa" w:w="145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Yes</w:t>
            </w:r>
          </w:p>
        </w:tc>
        <w:tc>
          <w:tcPr>
            <w:tcW w:type="dxa" w:w="10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Yes</w:t>
            </w:r>
          </w:p>
        </w:tc>
        <w:tc>
          <w:tcPr>
            <w:tcW w:type="dxa" w:w="145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Cached/read-only</w:t>
            </w:r>
          </w:p>
        </w:tc>
        <w:tc>
          <w:tcPr>
            <w:tcW w:type="dxa" w:w="125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N/A</w:t>
            </w:r>
          </w:p>
        </w:tc>
        <w:tc>
          <w:tcPr>
            <w:tcW w:type="dxa" w:w="141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Disclosure records</w:t>
            </w:r>
          </w:p>
        </w:tc>
      </w:tr>
      <w:tr>
        <w:trPr>
          <w:cantSplit/>
        </w:trPr>
        <w:tc>
          <w:tcPr>
            <w:tcW w:type="dxa" w:w="18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UX-15 Account</w:t>
            </w:r>
          </w:p>
        </w:tc>
        <w:tc>
          <w:tcPr>
            <w:tcW w:type="dxa" w:w="10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Yes</w:t>
            </w:r>
          </w:p>
        </w:tc>
        <w:tc>
          <w:tcPr>
            <w:tcW w:type="dxa" w:w="145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Yes</w:t>
            </w:r>
          </w:p>
        </w:tc>
        <w:tc>
          <w:tcPr>
            <w:tcW w:type="dxa" w:w="10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Yes</w:t>
            </w:r>
          </w:p>
        </w:tc>
        <w:tc>
          <w:tcPr>
            <w:tcW w:type="dxa" w:w="145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Cached; purchase disabled</w:t>
            </w:r>
          </w:p>
        </w:tc>
        <w:tc>
          <w:tcPr>
            <w:tcW w:type="dxa" w:w="125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Full</w:t>
            </w:r>
          </w:p>
        </w:tc>
        <w:tc>
          <w:tcPr>
            <w:tcW w:type="dxa" w:w="141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5"/>
              </w:rPr>
              <w:t>N/A</w:t>
            </w:r>
          </w:p>
        </w:tc>
      </w:tr>
      <w:tr>
        <w:trPr>
          <w:cantSplit/>
        </w:trPr>
        <w:tc>
          <w:tcPr>
            <w:tcW w:type="dxa" w:w="1800"/>
            <w:tcMar>
              <w:top w:w="90" w:type="dxa"/>
              <w:start w:w="120" w:type="dxa"/>
              <w:bottom w:w="90" w:type="dxa"/>
              <w:end w:w="120" w:type="dxa"/>
            </w:tcMar>
            <w:vAlign w:val="center"/>
          </w:tcPr>
          <w:p>
            <w:pPr>
              <w:spacing w:before="0" w:after="0" w:line="259" w:lineRule="auto"/>
              <w:jc w:val="left"/>
            </w:pPr>
            <w:r>
              <w:t>UX-17 Composer</w:t>
            </w:r>
            <w:r>
              <w:rPr>
                <w:rFonts w:ascii="Aptos" w:hAnsi="Aptos"/>
                <w:b w:val="0"/>
                <w:i w:val="0"/>
                <w:color w:val="171B20"/>
                <w:sz w:val="15"/>
              </w:rPr>
            </w:r>
          </w:p>
        </w:tc>
        <w:tc>
          <w:tcPr>
            <w:tcW w:type="dxa" w:w="1000"/>
            <w:tcMar>
              <w:top w:w="90" w:type="dxa"/>
              <w:start w:w="120" w:type="dxa"/>
              <w:bottom w:w="90" w:type="dxa"/>
              <w:end w:w="120" w:type="dxa"/>
            </w:tcMar>
            <w:vAlign w:val="center"/>
          </w:tcPr>
          <w:p>
            <w:pPr>
              <w:spacing w:before="0" w:after="0" w:line="259" w:lineRule="auto"/>
              <w:jc w:val="left"/>
            </w:pPr>
            <w:r>
              <w:t>Yes</w:t>
            </w:r>
            <w:r>
              <w:rPr>
                <w:rFonts w:ascii="Aptos" w:hAnsi="Aptos"/>
                <w:b w:val="0"/>
                <w:i w:val="0"/>
                <w:color w:val="171B20"/>
                <w:sz w:val="15"/>
              </w:rPr>
            </w:r>
          </w:p>
        </w:tc>
        <w:tc>
          <w:tcPr>
            <w:tcW w:type="dxa" w:w="1450"/>
            <w:tcMar>
              <w:top w:w="90" w:type="dxa"/>
              <w:start w:w="120" w:type="dxa"/>
              <w:bottom w:w="90" w:type="dxa"/>
              <w:end w:w="120" w:type="dxa"/>
            </w:tcMar>
            <w:vAlign w:val="center"/>
          </w:tcPr>
          <w:p>
            <w:pPr>
              <w:spacing w:before="0" w:after="0" w:line="259" w:lineRule="auto"/>
              <w:jc w:val="left"/>
            </w:pPr>
            <w:r>
              <w:t>Yes</w:t>
            </w:r>
            <w:r>
              <w:rPr>
                <w:rFonts w:ascii="Aptos" w:hAnsi="Aptos"/>
                <w:b w:val="0"/>
                <w:i w:val="0"/>
                <w:color w:val="171B20"/>
                <w:sz w:val="15"/>
              </w:rPr>
            </w:r>
          </w:p>
        </w:tc>
        <w:tc>
          <w:tcPr>
            <w:tcW w:type="dxa" w:w="1000"/>
            <w:tcMar>
              <w:top w:w="90" w:type="dxa"/>
              <w:start w:w="120" w:type="dxa"/>
              <w:bottom w:w="90" w:type="dxa"/>
              <w:end w:w="120" w:type="dxa"/>
            </w:tcMar>
            <w:vAlign w:val="center"/>
          </w:tcPr>
          <w:p>
            <w:pPr>
              <w:spacing w:before="0" w:after="0" w:line="259" w:lineRule="auto"/>
              <w:jc w:val="left"/>
            </w:pPr>
            <w:r>
              <w:t>Yes</w:t>
            </w:r>
            <w:r>
              <w:rPr>
                <w:rFonts w:ascii="Aptos" w:hAnsi="Aptos"/>
                <w:b w:val="0"/>
                <w:i w:val="0"/>
                <w:color w:val="171B20"/>
                <w:sz w:val="15"/>
              </w:rPr>
            </w:r>
          </w:p>
        </w:tc>
        <w:tc>
          <w:tcPr>
            <w:tcW w:type="dxa" w:w="1450"/>
            <w:tcMar>
              <w:top w:w="90" w:type="dxa"/>
              <w:start w:w="120" w:type="dxa"/>
              <w:bottom w:w="90" w:type="dxa"/>
              <w:end w:w="120" w:type="dxa"/>
            </w:tcMar>
            <w:vAlign w:val="center"/>
          </w:tcPr>
          <w:p>
            <w:pPr>
              <w:spacing w:before="0" w:after="0" w:line="259" w:lineRule="auto"/>
              <w:jc w:val="left"/>
            </w:pPr>
            <w:r>
              <w:t>Draft only</w:t>
            </w:r>
            <w:r>
              <w:rPr>
                <w:rFonts w:ascii="Aptos" w:hAnsi="Aptos"/>
                <w:b w:val="0"/>
                <w:i w:val="0"/>
                <w:color w:val="171B20"/>
                <w:sz w:val="15"/>
              </w:rPr>
            </w:r>
          </w:p>
        </w:tc>
        <w:tc>
          <w:tcPr>
            <w:tcW w:type="dxa" w:w="1250"/>
            <w:tcMar>
              <w:top w:w="90" w:type="dxa"/>
              <w:start w:w="120" w:type="dxa"/>
              <w:bottom w:w="90" w:type="dxa"/>
              <w:end w:w="120" w:type="dxa"/>
            </w:tcMar>
            <w:vAlign w:val="center"/>
          </w:tcPr>
          <w:p>
            <w:pPr>
              <w:spacing w:before="0" w:after="0" w:line="259" w:lineRule="auto"/>
              <w:jc w:val="left"/>
            </w:pPr>
            <w:r>
              <w:t>N/A</w:t>
            </w:r>
            <w:r>
              <w:rPr>
                <w:rFonts w:ascii="Aptos" w:hAnsi="Aptos"/>
                <w:b w:val="0"/>
                <w:i w:val="0"/>
                <w:color w:val="171B20"/>
                <w:sz w:val="15"/>
              </w:rPr>
            </w:r>
          </w:p>
        </w:tc>
        <w:tc>
          <w:tcPr>
            <w:tcW w:type="dxa" w:w="1410"/>
            <w:tcMar>
              <w:top w:w="90" w:type="dxa"/>
              <w:start w:w="120" w:type="dxa"/>
              <w:bottom w:w="90" w:type="dxa"/>
              <w:end w:w="120" w:type="dxa"/>
            </w:tcMar>
            <w:vAlign w:val="center"/>
          </w:tcPr>
          <w:p>
            <w:pPr>
              <w:spacing w:before="0" w:after="0" w:line="259" w:lineRule="auto"/>
              <w:jc w:val="left"/>
            </w:pPr>
            <w:r>
              <w:t>Persistent</w:t>
            </w:r>
            <w:r>
              <w:rPr>
                <w:rFonts w:ascii="Aptos" w:hAnsi="Aptos"/>
                <w:b w:val="0"/>
                <w:i w:val="0"/>
                <w:color w:val="171B20"/>
                <w:sz w:val="15"/>
              </w:rPr>
            </w:r>
          </w:p>
        </w:tc>
      </w:tr>
      <w:tr>
        <w:trPr>
          <w:cantSplit/>
        </w:trPr>
        <w:tc>
          <w:tcPr>
            <w:tcW w:type="dxa" w:w="1800"/>
            <w:tcMar>
              <w:top w:w="90" w:type="dxa"/>
              <w:start w:w="120" w:type="dxa"/>
              <w:bottom w:w="90" w:type="dxa"/>
              <w:end w:w="120" w:type="dxa"/>
            </w:tcMar>
            <w:vAlign w:val="center"/>
          </w:tcPr>
          <w:p>
            <w:pPr>
              <w:spacing w:before="0" w:after="0" w:line="259" w:lineRule="auto"/>
              <w:jc w:val="left"/>
            </w:pPr>
            <w:r>
              <w:t>UX-19 Workspace</w:t>
            </w:r>
            <w:r>
              <w:rPr>
                <w:rFonts w:ascii="Aptos" w:hAnsi="Aptos"/>
                <w:b w:val="0"/>
                <w:i w:val="0"/>
                <w:color w:val="171B20"/>
                <w:sz w:val="15"/>
              </w:rPr>
            </w:r>
          </w:p>
        </w:tc>
        <w:tc>
          <w:tcPr>
            <w:tcW w:type="dxa" w:w="1000"/>
            <w:tcMar>
              <w:top w:w="90" w:type="dxa"/>
              <w:start w:w="120" w:type="dxa"/>
              <w:bottom w:w="90" w:type="dxa"/>
              <w:end w:w="120" w:type="dxa"/>
            </w:tcMar>
            <w:vAlign w:val="center"/>
          </w:tcPr>
          <w:p>
            <w:pPr>
              <w:spacing w:before="0" w:after="0" w:line="259" w:lineRule="auto"/>
              <w:jc w:val="left"/>
            </w:pPr>
            <w:r>
              <w:t>Yes</w:t>
            </w:r>
            <w:r>
              <w:rPr>
                <w:rFonts w:ascii="Aptos" w:hAnsi="Aptos"/>
                <w:b w:val="0"/>
                <w:i w:val="0"/>
                <w:color w:val="171B20"/>
                <w:sz w:val="15"/>
              </w:rPr>
            </w:r>
          </w:p>
        </w:tc>
        <w:tc>
          <w:tcPr>
            <w:tcW w:type="dxa" w:w="1450"/>
            <w:tcMar>
              <w:top w:w="90" w:type="dxa"/>
              <w:start w:w="120" w:type="dxa"/>
              <w:bottom w:w="90" w:type="dxa"/>
              <w:end w:w="120" w:type="dxa"/>
            </w:tcMar>
            <w:vAlign w:val="center"/>
          </w:tcPr>
          <w:p>
            <w:pPr>
              <w:spacing w:before="0" w:after="0" w:line="259" w:lineRule="auto"/>
              <w:jc w:val="left"/>
            </w:pPr>
            <w:r>
              <w:t>Yes</w:t>
            </w:r>
            <w:r>
              <w:rPr>
                <w:rFonts w:ascii="Aptos" w:hAnsi="Aptos"/>
                <w:b w:val="0"/>
                <w:i w:val="0"/>
                <w:color w:val="171B20"/>
                <w:sz w:val="15"/>
              </w:rPr>
            </w:r>
          </w:p>
        </w:tc>
        <w:tc>
          <w:tcPr>
            <w:tcW w:type="dxa" w:w="1000"/>
            <w:tcMar>
              <w:top w:w="90" w:type="dxa"/>
              <w:start w:w="120" w:type="dxa"/>
              <w:bottom w:w="90" w:type="dxa"/>
              <w:end w:w="120" w:type="dxa"/>
            </w:tcMar>
            <w:vAlign w:val="center"/>
          </w:tcPr>
          <w:p>
            <w:pPr>
              <w:spacing w:before="0" w:after="0" w:line="259" w:lineRule="auto"/>
              <w:jc w:val="left"/>
            </w:pPr>
            <w:r>
              <w:t>Yes</w:t>
            </w:r>
            <w:r>
              <w:rPr>
                <w:rFonts w:ascii="Aptos" w:hAnsi="Aptos"/>
                <w:b w:val="0"/>
                <w:i w:val="0"/>
                <w:color w:val="171B20"/>
                <w:sz w:val="15"/>
              </w:rPr>
            </w:r>
          </w:p>
        </w:tc>
        <w:tc>
          <w:tcPr>
            <w:tcW w:type="dxa" w:w="1450"/>
            <w:tcMar>
              <w:top w:w="90" w:type="dxa"/>
              <w:start w:w="120" w:type="dxa"/>
              <w:bottom w:w="90" w:type="dxa"/>
              <w:end w:w="120" w:type="dxa"/>
            </w:tcMar>
            <w:vAlign w:val="center"/>
          </w:tcPr>
          <w:p>
            <w:pPr>
              <w:spacing w:before="0" w:after="0" w:line="259" w:lineRule="auto"/>
              <w:jc w:val="left"/>
            </w:pPr>
            <w:r>
              <w:t>Cached</w:t>
            </w:r>
            <w:r>
              <w:rPr>
                <w:rFonts w:ascii="Aptos" w:hAnsi="Aptos"/>
                <w:b w:val="0"/>
                <w:i w:val="0"/>
                <w:color w:val="171B20"/>
                <w:sz w:val="15"/>
              </w:rPr>
            </w:r>
          </w:p>
        </w:tc>
        <w:tc>
          <w:tcPr>
            <w:tcW w:type="dxa" w:w="1250"/>
            <w:tcMar>
              <w:top w:w="90" w:type="dxa"/>
              <w:start w:w="120" w:type="dxa"/>
              <w:bottom w:w="90" w:type="dxa"/>
              <w:end w:w="120" w:type="dxa"/>
            </w:tcMar>
            <w:vAlign w:val="center"/>
          </w:tcPr>
          <w:p>
            <w:pPr>
              <w:spacing w:before="0" w:after="0" w:line="259" w:lineRule="auto"/>
              <w:jc w:val="left"/>
            </w:pPr>
            <w:r>
              <w:t>N/A</w:t>
            </w:r>
            <w:r>
              <w:rPr>
                <w:rFonts w:ascii="Aptos" w:hAnsi="Aptos"/>
                <w:b w:val="0"/>
                <w:i w:val="0"/>
                <w:color w:val="171B20"/>
                <w:sz w:val="15"/>
              </w:rPr>
            </w:r>
          </w:p>
        </w:tc>
        <w:tc>
          <w:tcPr>
            <w:tcW w:type="dxa" w:w="1410"/>
            <w:tcMar>
              <w:top w:w="90" w:type="dxa"/>
              <w:start w:w="120" w:type="dxa"/>
              <w:bottom w:w="90" w:type="dxa"/>
              <w:end w:w="120" w:type="dxa"/>
            </w:tcMar>
            <w:vAlign w:val="center"/>
          </w:tcPr>
          <w:p>
            <w:pPr>
              <w:spacing w:before="0" w:after="0" w:line="259" w:lineRule="auto"/>
              <w:jc w:val="left"/>
            </w:pPr>
            <w:r>
              <w:t>Persistent</w:t>
            </w:r>
            <w:r>
              <w:rPr>
                <w:rFonts w:ascii="Aptos" w:hAnsi="Aptos"/>
                <w:b w:val="0"/>
                <w:i w:val="0"/>
                <w:color w:val="171B20"/>
                <w:sz w:val="15"/>
              </w:rPr>
            </w:r>
          </w:p>
        </w:tc>
      </w:tr>
      <w:tr>
        <w:trPr>
          <w:cantSplit/>
        </w:trPr>
        <w:tc>
          <w:tcPr>
            <w:tcW w:type="dxa" w:w="1800"/>
            <w:tcMar>
              <w:top w:w="90" w:type="dxa"/>
              <w:start w:w="120" w:type="dxa"/>
              <w:bottom w:w="90" w:type="dxa"/>
              <w:end w:w="120" w:type="dxa"/>
            </w:tcMar>
            <w:vAlign w:val="center"/>
          </w:tcPr>
          <w:p>
            <w:pPr>
              <w:spacing w:before="0" w:after="0" w:line="259" w:lineRule="auto"/>
              <w:jc w:val="left"/>
            </w:pPr>
            <w:r>
              <w:t>UX-20 Task</w:t>
            </w:r>
            <w:r>
              <w:rPr>
                <w:rFonts w:ascii="Aptos" w:hAnsi="Aptos"/>
                <w:b w:val="0"/>
                <w:i w:val="0"/>
                <w:color w:val="171B20"/>
                <w:sz w:val="15"/>
              </w:rPr>
            </w:r>
          </w:p>
        </w:tc>
        <w:tc>
          <w:tcPr>
            <w:tcW w:type="dxa" w:w="1000"/>
            <w:tcMar>
              <w:top w:w="90" w:type="dxa"/>
              <w:start w:w="120" w:type="dxa"/>
              <w:bottom w:w="90" w:type="dxa"/>
              <w:end w:w="120" w:type="dxa"/>
            </w:tcMar>
            <w:vAlign w:val="center"/>
          </w:tcPr>
          <w:p>
            <w:pPr>
              <w:spacing w:before="0" w:after="0" w:line="259" w:lineRule="auto"/>
              <w:jc w:val="left"/>
            </w:pPr>
            <w:r>
              <w:t>Yes</w:t>
            </w:r>
            <w:r>
              <w:rPr>
                <w:rFonts w:ascii="Aptos" w:hAnsi="Aptos"/>
                <w:b w:val="0"/>
                <w:i w:val="0"/>
                <w:color w:val="171B20"/>
                <w:sz w:val="15"/>
              </w:rPr>
            </w:r>
          </w:p>
        </w:tc>
        <w:tc>
          <w:tcPr>
            <w:tcW w:type="dxa" w:w="1450"/>
            <w:tcMar>
              <w:top w:w="90" w:type="dxa"/>
              <w:start w:w="120" w:type="dxa"/>
              <w:bottom w:w="90" w:type="dxa"/>
              <w:end w:w="120" w:type="dxa"/>
            </w:tcMar>
            <w:vAlign w:val="center"/>
          </w:tcPr>
          <w:p>
            <w:pPr>
              <w:spacing w:before="0" w:after="0" w:line="259" w:lineRule="auto"/>
              <w:jc w:val="left"/>
            </w:pPr>
            <w:r>
              <w:t>Yes</w:t>
            </w:r>
            <w:r>
              <w:rPr>
                <w:rFonts w:ascii="Aptos" w:hAnsi="Aptos"/>
                <w:b w:val="0"/>
                <w:i w:val="0"/>
                <w:color w:val="171B20"/>
                <w:sz w:val="15"/>
              </w:rPr>
            </w:r>
          </w:p>
        </w:tc>
        <w:tc>
          <w:tcPr>
            <w:tcW w:type="dxa" w:w="1000"/>
            <w:tcMar>
              <w:top w:w="90" w:type="dxa"/>
              <w:start w:w="120" w:type="dxa"/>
              <w:bottom w:w="90" w:type="dxa"/>
              <w:end w:w="120" w:type="dxa"/>
            </w:tcMar>
            <w:vAlign w:val="center"/>
          </w:tcPr>
          <w:p>
            <w:pPr>
              <w:spacing w:before="0" w:after="0" w:line="259" w:lineRule="auto"/>
              <w:jc w:val="left"/>
            </w:pPr>
            <w:r>
              <w:t>Yes</w:t>
            </w:r>
            <w:r>
              <w:rPr>
                <w:rFonts w:ascii="Aptos" w:hAnsi="Aptos"/>
                <w:b w:val="0"/>
                <w:i w:val="0"/>
                <w:color w:val="171B20"/>
                <w:sz w:val="15"/>
              </w:rPr>
            </w:r>
          </w:p>
        </w:tc>
        <w:tc>
          <w:tcPr>
            <w:tcW w:type="dxa" w:w="1450"/>
            <w:tcMar>
              <w:top w:w="90" w:type="dxa"/>
              <w:start w:w="120" w:type="dxa"/>
              <w:bottom w:w="90" w:type="dxa"/>
              <w:end w:w="120" w:type="dxa"/>
            </w:tcMar>
            <w:vAlign w:val="center"/>
          </w:tcPr>
          <w:p>
            <w:pPr>
              <w:spacing w:before="0" w:after="0" w:line="259" w:lineRule="auto"/>
              <w:jc w:val="left"/>
            </w:pPr>
            <w:r>
              <w:t>Cached</w:t>
            </w:r>
            <w:r>
              <w:rPr>
                <w:rFonts w:ascii="Aptos" w:hAnsi="Aptos"/>
                <w:b w:val="0"/>
                <w:i w:val="0"/>
                <w:color w:val="171B20"/>
                <w:sz w:val="15"/>
              </w:rPr>
            </w:r>
          </w:p>
        </w:tc>
        <w:tc>
          <w:tcPr>
            <w:tcW w:type="dxa" w:w="1250"/>
            <w:tcMar>
              <w:top w:w="90" w:type="dxa"/>
              <w:start w:w="120" w:type="dxa"/>
              <w:bottom w:w="90" w:type="dxa"/>
              <w:end w:w="120" w:type="dxa"/>
            </w:tcMar>
            <w:vAlign w:val="center"/>
          </w:tcPr>
          <w:p>
            <w:pPr>
              <w:spacing w:before="0" w:after="0" w:line="259" w:lineRule="auto"/>
              <w:jc w:val="left"/>
            </w:pPr>
            <w:r>
              <w:t>N/A</w:t>
            </w:r>
            <w:r>
              <w:rPr>
                <w:rFonts w:ascii="Aptos" w:hAnsi="Aptos"/>
                <w:b w:val="0"/>
                <w:i w:val="0"/>
                <w:color w:val="171B20"/>
                <w:sz w:val="15"/>
              </w:rPr>
            </w:r>
          </w:p>
        </w:tc>
        <w:tc>
          <w:tcPr>
            <w:tcW w:type="dxa" w:w="1410"/>
            <w:tcMar>
              <w:top w:w="90" w:type="dxa"/>
              <w:start w:w="120" w:type="dxa"/>
              <w:bottom w:w="90" w:type="dxa"/>
              <w:end w:w="120" w:type="dxa"/>
            </w:tcMar>
            <w:vAlign w:val="center"/>
          </w:tcPr>
          <w:p>
            <w:pPr>
              <w:spacing w:before="0" w:after="0" w:line="259" w:lineRule="auto"/>
              <w:jc w:val="left"/>
            </w:pPr>
            <w:r>
              <w:t>Persistent</w:t>
            </w:r>
            <w:r>
              <w:rPr>
                <w:rFonts w:ascii="Aptos" w:hAnsi="Aptos"/>
                <w:b w:val="0"/>
                <w:i w:val="0"/>
                <w:color w:val="171B20"/>
                <w:sz w:val="15"/>
              </w:rPr>
            </w:r>
          </w:p>
        </w:tc>
      </w:tr>
      <w:tr>
        <w:trPr>
          <w:cantSplit/>
        </w:trPr>
        <w:tc>
          <w:tcPr>
            <w:tcW w:type="dxa" w:w="1800"/>
            <w:tcMar>
              <w:top w:w="90" w:type="dxa"/>
              <w:start w:w="120" w:type="dxa"/>
              <w:bottom w:w="90" w:type="dxa"/>
              <w:end w:w="120" w:type="dxa"/>
            </w:tcMar>
            <w:vAlign w:val="center"/>
          </w:tcPr>
          <w:p>
            <w:pPr>
              <w:spacing w:before="0" w:after="0" w:line="259" w:lineRule="auto"/>
              <w:jc w:val="left"/>
            </w:pPr>
            <w:r>
              <w:t>UX-27 Combined recs</w:t>
            </w:r>
            <w:r>
              <w:rPr>
                <w:rFonts w:ascii="Aptos" w:hAnsi="Aptos"/>
                <w:b w:val="0"/>
                <w:i w:val="0"/>
                <w:color w:val="171B20"/>
                <w:sz w:val="15"/>
              </w:rPr>
            </w:r>
          </w:p>
        </w:tc>
        <w:tc>
          <w:tcPr>
            <w:tcW w:type="dxa" w:w="1000"/>
            <w:tcMar>
              <w:top w:w="90" w:type="dxa"/>
              <w:start w:w="120" w:type="dxa"/>
              <w:bottom w:w="90" w:type="dxa"/>
              <w:end w:w="120" w:type="dxa"/>
            </w:tcMar>
            <w:vAlign w:val="center"/>
          </w:tcPr>
          <w:p>
            <w:pPr>
              <w:spacing w:before="0" w:after="0" w:line="259" w:lineRule="auto"/>
              <w:jc w:val="left"/>
            </w:pPr>
            <w:r>
              <w:t>Yes</w:t>
            </w:r>
            <w:r>
              <w:rPr>
                <w:rFonts w:ascii="Aptos" w:hAnsi="Aptos"/>
                <w:b w:val="0"/>
                <w:i w:val="0"/>
                <w:color w:val="171B20"/>
                <w:sz w:val="15"/>
              </w:rPr>
            </w:r>
          </w:p>
        </w:tc>
        <w:tc>
          <w:tcPr>
            <w:tcW w:type="dxa" w:w="1450"/>
            <w:tcMar>
              <w:top w:w="90" w:type="dxa"/>
              <w:start w:w="120" w:type="dxa"/>
              <w:bottom w:w="90" w:type="dxa"/>
              <w:end w:w="120" w:type="dxa"/>
            </w:tcMar>
            <w:vAlign w:val="center"/>
          </w:tcPr>
          <w:p>
            <w:pPr>
              <w:spacing w:before="0" w:after="0" w:line="259" w:lineRule="auto"/>
              <w:jc w:val="left"/>
            </w:pPr>
            <w:r>
              <w:t>Hidden if &lt;2 offer-ready</w:t>
            </w:r>
            <w:r>
              <w:rPr>
                <w:rFonts w:ascii="Aptos" w:hAnsi="Aptos"/>
                <w:b w:val="0"/>
                <w:i w:val="0"/>
                <w:color w:val="171B20"/>
                <w:sz w:val="15"/>
              </w:rPr>
            </w:r>
          </w:p>
        </w:tc>
        <w:tc>
          <w:tcPr>
            <w:tcW w:type="dxa" w:w="1000"/>
            <w:tcMar>
              <w:top w:w="90" w:type="dxa"/>
              <w:start w:w="120" w:type="dxa"/>
              <w:bottom w:w="90" w:type="dxa"/>
              <w:end w:w="120" w:type="dxa"/>
            </w:tcMar>
            <w:vAlign w:val="center"/>
          </w:tcPr>
          <w:p>
            <w:pPr>
              <w:spacing w:before="0" w:after="0" w:line="259" w:lineRule="auto"/>
              <w:jc w:val="left"/>
            </w:pPr>
            <w:r>
              <w:t>Yes</w:t>
            </w:r>
            <w:r>
              <w:rPr>
                <w:rFonts w:ascii="Aptos" w:hAnsi="Aptos"/>
                <w:b w:val="0"/>
                <w:i w:val="0"/>
                <w:color w:val="171B20"/>
                <w:sz w:val="15"/>
              </w:rPr>
            </w:r>
          </w:p>
        </w:tc>
        <w:tc>
          <w:tcPr>
            <w:tcW w:type="dxa" w:w="1450"/>
            <w:tcMar>
              <w:top w:w="90" w:type="dxa"/>
              <w:start w:w="120" w:type="dxa"/>
              <w:bottom w:w="90" w:type="dxa"/>
              <w:end w:w="120" w:type="dxa"/>
            </w:tcMar>
            <w:vAlign w:val="center"/>
          </w:tcPr>
          <w:p>
            <w:pPr>
              <w:spacing w:before="0" w:after="0" w:line="259" w:lineRule="auto"/>
              <w:jc w:val="left"/>
            </w:pPr>
            <w:r>
              <w:t>Cached</w:t>
            </w:r>
            <w:r>
              <w:rPr>
                <w:rFonts w:ascii="Aptos" w:hAnsi="Aptos"/>
                <w:b w:val="0"/>
                <w:i w:val="0"/>
                <w:color w:val="171B20"/>
                <w:sz w:val="15"/>
              </w:rPr>
            </w:r>
          </w:p>
        </w:tc>
        <w:tc>
          <w:tcPr>
            <w:tcW w:type="dxa" w:w="1250"/>
            <w:tcMar>
              <w:top w:w="90" w:type="dxa"/>
              <w:start w:w="120" w:type="dxa"/>
              <w:bottom w:w="90" w:type="dxa"/>
              <w:end w:w="120" w:type="dxa"/>
            </w:tcMar>
            <w:vAlign w:val="center"/>
          </w:tcPr>
          <w:p>
            <w:pPr>
              <w:spacing w:before="0" w:after="0" w:line="259" w:lineRule="auto"/>
              <w:jc w:val="left"/>
            </w:pPr>
            <w:r>
              <w:t>N/A</w:t>
            </w:r>
            <w:r>
              <w:rPr>
                <w:rFonts w:ascii="Aptos" w:hAnsi="Aptos"/>
                <w:b w:val="0"/>
                <w:i w:val="0"/>
                <w:color w:val="171B20"/>
                <w:sz w:val="15"/>
              </w:rPr>
            </w:r>
          </w:p>
        </w:tc>
        <w:tc>
          <w:tcPr>
            <w:tcW w:type="dxa" w:w="1410"/>
            <w:tcMar>
              <w:top w:w="90" w:type="dxa"/>
              <w:start w:w="120" w:type="dxa"/>
              <w:bottom w:w="90" w:type="dxa"/>
              <w:end w:w="120" w:type="dxa"/>
            </w:tcMar>
            <w:vAlign w:val="center"/>
          </w:tcPr>
          <w:p>
            <w:pPr>
              <w:spacing w:before="0" w:after="0" w:line="259" w:lineRule="auto"/>
              <w:jc w:val="left"/>
            </w:pPr>
            <w:r>
              <w:t>Per offer</w:t>
            </w:r>
            <w:r>
              <w:rPr>
                <w:rFonts w:ascii="Aptos" w:hAnsi="Aptos"/>
                <w:b w:val="0"/>
                <w:i w:val="0"/>
                <w:color w:val="171B20"/>
                <w:sz w:val="15"/>
              </w:rPr>
            </w:r>
          </w:p>
        </w:tc>
      </w:tr>
      <w:tr>
        <w:trPr>
          <w:cantSplit/>
        </w:trPr>
        <w:tc>
          <w:tcPr>
            <w:tcW w:type="dxa" w:w="1800"/>
            <w:tcMar>
              <w:top w:w="90" w:type="dxa"/>
              <w:start w:w="120" w:type="dxa"/>
              <w:bottom w:w="90" w:type="dxa"/>
              <w:end w:w="120" w:type="dxa"/>
            </w:tcMar>
            <w:vAlign w:val="center"/>
          </w:tcPr>
          <w:p>
            <w:pPr>
              <w:spacing w:before="0" w:after="0" w:line="259" w:lineRule="auto"/>
              <w:jc w:val="left"/>
            </w:pPr>
            <w:r>
              <w:t>UX-28 Cost Ledger</w:t>
            </w:r>
            <w:r>
              <w:rPr>
                <w:rFonts w:ascii="Aptos" w:hAnsi="Aptos"/>
                <w:b w:val="0"/>
                <w:i w:val="0"/>
                <w:color w:val="171B20"/>
                <w:sz w:val="15"/>
              </w:rPr>
            </w:r>
          </w:p>
        </w:tc>
        <w:tc>
          <w:tcPr>
            <w:tcW w:type="dxa" w:w="1000"/>
            <w:tcMar>
              <w:top w:w="90" w:type="dxa"/>
              <w:start w:w="120" w:type="dxa"/>
              <w:bottom w:w="90" w:type="dxa"/>
              <w:end w:w="120" w:type="dxa"/>
            </w:tcMar>
            <w:vAlign w:val="center"/>
          </w:tcPr>
          <w:p>
            <w:pPr>
              <w:spacing w:before="0" w:after="0" w:line="259" w:lineRule="auto"/>
              <w:jc w:val="left"/>
            </w:pPr>
            <w:r>
              <w:t>Yes</w:t>
            </w:r>
            <w:r>
              <w:rPr>
                <w:rFonts w:ascii="Aptos" w:hAnsi="Aptos"/>
                <w:b w:val="0"/>
                <w:i w:val="0"/>
                <w:color w:val="171B20"/>
                <w:sz w:val="15"/>
              </w:rPr>
            </w:r>
          </w:p>
        </w:tc>
        <w:tc>
          <w:tcPr>
            <w:tcW w:type="dxa" w:w="1450"/>
            <w:tcMar>
              <w:top w:w="90" w:type="dxa"/>
              <w:start w:w="120" w:type="dxa"/>
              <w:bottom w:w="90" w:type="dxa"/>
              <w:end w:w="120" w:type="dxa"/>
            </w:tcMar>
            <w:vAlign w:val="center"/>
          </w:tcPr>
          <w:p>
            <w:pPr>
              <w:spacing w:before="0" w:after="0" w:line="259" w:lineRule="auto"/>
              <w:jc w:val="left"/>
            </w:pPr>
            <w:r>
              <w:t>Empty buckets</w:t>
            </w:r>
            <w:r>
              <w:rPr>
                <w:rFonts w:ascii="Aptos" w:hAnsi="Aptos"/>
                <w:b w:val="0"/>
                <w:i w:val="0"/>
                <w:color w:val="171B20"/>
                <w:sz w:val="15"/>
              </w:rPr>
            </w:r>
          </w:p>
        </w:tc>
        <w:tc>
          <w:tcPr>
            <w:tcW w:type="dxa" w:w="1000"/>
            <w:tcMar>
              <w:top w:w="90" w:type="dxa"/>
              <w:start w:w="120" w:type="dxa"/>
              <w:bottom w:w="90" w:type="dxa"/>
              <w:end w:w="120" w:type="dxa"/>
            </w:tcMar>
            <w:vAlign w:val="center"/>
          </w:tcPr>
          <w:p>
            <w:pPr>
              <w:spacing w:before="0" w:after="0" w:line="259" w:lineRule="auto"/>
              <w:jc w:val="left"/>
            </w:pPr>
            <w:r>
              <w:t>Yes</w:t>
            </w:r>
            <w:r>
              <w:rPr>
                <w:rFonts w:ascii="Aptos" w:hAnsi="Aptos"/>
                <w:b w:val="0"/>
                <w:i w:val="0"/>
                <w:color w:val="171B20"/>
                <w:sz w:val="15"/>
              </w:rPr>
            </w:r>
          </w:p>
        </w:tc>
        <w:tc>
          <w:tcPr>
            <w:tcW w:type="dxa" w:w="1450"/>
            <w:tcMar>
              <w:top w:w="90" w:type="dxa"/>
              <w:start w:w="120" w:type="dxa"/>
              <w:bottom w:w="90" w:type="dxa"/>
              <w:end w:w="120" w:type="dxa"/>
            </w:tcMar>
            <w:vAlign w:val="center"/>
          </w:tcPr>
          <w:p>
            <w:pPr>
              <w:spacing w:before="0" w:after="0" w:line="259" w:lineRule="auto"/>
              <w:jc w:val="left"/>
            </w:pPr>
            <w:r>
              <w:t>Cached</w:t>
            </w:r>
            <w:r>
              <w:rPr>
                <w:rFonts w:ascii="Aptos" w:hAnsi="Aptos"/>
                <w:b w:val="0"/>
                <w:i w:val="0"/>
                <w:color w:val="171B20"/>
                <w:sz w:val="15"/>
              </w:rPr>
            </w:r>
          </w:p>
        </w:tc>
        <w:tc>
          <w:tcPr>
            <w:tcW w:type="dxa" w:w="1250"/>
            <w:tcMar>
              <w:top w:w="90" w:type="dxa"/>
              <w:start w:w="120" w:type="dxa"/>
              <w:bottom w:w="90" w:type="dxa"/>
              <w:end w:w="120" w:type="dxa"/>
            </w:tcMar>
            <w:vAlign w:val="center"/>
          </w:tcPr>
          <w:p>
            <w:pPr>
              <w:spacing w:before="0" w:after="0" w:line="259" w:lineRule="auto"/>
              <w:jc w:val="left"/>
            </w:pPr>
            <w:r>
              <w:t>N/A</w:t>
            </w:r>
            <w:r>
              <w:rPr>
                <w:rFonts w:ascii="Aptos" w:hAnsi="Aptos"/>
                <w:b w:val="0"/>
                <w:i w:val="0"/>
                <w:color w:val="171B20"/>
                <w:sz w:val="15"/>
              </w:rPr>
            </w:r>
          </w:p>
        </w:tc>
        <w:tc>
          <w:tcPr>
            <w:tcW w:type="dxa" w:w="1410"/>
            <w:tcMar>
              <w:top w:w="90" w:type="dxa"/>
              <w:start w:w="120" w:type="dxa"/>
              <w:bottom w:w="90" w:type="dxa"/>
              <w:end w:w="120" w:type="dxa"/>
            </w:tcMar>
            <w:vAlign w:val="center"/>
          </w:tcPr>
          <w:p>
            <w:pPr>
              <w:spacing w:before="0" w:after="0" w:line="259" w:lineRule="auto"/>
              <w:jc w:val="left"/>
            </w:pPr>
            <w:r>
              <w:t>Never as Booking</w:t>
            </w:r>
            <w:r>
              <w:rPr>
                <w:rFonts w:ascii="Aptos" w:hAnsi="Aptos"/>
                <w:b w:val="0"/>
                <w:i w:val="0"/>
                <w:color w:val="171B20"/>
                <w:sz w:val="15"/>
              </w:rPr>
            </w:r>
          </w:p>
        </w:tc>
      </w:tr>
    </w:tbl>
    <w:p>
      <w:pPr>
        <w:spacing w:after="20"/>
      </w:pPr>
    </w:p>
    <w:p>
      <w:pPr>
        <w:pStyle w:val="Heading1"/>
        <w:keepNext/>
      </w:pPr>
      <w:r>
        <w:t>Appendix B - Conflict resolution register</w:t>
      </w:r>
    </w:p>
    <w:tbl>
      <w:tblPr>
        <w:tblStyle w:val="TableGrid"/>
        <w:tblW w:type="dxa" w:w="9360"/>
        <w:jc w:val="left"/>
        <w:tblLayout w:type="fixed"/>
        <w:tblLook w:firstColumn="1" w:firstRow="1" w:lastColumn="0" w:lastRow="0" w:noHBand="0" w:noVBand="1" w:val="04A0"/>
        <w:tblInd w:w="120" w:type="dxa"/>
      </w:tblPr>
      <w:tblGrid>
        <w:gridCol w:w="2100"/>
        <w:gridCol w:w="1900"/>
        <w:gridCol w:w="5360"/>
      </w:tblGrid>
      <w:tr>
        <w:trPr>
          <w:cantSplit/>
          <w:tblHeader w:val="true"/>
        </w:trPr>
        <w:tc>
          <w:tcPr>
            <w:tcW w:type="dxa" w:w="210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6"/>
              </w:rPr>
              <w:t>Topic</w:t>
            </w:r>
          </w:p>
        </w:tc>
        <w:tc>
          <w:tcPr>
            <w:tcW w:type="dxa" w:w="190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6"/>
              </w:rPr>
              <w:t>Decision source</w:t>
            </w:r>
          </w:p>
        </w:tc>
        <w:tc>
          <w:tcPr>
            <w:tcW w:type="dxa" w:w="536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6"/>
              </w:rPr>
              <w:t>Final decision</w:t>
            </w:r>
          </w:p>
        </w:tc>
      </w:tr>
      <w:tr>
        <w:trPr>
          <w:cantSplit/>
        </w:trPr>
        <w:tc>
          <w:tcPr>
            <w:tcW w:type="dxa" w:w="21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Visual direction</w:t>
            </w:r>
          </w:p>
        </w:tc>
        <w:tc>
          <w:tcPr>
            <w:tcW w:type="dxa" w:w="19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Claude</w:t>
            </w:r>
          </w:p>
        </w:tc>
        <w:tc>
          <w:tcPr>
            <w:tcW w:type="dxa" w:w="5360"/>
            <w:tcMar>
              <w:top w:w="90" w:type="dxa"/>
              <w:start w:w="120" w:type="dxa"/>
              <w:bottom w:w="90" w:type="dxa"/>
              <w:end w:w="120" w:type="dxa"/>
            </w:tcMar>
            <w:vAlign w:val="center"/>
          </w:tcPr>
          <w:p>
            <w:pPr>
              <w:spacing w:before="0" w:after="0" w:line="259" w:lineRule="auto"/>
              <w:jc w:val="left"/>
            </w:pPr>
            <w:r>
              <w:t>Adopt approved ReservEdge warm cream/canvas, coral accent, dark rail, Schibsted Grotesk, and JetBrains Mono. Do not keep the older cool-slate ITAA palette as the public identity.</w:t>
            </w:r>
            <w:r>
              <w:rPr>
                <w:rFonts w:ascii="Aptos" w:hAnsi="Aptos"/>
                <w:b w:val="0"/>
                <w:i w:val="0"/>
                <w:color w:val="171B20"/>
                <w:sz w:val="16"/>
              </w:rPr>
            </w:r>
          </w:p>
        </w:tc>
      </w:tr>
      <w:tr>
        <w:trPr>
          <w:cantSplit/>
        </w:trPr>
        <w:tc>
          <w:tcPr>
            <w:tcW w:type="dxa" w:w="21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Engineering completeness</w:t>
            </w:r>
          </w:p>
        </w:tc>
        <w:tc>
          <w:tcPr>
            <w:tcW w:type="dxa" w:w="19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Genspark</w:t>
            </w:r>
          </w:p>
        </w:tc>
        <w:tc>
          <w:tcPr>
            <w:tcW w:type="dxa" w:w="53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Adopt component variants, states, recovery, privacy ledger, and implementation order.</w:t>
            </w:r>
          </w:p>
        </w:tc>
      </w:tr>
      <w:tr>
        <w:trPr>
          <w:cantSplit/>
        </w:trPr>
        <w:tc>
          <w:tcPr>
            <w:tcW w:type="dxa" w:w="21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Privacy navigation</w:t>
            </w:r>
          </w:p>
        </w:tc>
        <w:tc>
          <w:tcPr>
            <w:tcW w:type="dxa" w:w="19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Resolved hybrid</w:t>
            </w:r>
          </w:p>
        </w:tc>
        <w:tc>
          <w:tcPr>
            <w:tcW w:type="dxa" w:w="53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Contextual privacy on every intent; full Privacy Center under Account and web shortcut.</w:t>
            </w:r>
          </w:p>
        </w:tc>
      </w:tr>
      <w:tr>
        <w:trPr>
          <w:cantSplit/>
        </w:trPr>
        <w:tc>
          <w:tcPr>
            <w:tcW w:type="dxa" w:w="21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Approval count</w:t>
            </w:r>
          </w:p>
        </w:tc>
        <w:tc>
          <w:tcPr>
            <w:tcW w:type="dxa" w:w="19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Resolved</w:t>
            </w:r>
          </w:p>
        </w:tc>
        <w:tc>
          <w:tcPr>
            <w:tcW w:type="dxa" w:w="53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Two consequential gates; requirement confirmation and offer selection remain explicit non-gate actions.</w:t>
            </w:r>
          </w:p>
        </w:tc>
      </w:tr>
      <w:tr>
        <w:trPr>
          <w:cantSplit/>
        </w:trPr>
        <w:tc>
          <w:tcPr>
            <w:tcW w:type="dxa" w:w="21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Approval gesture</w:t>
            </w:r>
          </w:p>
        </w:tc>
        <w:tc>
          <w:tcPr>
            <w:tcW w:type="dxa" w:w="19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Resolved</w:t>
            </w:r>
          </w:p>
        </w:tc>
        <w:tc>
          <w:tcPr>
            <w:tcW w:type="dxa" w:w="53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Gesture optional; accessible standard confirmation is mandatory.</w:t>
            </w:r>
          </w:p>
        </w:tc>
      </w:tr>
      <w:tr>
        <w:trPr>
          <w:cantSplit/>
        </w:trPr>
        <w:tc>
          <w:tcPr>
            <w:tcW w:type="dxa" w:w="21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On-device claim</w:t>
            </w:r>
          </w:p>
        </w:tc>
        <w:tc>
          <w:tcPr>
            <w:tcW w:type="dxa" w:w="19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Rejected</w:t>
            </w:r>
          </w:p>
        </w:tc>
        <w:tc>
          <w:tcPr>
            <w:tcW w:type="dxa" w:w="53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Use buyer-agent privacy language unless released architecture proves on-device processing.</w:t>
            </w:r>
          </w:p>
        </w:tc>
      </w:tr>
      <w:tr>
        <w:trPr>
          <w:cantSplit/>
        </w:trPr>
        <w:tc>
          <w:tcPr>
            <w:tcW w:type="dxa" w:w="21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Disclosure revocation</w:t>
            </w:r>
          </w:p>
        </w:tc>
        <w:tc>
          <w:tcPr>
            <w:tcW w:type="dxa" w:w="19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Corrected</w:t>
            </w:r>
          </w:p>
        </w:tc>
        <w:tc>
          <w:tcPr>
            <w:tcW w:type="dxa" w:w="53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Stop future use/cancel/request deletion; never imply data can be unsent.</w:t>
            </w:r>
          </w:p>
        </w:tc>
      </w:tr>
      <w:tr>
        <w:trPr>
          <w:cantSplit/>
        </w:trPr>
        <w:tc>
          <w:tcPr>
            <w:tcW w:type="dxa" w:w="21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Supplier anonymity</w:t>
            </w:r>
          </w:p>
        </w:tc>
        <w:tc>
          <w:tcPr>
            <w:tcW w:type="dxa" w:w="19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Corrected</w:t>
            </w:r>
          </w:p>
        </w:tc>
        <w:tc>
          <w:tcPr>
            <w:tcW w:type="dxa" w:w="53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Isolation is supplier-to-supplier; buyer sees identity by offer and before authorization.</w:t>
            </w:r>
          </w:p>
        </w:tc>
      </w:tr>
      <w:tr>
        <w:trPr>
          <w:cantSplit/>
        </w:trPr>
        <w:tc>
          <w:tcPr>
            <w:tcW w:type="dxa" w:w="21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Countdown</w:t>
            </w:r>
          </w:p>
        </w:tc>
        <w:tc>
          <w:tcPr>
            <w:tcW w:type="dxa" w:w="19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Corrected</w:t>
            </w:r>
          </w:p>
        </w:tc>
        <w:tc>
          <w:tcPr>
            <w:tcW w:type="dxa" w:w="53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Supplier-derived validity and security expiry only; no universal urgency timer.</w:t>
            </w:r>
          </w:p>
        </w:tc>
      </w:tr>
      <w:tr>
        <w:trPr>
          <w:cantSplit/>
        </w:trPr>
        <w:tc>
          <w:tcPr>
            <w:tcW w:type="dxa" w:w="21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Supplier confidence</w:t>
            </w:r>
          </w:p>
        </w:tc>
        <w:tc>
          <w:tcPr>
            <w:tcW w:type="dxa" w:w="19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Corrected</w:t>
            </w:r>
          </w:p>
        </w:tc>
        <w:tc>
          <w:tcPr>
            <w:tcW w:type="dxa" w:w="53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Display only with provenance; label simulation; no fabricated history.</w:t>
            </w:r>
          </w:p>
        </w:tc>
      </w:tr>
      <w:tr>
        <w:trPr>
          <w:cantSplit/>
        </w:trPr>
        <w:tc>
          <w:tcPr>
            <w:tcW w:type="dxa" w:w="21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Plan name</w:t>
            </w:r>
          </w:p>
        </w:tc>
        <w:tc>
          <w:tcPr>
            <w:tcW w:type="dxa" w:w="19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Resolved</w:t>
            </w:r>
          </w:p>
        </w:tc>
        <w:tc>
          <w:tcPr>
            <w:tcW w:type="dxa" w:w="5360"/>
            <w:tcMar>
              <w:top w:w="90" w:type="dxa"/>
              <w:start w:w="120" w:type="dxa"/>
              <w:bottom w:w="90" w:type="dxa"/>
              <w:end w:w="120" w:type="dxa"/>
            </w:tcMar>
            <w:vAlign w:val="center"/>
          </w:tcPr>
          <w:p>
            <w:pPr>
              <w:spacing w:before="0" w:after="0" w:line="259" w:lineRule="auto"/>
              <w:jc w:val="left"/>
            </w:pPr>
            <w:r>
              <w:t>ReservEdge Pro (historical/internal offering label: ITAA Pro).</w:t>
            </w:r>
            <w:r>
              <w:rPr>
                <w:rFonts w:ascii="Aptos" w:hAnsi="Aptos"/>
                <w:b w:val="0"/>
                <w:i w:val="0"/>
                <w:color w:val="171B20"/>
                <w:sz w:val="16"/>
              </w:rPr>
            </w:r>
          </w:p>
        </w:tc>
      </w:tr>
      <w:tr>
        <w:trPr>
          <w:cantSplit/>
        </w:trPr>
        <w:tc>
          <w:tcPr>
            <w:tcW w:type="dxa" w:w="21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Free limits/pricing</w:t>
            </w:r>
          </w:p>
        </w:tc>
        <w:tc>
          <w:tcPr>
            <w:tcW w:type="dxa" w:w="19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Unresolved by design</w:t>
            </w:r>
          </w:p>
        </w:tc>
        <w:tc>
          <w:tcPr>
            <w:tcW w:type="dxa" w:w="53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Remote configuration/RevenueCat; no hard-coded 2 or 3 intent assumption.</w:t>
            </w:r>
          </w:p>
        </w:tc>
      </w:tr>
      <w:tr>
        <w:trPr>
          <w:cantSplit/>
        </w:trPr>
        <w:tc>
          <w:tcPr>
            <w:tcW w:type="dxa" w:w="21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Activity source</w:t>
            </w:r>
          </w:p>
        </w:tc>
        <w:tc>
          <w:tcPr>
            <w:tcW w:type="dxa" w:w="19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Corrected</w:t>
            </w:r>
          </w:p>
        </w:tc>
        <w:tc>
          <w:tcPr>
            <w:tcW w:type="dxa" w:w="53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Backend domain state and audit events authoritative; UI store is a cache/view.</w:t>
            </w:r>
          </w:p>
        </w:tc>
      </w:tr>
      <w:tr>
        <w:trPr>
          <w:cantSplit/>
        </w:trPr>
        <w:tc>
          <w:tcPr>
            <w:tcW w:type="dxa" w:w="21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Biometrics</w:t>
            </w:r>
          </w:p>
        </w:tc>
        <w:tc>
          <w:tcPr>
            <w:tcW w:type="dxa" w:w="19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Resolved</w:t>
            </w:r>
          </w:p>
        </w:tc>
        <w:tc>
          <w:tcPr>
            <w:tcW w:type="dxa" w:w="53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Optional in simulated MVP; step-up for real transactions or configured thresholds.</w:t>
            </w:r>
          </w:p>
        </w:tc>
      </w:tr>
    </w:tbl>
    <w:p>
      <w:pPr>
        <w:spacing w:after="20"/>
      </w:pPr>
    </w:p>
    <w:p>
      <w:pPr>
        <w:pStyle w:val="Heading1"/>
        <w:keepNext/>
      </w:pPr>
      <w:r>
        <w:t>Appendix C - Decision log</w:t>
      </w:r>
    </w:p>
    <w:tbl>
      <w:tblPr>
        <w:tblStyle w:val="TableGrid"/>
        <w:tblW w:type="dxa" w:w="9360"/>
        <w:jc w:val="left"/>
        <w:tblLayout w:type="fixed"/>
        <w:tblLook w:firstColumn="1" w:firstRow="1" w:lastColumn="0" w:lastRow="0" w:noHBand="0" w:noVBand="1" w:val="04A0"/>
        <w:tblInd w:w="120" w:type="dxa"/>
      </w:tblPr>
      <w:tblGrid>
        <w:gridCol w:w="1300"/>
        <w:gridCol w:w="2400"/>
        <w:gridCol w:w="1100"/>
        <w:gridCol w:w="4560"/>
      </w:tblGrid>
      <w:tr>
        <w:trPr>
          <w:cantSplit/>
          <w:tblHeader w:val="true"/>
        </w:trPr>
        <w:tc>
          <w:tcPr>
            <w:tcW w:type="dxa" w:w="130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6"/>
              </w:rPr>
              <w:t>ID</w:t>
            </w:r>
          </w:p>
        </w:tc>
        <w:tc>
          <w:tcPr>
            <w:tcW w:type="dxa" w:w="240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6"/>
              </w:rPr>
              <w:t>Decision</w:t>
            </w:r>
          </w:p>
        </w:tc>
        <w:tc>
          <w:tcPr>
            <w:tcW w:type="dxa" w:w="110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6"/>
              </w:rPr>
              <w:t>Status</w:t>
            </w:r>
          </w:p>
        </w:tc>
        <w:tc>
          <w:tcPr>
            <w:tcW w:type="dxa" w:w="4560"/>
            <w:shd w:fill="245D44"/>
            <w:tcMar>
              <w:top w:w="90" w:type="dxa"/>
              <w:start w:w="120" w:type="dxa"/>
              <w:bottom w:w="90" w:type="dxa"/>
              <w:end w:w="120" w:type="dxa"/>
            </w:tcMar>
            <w:vAlign w:val="center"/>
          </w:tcPr>
          <w:p>
            <w:pPr>
              <w:spacing w:before="0" w:after="0" w:line="259" w:lineRule="auto"/>
              <w:jc w:val="left"/>
            </w:pPr>
            <w:r/>
            <w:r>
              <w:rPr>
                <w:rFonts w:ascii="Aptos" w:hAnsi="Aptos"/>
                <w:b/>
                <w:i w:val="0"/>
                <w:color w:val="FFFFFF"/>
                <w:sz w:val="16"/>
              </w:rPr>
              <w:t>Consequence</w:t>
            </w:r>
          </w:p>
        </w:tc>
      </w:tr>
      <w:tr>
        <w:trPr>
          <w:cantSplit/>
        </w:trPr>
        <w:tc>
          <w:tcPr>
            <w:tcW w:type="dxa" w:w="13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UX-ADR-001</w:t>
            </w:r>
          </w:p>
        </w:tc>
        <w:tc>
          <w:tcPr>
            <w:tcW w:type="dxa" w:w="24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Intent Inbox, not chat</w:t>
            </w:r>
          </w:p>
        </w:tc>
        <w:tc>
          <w:tcPr>
            <w:tcW w:type="dxa" w:w="11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Accepted</w:t>
            </w:r>
          </w:p>
        </w:tc>
        <w:tc>
          <w:tcPr>
            <w:tcW w:type="dxa" w:w="45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Primary navigation centers on intents and decisions; chat is targeted clarification only.</w:t>
            </w:r>
          </w:p>
        </w:tc>
      </w:tr>
      <w:tr>
        <w:trPr>
          <w:cantSplit/>
        </w:trPr>
        <w:tc>
          <w:tcPr>
            <w:tcW w:type="dxa" w:w="13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UX-ADR-002</w:t>
            </w:r>
          </w:p>
        </w:tc>
        <w:tc>
          <w:tcPr>
            <w:tcW w:type="dxa" w:w="24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Privacy as contextual layer</w:t>
            </w:r>
          </w:p>
        </w:tc>
        <w:tc>
          <w:tcPr>
            <w:tcW w:type="dxa" w:w="11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Accepted</w:t>
            </w:r>
          </w:p>
        </w:tc>
        <w:tc>
          <w:tcPr>
            <w:tcW w:type="dxa" w:w="45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Shield on every intent plus full Privacy Center under Account.</w:t>
            </w:r>
          </w:p>
        </w:tc>
      </w:tr>
      <w:tr>
        <w:trPr>
          <w:cantSplit/>
        </w:trPr>
        <w:tc>
          <w:tcPr>
            <w:tcW w:type="dxa" w:w="13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UX-ADR-003</w:t>
            </w:r>
          </w:p>
        </w:tc>
        <w:tc>
          <w:tcPr>
            <w:tcW w:type="dxa" w:w="24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Two approval gates</w:t>
            </w:r>
          </w:p>
        </w:tc>
        <w:tc>
          <w:tcPr>
            <w:tcW w:type="dxa" w:w="11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Accepted</w:t>
            </w:r>
          </w:p>
        </w:tc>
        <w:tc>
          <w:tcPr>
            <w:tcW w:type="dxa" w:w="45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Disclosure and final action remain separate and version/hash bound.</w:t>
            </w:r>
          </w:p>
        </w:tc>
      </w:tr>
      <w:tr>
        <w:trPr>
          <w:cantSplit/>
        </w:trPr>
        <w:tc>
          <w:tcPr>
            <w:tcW w:type="dxa" w:w="13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UX-ADR-004</w:t>
            </w:r>
          </w:p>
        </w:tc>
        <w:tc>
          <w:tcPr>
            <w:tcW w:type="dxa" w:w="24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Claude visual baseline</w:t>
            </w:r>
          </w:p>
        </w:tc>
        <w:tc>
          <w:tcPr>
            <w:tcW w:type="dxa" w:w="11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Accepted</w:t>
            </w:r>
          </w:p>
        </w:tc>
        <w:tc>
          <w:tcPr>
            <w:tcW w:type="dxa" w:w="45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Cool editorial instrument with green confidence and clay attention.</w:t>
            </w:r>
          </w:p>
        </w:tc>
      </w:tr>
      <w:tr>
        <w:trPr>
          <w:cantSplit/>
        </w:trPr>
        <w:tc>
          <w:tcPr>
            <w:tcW w:type="dxa" w:w="13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UX-ADR-005</w:t>
            </w:r>
          </w:p>
        </w:tc>
        <w:tc>
          <w:tcPr>
            <w:tcW w:type="dxa" w:w="24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Genspark operational depth</w:t>
            </w:r>
          </w:p>
        </w:tc>
        <w:tc>
          <w:tcPr>
            <w:tcW w:type="dxa" w:w="11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Accepted</w:t>
            </w:r>
          </w:p>
        </w:tc>
        <w:tc>
          <w:tcPr>
            <w:tcW w:type="dxa" w:w="45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State/component/recovery specification incorporated without adopting conflicting visual or semantic assumptions.</w:t>
            </w:r>
          </w:p>
        </w:tc>
      </w:tr>
      <w:tr>
        <w:trPr>
          <w:cantSplit/>
        </w:trPr>
        <w:tc>
          <w:tcPr>
            <w:tcW w:type="dxa" w:w="13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UX-ADR-006</w:t>
            </w:r>
          </w:p>
        </w:tc>
        <w:tc>
          <w:tcPr>
            <w:tcW w:type="dxa" w:w="24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Qualitative fit</w:t>
            </w:r>
          </w:p>
        </w:tc>
        <w:tc>
          <w:tcPr>
            <w:tcW w:type="dxa" w:w="11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Accepted</w:t>
            </w:r>
          </w:p>
        </w:tc>
        <w:tc>
          <w:tcPr>
            <w:tcW w:type="dxa" w:w="45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Fair/Good/Strong fit; no fake score.</w:t>
            </w:r>
          </w:p>
        </w:tc>
      </w:tr>
      <w:tr>
        <w:trPr>
          <w:cantSplit/>
        </w:trPr>
        <w:tc>
          <w:tcPr>
            <w:tcW w:type="dxa" w:w="13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UX-ADR-007</w:t>
            </w:r>
          </w:p>
        </w:tc>
        <w:tc>
          <w:tcPr>
            <w:tcW w:type="dxa" w:w="24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Visible supplier identity</w:t>
            </w:r>
          </w:p>
        </w:tc>
        <w:tc>
          <w:tcPr>
            <w:tcW w:type="dxa" w:w="11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Accepted</w:t>
            </w:r>
          </w:p>
        </w:tc>
        <w:tc>
          <w:tcPr>
            <w:tcW w:type="dxa" w:w="45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Buyer sees supplier identity; suppliers remain isolated from each other.</w:t>
            </w:r>
          </w:p>
        </w:tc>
      </w:tr>
      <w:tr>
        <w:trPr>
          <w:cantSplit/>
        </w:trPr>
        <w:tc>
          <w:tcPr>
            <w:tcW w:type="dxa" w:w="13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UX-ADR-008</w:t>
            </w:r>
          </w:p>
        </w:tc>
        <w:tc>
          <w:tcPr>
            <w:tcW w:type="dxa" w:w="24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Accessible approval equivalence</w:t>
            </w:r>
          </w:p>
        </w:tc>
        <w:tc>
          <w:tcPr>
            <w:tcW w:type="dxa" w:w="11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Accepted</w:t>
            </w:r>
          </w:p>
        </w:tc>
        <w:tc>
          <w:tcPr>
            <w:tcW w:type="dxa" w:w="456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Gesture optional, standard confirmation mandatory.</w:t>
            </w:r>
          </w:p>
        </w:tc>
      </w:tr>
      <w:tr>
        <w:trPr>
          <w:cantSplit/>
        </w:trPr>
        <w:tc>
          <w:tcPr>
            <w:tcW w:type="dxa" w:w="13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UX-ADR-009</w:t>
            </w:r>
          </w:p>
        </w:tc>
        <w:tc>
          <w:tcPr>
            <w:tcW w:type="dxa" w:w="24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Simulation-first MVP</w:t>
            </w:r>
          </w:p>
        </w:tc>
        <w:tc>
          <w:tcPr>
            <w:tcW w:type="dxa" w:w="110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Accepted</w:t>
            </w:r>
          </w:p>
        </w:tc>
        <w:tc>
          <w:tcPr>
            <w:tcW w:type="dxa" w:w="4560"/>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Three simulated suppliers and simulated transaction; no real booking/payment implication.</w:t>
            </w:r>
          </w:p>
        </w:tc>
      </w:tr>
      <w:tr>
        <w:trPr>
          <w:cantSplit/>
        </w:trPr>
        <w:tc>
          <w:tcPr>
            <w:tcW w:type="dxa" w:w="13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UX-ADR-010</w:t>
            </w:r>
          </w:p>
        </w:tc>
        <w:tc>
          <w:tcPr>
            <w:tcW w:type="dxa" w:w="24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Configurable monetization</w:t>
            </w:r>
          </w:p>
        </w:tc>
        <w:tc>
          <w:tcPr>
            <w:tcW w:type="dxa" w:w="1100"/>
            <w:shd w:fill="F5F7F8"/>
            <w:tcMar>
              <w:top w:w="90" w:type="dxa"/>
              <w:start w:w="120" w:type="dxa"/>
              <w:bottom w:w="90" w:type="dxa"/>
              <w:end w:w="120" w:type="dxa"/>
            </w:tcMar>
            <w:vAlign w:val="center"/>
          </w:tcPr>
          <w:p>
            <w:pPr>
              <w:spacing w:before="0" w:after="0" w:line="259" w:lineRule="auto"/>
              <w:jc w:val="left"/>
            </w:pPr>
            <w:r/>
            <w:r>
              <w:rPr>
                <w:rFonts w:ascii="Aptos" w:hAnsi="Aptos"/>
                <w:b w:val="0"/>
                <w:i w:val="0"/>
                <w:color w:val="171B20"/>
                <w:sz w:val="16"/>
              </w:rPr>
              <w:t>Accepted</w:t>
            </w:r>
          </w:p>
        </w:tc>
        <w:tc>
          <w:tcPr>
            <w:tcW w:type="dxa" w:w="4560"/>
            <w:shd w:fill="F5F7F8"/>
            <w:tcMar>
              <w:top w:w="90" w:type="dxa"/>
              <w:start w:w="120" w:type="dxa"/>
              <w:bottom w:w="90" w:type="dxa"/>
              <w:end w:w="120" w:type="dxa"/>
            </w:tcMar>
            <w:vAlign w:val="center"/>
          </w:tcPr>
          <w:p>
            <w:pPr>
              <w:spacing w:before="0" w:after="0" w:line="259" w:lineRule="auto"/>
              <w:jc w:val="left"/>
            </w:pPr>
            <w:r>
              <w:t>Future productization only: ReservEdge Pro (historical/internal label ITAA Pro) and RevenueCat-driven offerings; no current implementation authority; no fixed proposal pricing or limits.</w:t>
            </w:r>
            <w:r>
              <w:rPr>
                <w:rFonts w:ascii="Aptos" w:hAnsi="Aptos"/>
                <w:b w:val="0"/>
                <w:i w:val="0"/>
                <w:color w:val="171B20"/>
                <w:sz w:val="16"/>
              </w:rPr>
            </w:r>
          </w:p>
        </w:tc>
      </w:tr>
      <w:tr>
        <w:trPr>
          <w:cantSplit/>
        </w:trPr>
        <w:tc>
          <w:tcPr>
            <w:tcW w:type="dxa" w:w="1300"/>
            <w:shd w:fill="F5F7F8"/>
            <w:tcMar>
              <w:top w:w="90" w:type="dxa"/>
              <w:start w:w="120" w:type="dxa"/>
              <w:bottom w:w="90" w:type="dxa"/>
              <w:end w:w="120" w:type="dxa"/>
            </w:tcMar>
            <w:vAlign w:val="center"/>
          </w:tcPr>
          <w:p>
            <w:pPr>
              <w:spacing w:before="0" w:after="0" w:line="259" w:lineRule="auto"/>
              <w:jc w:val="left"/>
            </w:pPr>
            <w:r>
              <w:t>UX-ADR-011</w:t>
            </w:r>
            <w:r>
              <w:rPr>
                <w:rFonts w:ascii="Aptos" w:hAnsi="Aptos"/>
                <w:b w:val="0"/>
                <w:i w:val="0"/>
                <w:color w:val="171B20"/>
                <w:sz w:val="16"/>
              </w:rPr>
            </w:r>
          </w:p>
        </w:tc>
        <w:tc>
          <w:tcPr>
            <w:tcW w:type="dxa" w:w="2400"/>
            <w:shd w:fill="F5F7F8"/>
            <w:tcMar>
              <w:top w:w="90" w:type="dxa"/>
              <w:start w:w="120" w:type="dxa"/>
              <w:bottom w:w="90" w:type="dxa"/>
              <w:end w:w="120" w:type="dxa"/>
            </w:tcMar>
            <w:vAlign w:val="center"/>
          </w:tcPr>
          <w:p>
            <w:pPr>
              <w:spacing w:before="0" w:after="0" w:line="259" w:lineRule="auto"/>
              <w:jc w:val="left"/>
            </w:pPr>
            <w:r>
              <w:t>Intent-first conversation + structured authority; ReservEdge identity; parking-first multi-domain</w:t>
            </w:r>
            <w:r>
              <w:rPr>
                <w:rFonts w:ascii="Aptos" w:hAnsi="Aptos"/>
                <w:b w:val="0"/>
                <w:i w:val="0"/>
                <w:color w:val="171B20"/>
                <w:sz w:val="16"/>
              </w:rPr>
            </w:r>
          </w:p>
        </w:tc>
        <w:tc>
          <w:tcPr>
            <w:tcW w:type="dxa" w:w="1100"/>
            <w:shd w:fill="F5F7F8"/>
            <w:tcMar>
              <w:top w:w="90" w:type="dxa"/>
              <w:start w:w="120" w:type="dxa"/>
              <w:bottom w:w="90" w:type="dxa"/>
              <w:end w:w="120" w:type="dxa"/>
            </w:tcMar>
            <w:vAlign w:val="center"/>
          </w:tcPr>
          <w:p>
            <w:pPr>
              <w:spacing w:before="0" w:after="0" w:line="259" w:lineRule="auto"/>
              <w:jc w:val="left"/>
            </w:pPr>
            <w:r>
              <w:t>Candidate</w:t>
            </w:r>
            <w:r>
              <w:rPr>
                <w:rFonts w:ascii="Aptos" w:hAnsi="Aptos"/>
                <w:b w:val="0"/>
                <w:i w:val="0"/>
                <w:color w:val="171B20"/>
                <w:sz w:val="16"/>
              </w:rPr>
            </w:r>
          </w:p>
        </w:tc>
        <w:tc>
          <w:tcPr>
            <w:tcW w:type="dxa" w:w="4560"/>
            <w:shd w:fill="F5F7F8"/>
            <w:tcMar>
              <w:top w:w="90" w:type="dxa"/>
              <w:start w:w="120" w:type="dxa"/>
              <w:bottom w:w="90" w:type="dxa"/>
              <w:end w:w="120" w:type="dxa"/>
            </w:tcMar>
            <w:vAlign w:val="center"/>
          </w:tcPr>
          <w:p>
            <w:pPr>
              <w:spacing w:before="0" w:after="0" w:line="259" w:lineRule="auto"/>
              <w:jc w:val="left"/>
            </w:pPr>
            <w:r>
              <w:t>See repository ADR-0006 and DEFINITION_GATE.md. Does not reopen privacy/governance/ranking/simulation semantics.</w:t>
            </w:r>
            <w:r>
              <w:rPr>
                <w:rFonts w:ascii="Aptos" w:hAnsi="Aptos"/>
                <w:b w:val="0"/>
                <w:i w:val="0"/>
                <w:color w:val="171B20"/>
                <w:sz w:val="16"/>
              </w:rPr>
            </w:r>
          </w:p>
        </w:tc>
      </w:tr>
    </w:tbl>
    <w:p>
      <w:pPr>
        <w:spacing w:after="20"/>
      </w:pPr>
    </w:p>
    <w:p>
      <w:pPr>
        <w:pStyle w:val="Heading1"/>
        <w:keepNext/>
      </w:pPr>
      <w:r>
        <w:t>Appendix D - Cursor completion evidence template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1F3F4"/>
            <w:tcMar>
              <w:top w:w="90" w:type="dxa"/>
              <w:start w:w="120" w:type="dxa"/>
              <w:bottom w:w="90" w:type="dxa"/>
              <w:end w:w="120" w:type="dxa"/>
            </w:tcMar>
            <w:vAlign w:val="center"/>
          </w:tcPr>
          <w:p>
            <w:pPr>
              <w:spacing w:after="0" w:line="240" w:lineRule="auto"/>
            </w:pPr>
            <w:r/>
            <w:r>
              <w:rPr>
                <w:rFonts w:ascii="Consolas" w:hAnsi="Consolas"/>
                <w:b w:val="0"/>
                <w:i w:val="0"/>
                <w:color w:val="171B20"/>
                <w:sz w:val="16"/>
              </w:rPr>
              <w:t>WORK PACKAGE: UI-XX</w:t>
              <w:br/>
              <w:t>STATUS: complete | partial | blocked</w:t>
              <w:br/>
              <w:br/>
              <w:t>SCREENS / COMPONENTS</w:t>
              <w:br/>
              <w:t>- IDs implemented and variants covered</w:t>
              <w:br/>
              <w:br/>
              <w:t>ACCEPTANCE EVIDENCE</w:t>
              <w:br/>
              <w:t>- UX-AC-XX: PASS/FAIL - test, screenshot, or trace</w:t>
              <w:br/>
              <w:br/>
              <w:t>ACCESSIBILITY</w:t>
              <w:br/>
              <w:t>- Keyboard, screen reader, scaling, contrast, reduced motion</w:t>
              <w:br/>
              <w:br/>
              <w:t>PRIVACY / APPROVAL / SIMULATION</w:t>
              <w:br/>
              <w:t>- Data displayed, logged, disclosed; approval binding; simulation checks</w:t>
              <w:br/>
              <w:br/>
              <w:t>RESPONSIVE EVIDENCE</w:t>
              <w:br/>
              <w:t>- Compact, medium, wide, 200% zoom / dynamic type</w:t>
              <w:br/>
              <w:br/>
              <w:t>TESTS RUN</w:t>
              <w:br/>
              <w:t>- Exact commands and results</w:t>
              <w:br/>
              <w:br/>
              <w:t>CHANGES / DECISIONS / OPEN ITEMS</w:t>
              <w:br/>
              <w:t>- Files, dependencies, ADRs, limitations, recommended next package</w:t>
            </w:r>
          </w:p>
        </w:tc>
      </w:tr>
    </w:tbl>
    <w:p>
      <w:pPr>
        <w:spacing w:after="20"/>
      </w:pPr>
    </w:p>
    <w:p>
      <w:pPr>
        <w:pStyle w:val="Heading1"/>
        <w:keepNext/>
      </w:pPr>
      <w:r>
        <w:t>Final implementation directive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EAF3EE"/>
            <w:tcMar>
              <w:top w:w="90" w:type="dxa"/>
              <w:start w:w="120" w:type="dxa"/>
              <w:bottom w:w="90" w:type="dxa"/>
              <w:end w:w="120" w:type="dxa"/>
            </w:tcMar>
            <w:vAlign w:val="center"/>
          </w:tcPr>
          <w:p>
            <w:pPr>
              <w:spacing w:after="60"/>
            </w:pPr>
            <w:r>
              <w:rPr>
                <w:rFonts w:ascii="Consolas" w:hAnsi="Consolas"/>
                <w:b/>
                <w:i w:val="0"/>
                <w:color w:val="245D44"/>
                <w:sz w:val="17"/>
              </w:rPr>
              <w:t>SINGLE SOURCE OF TRUTH</w:t>
              <w:br/>
              <w:t>Build the disclosure-to-decision spine first. Preserve the buyer trust boundary, exact sent/withheld preview, supplier isolation, qualitative recommendation, distinct final authorization, accessible equivalents, and unmistakable simulation. Google and AWS remain adapters to the same cloud-neutral experience; Future RevenueCat/store productization, if later approved by ADR and work order, would extend it rather than creating a separate product. It has no current implementation authority.</w:t>
            </w:r>
          </w:p>
          <w:p>
            <w:pPr>
              <w:spacing w:after="0" w:line="271" w:lineRule="auto"/>
            </w:pPr>
            <w:r>
              <w:rPr>
                <w:rFonts w:ascii="Aptos" w:hAnsi="Aptos"/>
                <w:b w:val="0"/>
                <w:i w:val="0"/>
                <w:color w:val="171B20"/>
                <w:sz w:val="20"/>
              </w:rPr>
            </w:r>
          </w:p>
        </w:tc>
      </w:tr>
    </w:tbl>
    <w:p>
      <w:pPr>
        <w:spacing w:after="20"/>
      </w:pPr>
    </w:p>
    <w:sectPr w:rsidR="00FC693F" w:rsidRPr="0006063C" w:rsidSect="00034616">
      <w:headerReference w:type="default" r:id="rId9"/>
      <w:footerReference w:type="default" r:id="rId10"/>
      <w:footerReference w:type="first" r:id="rId11"/>
      <w:footerReference w:type="even" r:id="rId12"/>
      <w:pgSz w:w="12240" w:h="15840"/>
      <w:pgMar w:top="1181" w:right="1440" w:bottom="1123" w:left="1440"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onsolas" w:hAnsi="Consolas"/>
        <w:b w:val="0"/>
        <w:i w:val="0"/>
        <w:color w:val="586069"/>
        <w:sz w:val="16"/>
      </w:rPr>
      <w:t xml:space="preserve">ReservEdge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onsolas" w:hAnsi="Consolas"/>
        <w:b w:val="0"/>
        <w:i w:val="0"/>
        <w:color w:val="586069"/>
        <w:sz w:val="16"/>
      </w:rPr>
      <w:t>ReservEdge  |  Unified UI/UX Design Specification  |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abstractNum w:abstractNumId="11">
    <w:multiLevelType w:val="singleLevel"/>
    <w:lvl w:ilvl="0">
      <w:start w:val="1"/>
      <w:numFmt w:val="decimal"/>
      <w:lvlText w:val="%1."/>
      <w:lvlJc w:val="left"/>
      <w:pPr>
        <w:tabs>
          <w:tab w:val="num" w:pos="540"/>
        </w:tabs>
        <w:ind w:left="540" w:hanging="270"/>
      </w:pPr>
    </w:lvl>
  </w:abstractNum>
  <w:num w:numId="12">
    <w:abstractNumId w:val="11"/>
  </w:num>
  <w:abstractNum w:abstractNumId="12">
    <w:multiLevelType w:val="singleLevel"/>
    <w:lvl w:ilvl="0">
      <w:start w:val="1"/>
      <w:numFmt w:val="decimal"/>
      <w:lvlText w:val="%1."/>
      <w:lvlJc w:val="left"/>
      <w:pPr>
        <w:tabs>
          <w:tab w:val="num" w:pos="540"/>
        </w:tabs>
        <w:ind w:left="540" w:hanging="270"/>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ptos" w:hAnsi="Aptos"/>
      <w:color w:val="171B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w:hAnsi="Aptos"/>
      <w:b/>
      <w:bCs/>
      <w:color w:val="245D44"/>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w:hAnsi="Aptos"/>
      <w:b/>
      <w:bCs/>
      <w:color w:val="245D44"/>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B25A3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Aptos" w:hAnsi="Aptos"/>
      <w:sz w:val="21"/>
    </w:rPr>
  </w:style>
  <w:style w:type="paragraph" w:styleId="ListBullet2">
    <w:name w:val="List Bullet 2"/>
    <w:basedOn w:val="Normal"/>
    <w:uiPriority w:val="99"/>
    <w:unhideWhenUsed/>
    <w:rsid w:val="00326F90"/>
    <w:pPr>
      <w:numPr>
        <w:numId w:val="2"/>
      </w:numPr>
      <w:spacing w:after="80" w:line="300" w:lineRule="auto"/>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
    <w:name w:val="Requirement"/>
    <w:basedOn w:val="Normal"/>
    <w:pPr>
      <w:spacing w:after="100"/>
      <w:ind w:left="259" w:hanging="259"/>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ReservEdge Unified UI/UX Design Specification</dc:title>
  <dc:subject>Implementation-ready web and mobile UI/UX handoff for ITAA v1</dc:subject>
  <dc:creator>ITAA Product Team</dc:creator>
  <cp:keywords>ITAA, UI, UX, privacy, agentic commerce, RevenueCat, Google, AWS, ReservEdge, Intent-first</cp:keywords>
  <dc:description>v1.1 revision 2 after Product Owner G0-CHANGE-CONTROL review. Not registered.</dc:description>
  <cp:lastModifiedBy>ITAA Product Team</cp:lastModifiedBy>
  <cp:revision>2</cp:revision>
  <dcterms:created xsi:type="dcterms:W3CDTF">2013-12-23T23:15:00Z</dcterms:created>
  <dcterms:modified xsi:type="dcterms:W3CDTF">2026-09-01T16:30:00Z</dcterms:modified>
  <cp:category/>
</cp:coreProperties>
</file>