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spacing w:after="240"/>
      </w:pPr>
      <w:r>
        <w:rPr>
          <w:rFonts w:ascii="Aptos" w:hAnsi="Aptos"/>
          <w:b/>
          <w:color w:val="1C8C84"/>
          <w:sz w:val="20"/>
        </w:rPr>
        <w:t>PRODUCT + TECHNICAL SPECIFICATION</w:t>
      </w:r>
    </w:p>
    <w:p>
      <w:pPr>
        <w:pStyle w:val="Title"/>
      </w:pPr>
      <w:r>
        <w:t>ReservEdge</w:t>
      </w:r>
    </w:p>
    <w:p>
      <w:pPr>
        <w:pStyle w:val="Subtitle"/>
      </w:pPr>
      <w:r>
        <w:t>Intent to Action Agent (ITAA) — public product name ReservEdge</w:t>
      </w:r>
    </w:p>
    <w:p>
      <w:pPr>
        <w:spacing w:after="440"/>
      </w:pPr>
      <w:r>
        <w:rPr>
          <w:rFonts w:ascii="Aptos" w:hAnsi="Aptos"/>
          <w:b/>
          <w:color w:val="17324D"/>
          <w:sz w:val="34"/>
        </w:rPr>
        <w:t>You don’t search. You decide.</w:t>
      </w:r>
    </w:p>
    <w:tbl>
      <w:tblPr>
        <w:tblW w:type="dxa" w:w="9360"/>
        <w:jc w:val="center"/>
        <w:tblLayout w:type="fixed"/>
        <w:tblLook w:firstColumn="1" w:firstRow="1" w:lastColumn="0" w:lastRow="0" w:noHBand="0" w:noVBand="1" w:val="04A0"/>
        <w:tblInd w:w="120" w:type="dxa"/>
      </w:tblPr>
      <w:tblGrid>
        <w:gridCol w:w="9432"/>
      </w:tblGrid>
      <w:tr>
        <w:trPr>
          <w:cantSplit/>
        </w:trPr>
        <w:tc>
          <w:tcPr>
            <w:tcW w:type="dxa" w:w="9432"/>
            <w:shd w:fill="F4F7F9"/>
            <w:tcMar>
              <w:top w:w="130" w:type="dxa"/>
              <w:start w:w="160" w:type="dxa"/>
              <w:bottom w:w="130" w:type="dxa"/>
              <w:end w:w="160" w:type="dxa"/>
            </w:tcMar>
          </w:tcPr>
          <w:p>
            <w:pPr>
              <w:spacing w:after="0"/>
            </w:pPr>
            <w:r>
              <w:rPr>
                <w:rFonts w:ascii="Aptos" w:hAnsi="Aptos"/>
                <w:b/>
                <w:color w:val="1C8C84"/>
                <w:sz w:val="17"/>
              </w:rPr>
              <w:t xml:space="preserve">PRODUCT THESIS  </w:t>
            </w:r>
            <w:r>
              <w:rPr>
                <w:rFonts w:ascii="Aptos" w:hAnsi="Aptos"/>
                <w:b/>
                <w:color w:val="17212B"/>
                <w:sz w:val="19"/>
              </w:rPr>
              <w:t>A privacy-first buyer agent that converts life-generated needs into governed purchase decisions, private supplier competition, and human-authorized action.</w:t>
            </w:r>
          </w:p>
        </w:tc>
      </w:tr>
    </w:tbl>
    <w:p>
      <w:pPr>
        <w:spacing w:after="20"/>
      </w:pPr>
    </w:p>
    <w:p>
      <w:pPr>
        <w:spacing w:after="560"/>
      </w:pP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3096"/>
            <w:shd w:fill="17324D"/>
            <w:tcMar>
              <w:top w:w="90" w:type="dxa"/>
              <w:start w:w="120" w:type="dxa"/>
              <w:bottom w:w="90" w:type="dxa"/>
              <w:end w:w="120" w:type="dxa"/>
            </w:tcMar>
          </w:tcPr>
          <w:p>
            <w:pPr>
              <w:spacing w:after="0"/>
            </w:pPr>
            <w:r>
              <w:rPr>
                <w:rFonts w:ascii="Aptos" w:hAnsi="Aptos"/>
                <w:b/>
                <w:color w:val="FFFFFF"/>
                <w:sz w:val="17"/>
              </w:rPr>
              <w:t>DELIVERY GATE</w:t>
            </w:r>
          </w:p>
        </w:tc>
        <w:tc>
          <w:tcPr>
            <w:tcW w:type="dxa" w:w="1944"/>
            <w:shd w:fill="17324D"/>
            <w:tcMar>
              <w:top w:w="90" w:type="dxa"/>
              <w:start w:w="120" w:type="dxa"/>
              <w:bottom w:w="90" w:type="dxa"/>
              <w:end w:w="120" w:type="dxa"/>
            </w:tcMar>
          </w:tcPr>
          <w:p>
            <w:pPr>
              <w:spacing w:after="0"/>
            </w:pPr>
            <w:r>
              <w:rPr>
                <w:rFonts w:ascii="Aptos" w:hAnsi="Aptos"/>
                <w:b/>
                <w:color w:val="FFFFFF"/>
                <w:sz w:val="17"/>
              </w:rPr>
              <w:t>DATE</w:t>
            </w:r>
          </w:p>
        </w:tc>
        <w:tc>
          <w:tcPr>
            <w:tcW w:type="dxa" w:w="4320"/>
            <w:shd w:fill="17324D"/>
            <w:tcMar>
              <w:top w:w="90" w:type="dxa"/>
              <w:start w:w="120" w:type="dxa"/>
              <w:bottom w:w="90" w:type="dxa"/>
              <w:end w:w="120" w:type="dxa"/>
            </w:tcMar>
          </w:tcPr>
          <w:p>
            <w:pPr>
              <w:spacing w:after="0"/>
            </w:pPr>
            <w:r>
              <w:rPr>
                <w:rFonts w:ascii="Aptos" w:hAnsi="Aptos"/>
                <w:b/>
                <w:color w:val="FFFFFF"/>
                <w:sz w:val="17"/>
              </w:rPr>
              <w:t>PROOF</w:t>
            </w:r>
          </w:p>
        </w:tc>
      </w:tr>
      <w:tr>
        <w:trPr>
          <w:cantSplit/>
        </w:trPr>
        <w:tc>
          <w:tcPr>
            <w:tcW w:type="dxa" w:w="3096"/>
            <w:vAlign w:val="center"/>
            <w:tcMar>
              <w:top w:w="90" w:type="dxa"/>
              <w:start w:w="120" w:type="dxa"/>
              <w:bottom w:w="90" w:type="dxa"/>
              <w:end w:w="120" w:type="dxa"/>
            </w:tcMar>
          </w:tcPr>
          <w:p>
            <w:pPr>
              <w:spacing w:after="0"/>
            </w:pPr>
            <w:r>
              <w:rPr>
                <w:rFonts w:ascii="Aptos" w:hAnsi="Aptos"/>
                <w:color w:val="17212B"/>
                <w:sz w:val="17"/>
              </w:rPr>
              <w:t>Google All Things Agentic</w:t>
            </w:r>
          </w:p>
        </w:tc>
        <w:tc>
          <w:tcPr>
            <w:tcW w:type="dxa" w:w="1944"/>
            <w:vAlign w:val="center"/>
            <w:tcMar>
              <w:top w:w="90" w:type="dxa"/>
              <w:start w:w="120" w:type="dxa"/>
              <w:bottom w:w="90" w:type="dxa"/>
              <w:end w:w="120" w:type="dxa"/>
            </w:tcMar>
          </w:tcPr>
          <w:p>
            <w:pPr>
              <w:spacing w:after="0"/>
            </w:pPr>
            <w:r>
              <w:rPr>
                <w:rFonts w:ascii="Aptos" w:hAnsi="Aptos"/>
                <w:color w:val="17212B"/>
                <w:sz w:val="17"/>
              </w:rPr>
              <w:t>Aug 31, 2026</w:t>
            </w:r>
          </w:p>
        </w:tc>
        <w:tc>
          <w:tcPr>
            <w:tcW w:type="dxa" w:w="4320"/>
            <w:vAlign w:val="center"/>
            <w:tcMar>
              <w:top w:w="90" w:type="dxa"/>
              <w:start w:w="120" w:type="dxa"/>
              <w:bottom w:w="90" w:type="dxa"/>
              <w:end w:w="120" w:type="dxa"/>
            </w:tcMar>
          </w:tcPr>
          <w:p>
            <w:pPr>
              <w:spacing w:after="0"/>
            </w:pPr>
            <w:r>
              <w:rPr>
                <w:rFonts w:ascii="Aptos" w:hAnsi="Aptos"/>
                <w:color w:val="17212B"/>
                <w:sz w:val="17"/>
              </w:rPr>
              <w:t>Agentic workflow</w:t>
            </w:r>
          </w:p>
        </w:tc>
      </w:tr>
      <w:tr>
        <w:trPr>
          <w:cantSplit/>
        </w:trPr>
        <w:tc>
          <w:tcPr>
            <w:tcW w:type="dxa" w:w="3096"/>
            <w:vAlign w:val="center"/>
            <w:tcMar>
              <w:top w:w="90" w:type="dxa"/>
              <w:start w:w="120" w:type="dxa"/>
              <w:bottom w:w="90" w:type="dxa"/>
              <w:end w:w="120" w:type="dxa"/>
            </w:tcMar>
            <w:shd w:fill="F8FAFB"/>
          </w:tcPr>
          <w:p>
            <w:pPr>
              <w:spacing w:after="0"/>
            </w:pPr>
            <w:r>
              <w:rPr>
                <w:rFonts w:ascii="Aptos" w:hAnsi="Aptos"/>
                <w:color w:val="17212B"/>
                <w:sz w:val="17"/>
              </w:rPr>
              <w:t>AWS Agents for Humans</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7"/>
              </w:rPr>
              <w:t>Sep 14, 2026</w:t>
            </w:r>
          </w:p>
        </w:tc>
        <w:tc>
          <w:tcPr>
            <w:tcW w:type="dxa" w:w="4320"/>
            <w:vAlign w:val="center"/>
            <w:tcMar>
              <w:top w:w="90" w:type="dxa"/>
              <w:start w:w="120" w:type="dxa"/>
              <w:bottom w:w="90" w:type="dxa"/>
              <w:end w:w="120" w:type="dxa"/>
            </w:tcMar>
            <w:shd w:fill="F8FAFB"/>
          </w:tcPr>
          <w:p>
            <w:pPr>
              <w:spacing w:after="0"/>
            </w:pPr>
            <w:r>
              <w:rPr>
                <w:rFonts w:ascii="Aptos" w:hAnsi="Aptos"/>
                <w:color w:val="17212B"/>
                <w:sz w:val="17"/>
              </w:rPr>
              <w:t>Agent platform + governance</w:t>
            </w:r>
          </w:p>
        </w:tc>
      </w:tr>
      <w:tr>
        <w:trPr>
          <w:cantSplit/>
        </w:trPr>
        <w:tc>
          <w:tcPr>
            <w:tcW w:type="dxa" w:w="3096"/>
            <w:vAlign w:val="center"/>
            <w:tcMar>
              <w:top w:w="90" w:type="dxa"/>
              <w:start w:w="120" w:type="dxa"/>
              <w:bottom w:w="90" w:type="dxa"/>
              <w:end w:w="120" w:type="dxa"/>
            </w:tcMar>
          </w:tcPr>
          <w:p>
            <w:pPr>
              <w:spacing w:after="0"/>
            </w:pPr>
            <w:r>
              <w:rPr>
                <w:rFonts w:ascii="Aptos" w:hAnsi="Aptos"/>
                <w:color w:val="17212B"/>
                <w:sz w:val="17"/>
              </w:rPr>
              <w:t>RevenueCat Shipaton</w:t>
            </w:r>
          </w:p>
        </w:tc>
        <w:tc>
          <w:tcPr>
            <w:tcW w:type="dxa" w:w="1944"/>
            <w:vAlign w:val="center"/>
            <w:tcMar>
              <w:top w:w="90" w:type="dxa"/>
              <w:start w:w="120" w:type="dxa"/>
              <w:bottom w:w="90" w:type="dxa"/>
              <w:end w:w="120" w:type="dxa"/>
            </w:tcMar>
          </w:tcPr>
          <w:p>
            <w:pPr>
              <w:spacing w:after="0"/>
            </w:pPr>
            <w:r>
              <w:rPr>
                <w:rFonts w:ascii="Aptos" w:hAnsi="Aptos"/>
                <w:color w:val="17212B"/>
                <w:sz w:val="17"/>
              </w:rPr>
              <w:t>Sep 30, 2026</w:t>
            </w:r>
          </w:p>
        </w:tc>
        <w:tc>
          <w:tcPr>
            <w:tcW w:type="dxa" w:w="4320"/>
            <w:vAlign w:val="center"/>
            <w:tcMar>
              <w:top w:w="90" w:type="dxa"/>
              <w:start w:w="120" w:type="dxa"/>
              <w:bottom w:w="90" w:type="dxa"/>
              <w:end w:w="120" w:type="dxa"/>
            </w:tcMar>
          </w:tcPr>
          <w:p>
            <w:pPr>
              <w:spacing w:after="0"/>
            </w:pPr>
            <w:r>
              <w:rPr>
                <w:rFonts w:ascii="Aptos" w:hAnsi="Aptos"/>
                <w:color w:val="17212B"/>
                <w:sz w:val="17"/>
              </w:rPr>
              <w:t>Market-ready mobile product</w:t>
            </w:r>
          </w:p>
        </w:tc>
      </w:tr>
    </w:tbl>
    <w:p>
      <w:pPr>
        <w:spacing w:after="20"/>
      </w:pPr>
    </w:p>
    <w:p>
      <w:pPr>
        <w:spacing w:before="500"/>
      </w:pPr>
      <w:r>
        <w:rPr>
          <w:rFonts w:ascii="Aptos" w:hAnsi="Aptos"/>
          <w:color w:val="5B6875"/>
          <w:sz w:val="18"/>
        </w:rPr>
        <w:t>Version 1.1  •  Intent-first change-control candidate  •  1 September 2026</w:t>
      </w:r>
    </w:p>
    <w:p>
      <w:r>
        <w:rPr>
          <w:rFonts w:ascii="Aptos" w:hAnsi="Aptos"/>
          <w:b/>
          <w:color w:val="2D7D5B"/>
          <w:sz w:val="18"/>
        </w:rPr>
        <w:t>Status: v1.1 candidate for Product Owner replacement approval; v1.0 remains registered until then</w:t>
      </w:r>
    </w:p>
    <w:p>
      <w:r>
        <w:br w:type="page"/>
      </w:r>
    </w:p>
    <w:p>
      <w:pPr>
        <w:pStyle w:val="Heading1"/>
      </w:pPr>
      <w:r>
        <w:t>Document control</w:t>
      </w:r>
    </w:p>
    <w:tbl>
      <w:tblPr>
        <w:tblStyle w:val="TableGrid"/>
        <w:tblW w:type="dxa" w:w="9360"/>
        <w:jc w:val="center"/>
        <w:tblLayout w:type="fixed"/>
        <w:tblLook w:firstColumn="1" w:firstRow="1" w:lastColumn="0" w:lastRow="0" w:noHBand="0" w:noVBand="1" w:val="04A0"/>
        <w:tblInd w:w="120" w:type="dxa"/>
      </w:tblPr>
      <w:tblGrid>
        <w:gridCol w:w="4853"/>
        <w:gridCol w:w="4853"/>
      </w:tblGrid>
      <w:tr>
        <w:trPr>
          <w:tblHeader w:val="true"/>
          <w:cantSplit/>
        </w:trPr>
        <w:tc>
          <w:tcPr>
            <w:tcW w:type="dxa" w:w="1944"/>
            <w:shd w:fill="17324D"/>
            <w:tcMar>
              <w:top w:w="90" w:type="dxa"/>
              <w:start w:w="120" w:type="dxa"/>
              <w:bottom w:w="90" w:type="dxa"/>
              <w:end w:w="120" w:type="dxa"/>
            </w:tcMar>
          </w:tcPr>
          <w:p>
            <w:pPr>
              <w:spacing w:after="0"/>
            </w:pPr>
            <w:r>
              <w:rPr>
                <w:rFonts w:ascii="Aptos" w:hAnsi="Aptos"/>
                <w:b/>
                <w:color w:val="FFFFFF"/>
                <w:sz w:val="16"/>
              </w:rPr>
              <w:t>Field</w:t>
            </w:r>
          </w:p>
        </w:tc>
        <w:tc>
          <w:tcPr>
            <w:tcW w:type="dxa" w:w="7416"/>
            <w:shd w:fill="17324D"/>
            <w:tcMar>
              <w:top w:w="90" w:type="dxa"/>
              <w:start w:w="120" w:type="dxa"/>
              <w:bottom w:w="90" w:type="dxa"/>
              <w:end w:w="120" w:type="dxa"/>
            </w:tcMar>
          </w:tcPr>
          <w:p>
            <w:pPr>
              <w:spacing w:after="0"/>
            </w:pPr>
            <w:r>
              <w:rPr>
                <w:rFonts w:ascii="Aptos" w:hAnsi="Aptos"/>
                <w:b/>
                <w:color w:val="FFFFFF"/>
                <w:sz w:val="16"/>
              </w:rPr>
              <w:t>Value</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6"/>
              </w:rPr>
              <w:t>Owner</w:t>
            </w:r>
          </w:p>
        </w:tc>
        <w:tc>
          <w:tcPr>
            <w:tcW w:type="dxa" w:w="7416"/>
            <w:vAlign w:val="center"/>
            <w:tcMar>
              <w:top w:w="90" w:type="dxa"/>
              <w:start w:w="120" w:type="dxa"/>
              <w:bottom w:w="90" w:type="dxa"/>
              <w:end w:w="120" w:type="dxa"/>
            </w:tcMar>
          </w:tcPr>
          <w:p>
            <w:pPr>
              <w:spacing w:after="0"/>
            </w:pPr>
            <w:r>
              <w:rPr>
                <w:rFonts w:ascii="Aptos" w:hAnsi="Aptos"/>
                <w:color w:val="17212B"/>
                <w:sz w:val="16"/>
              </w:rPr>
              <w:t>ITAA product and engineering team</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6"/>
              </w:rPr>
              <w:t>Purpose</w:t>
            </w:r>
          </w:p>
        </w:tc>
        <w:tc>
          <w:tcPr>
            <w:tcW w:type="dxa" w:w="7416"/>
            <w:vAlign w:val="center"/>
            <w:tcMar>
              <w:top w:w="90" w:type="dxa"/>
              <w:start w:w="120" w:type="dxa"/>
              <w:bottom w:w="90" w:type="dxa"/>
              <w:end w:w="120" w:type="dxa"/>
            </w:tcMar>
            <w:shd w:fill="F8FAFB"/>
          </w:tcPr>
          <w:p>
            <w:pPr>
              <w:spacing w:after="0"/>
            </w:pPr>
            <w:r>
              <w:rPr>
                <w:rFonts w:ascii="Aptos" w:hAnsi="Aptos"/>
                <w:color w:val="17212B"/>
                <w:sz w:val="16"/>
              </w:rPr>
              <w:t>Single source of truth for product, architecture, implementation, testing, and three submissions</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6"/>
              </w:rPr>
              <w:t>Scope baseline</w:t>
            </w:r>
          </w:p>
        </w:tc>
        <w:tc>
          <w:tcPr>
            <w:tcW w:type="dxa" w:w="7416"/>
            <w:vAlign w:val="center"/>
            <w:tcMar>
              <w:top w:w="90" w:type="dxa"/>
              <w:start w:w="120" w:type="dxa"/>
              <w:bottom w:w="90" w:type="dxa"/>
              <w:end w:w="120" w:type="dxa"/>
            </w:tcMar>
          </w:tcPr>
          <w:p>
            <w:pPr>
              <w:spacing w:after="0"/>
            </w:pPr>
            <w:r>
              <w:rPr>
                <w:rFonts w:ascii="Aptos" w:hAnsi="Aptos"/>
                <w:color w:val="17212B"/>
                <w:sz w:val="16"/>
              </w:rPr>
              <w:t>Multi-domain architecture; airport-parking-first live implementation; three simulated supplier agents; simulated authorization; rental/entertainment fixtures until separately approved</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6"/>
              </w:rPr>
              <w:t>Change policy</w:t>
            </w:r>
          </w:p>
        </w:tc>
        <w:tc>
          <w:tcPr>
            <w:tcW w:type="dxa" w:w="7416"/>
            <w:vAlign w:val="center"/>
            <w:tcMar>
              <w:top w:w="90" w:type="dxa"/>
              <w:start w:w="120" w:type="dxa"/>
              <w:bottom w:w="90" w:type="dxa"/>
              <w:end w:w="120" w:type="dxa"/>
            </w:tcMar>
            <w:shd w:fill="F8FAFB"/>
          </w:tcPr>
          <w:p>
            <w:pPr>
              <w:spacing w:after="0"/>
            </w:pPr>
            <w:r>
              <w:rPr>
                <w:rFonts w:ascii="Aptos" w:hAnsi="Aptos"/>
                <w:color w:val="17212B"/>
                <w:sz w:val="16"/>
              </w:rPr>
              <w:t>Changes require a decision-log entry when they affect privacy, trust boundaries, schemas, approval points, or delivery gates</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6"/>
              </w:rPr>
              <w:t>Normative language</w:t>
            </w:r>
          </w:p>
        </w:tc>
        <w:tc>
          <w:tcPr>
            <w:tcW w:type="dxa" w:w="7416"/>
            <w:vAlign w:val="center"/>
            <w:tcMar>
              <w:top w:w="90" w:type="dxa"/>
              <w:start w:w="120" w:type="dxa"/>
              <w:bottom w:w="90" w:type="dxa"/>
              <w:end w:w="120" w:type="dxa"/>
            </w:tcMar>
          </w:tcPr>
          <w:p>
            <w:pPr>
              <w:spacing w:after="0"/>
            </w:pPr>
            <w:r>
              <w:rPr>
                <w:rFonts w:ascii="Aptos" w:hAnsi="Aptos"/>
                <w:color w:val="17212B"/>
                <w:sz w:val="16"/>
              </w:rPr>
              <w:t>MUST = required; SHOULD = expected unless tradeoff is recorded; MAY = optional</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6"/>
              </w:rPr>
              <w:t>Competition caveat</w:t>
            </w:r>
          </w:p>
        </w:tc>
        <w:tc>
          <w:tcPr>
            <w:tcW w:type="dxa" w:w="7416"/>
            <w:vAlign w:val="center"/>
            <w:tcMar>
              <w:top w:w="90" w:type="dxa"/>
              <w:start w:w="120" w:type="dxa"/>
              <w:bottom w:w="90" w:type="dxa"/>
              <w:end w:w="120" w:type="dxa"/>
            </w:tcMar>
            <w:shd w:fill="F8FAFB"/>
          </w:tcPr>
          <w:p>
            <w:pPr>
              <w:spacing w:after="0"/>
            </w:pPr>
            <w:r>
              <w:rPr>
                <w:rFonts w:ascii="Aptos" w:hAnsi="Aptos"/>
                <w:color w:val="17212B"/>
                <w:sz w:val="16"/>
              </w:rPr>
              <w:t>Deadlines are planning gates. Organizers may change rules; complete the gate-specific revalidation checklist before each submission.</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6"/>
              </w:rPr>
              <w:t>Public product name</w:t>
            </w:r>
          </w:p>
        </w:tc>
        <w:tc>
          <w:tcPr>
            <w:tcW w:type="dxa" w:w="7416"/>
            <w:vAlign w:val="center"/>
            <w:tcMar>
              <w:top w:w="90" w:type="dxa"/>
              <w:start w:w="120" w:type="dxa"/>
              <w:bottom w:w="90" w:type="dxa"/>
              <w:end w:w="120" w:type="dxa"/>
            </w:tcMar>
            <w:shd w:fill="F8FAFB"/>
          </w:tcPr>
          <w:p>
            <w:pPr>
              <w:spacing w:after="0"/>
            </w:pPr>
            <w:r>
              <w:rPr>
                <w:rFonts w:ascii="Aptos" w:hAnsi="Aptos"/>
                <w:color w:val="17212B"/>
                <w:sz w:val="16"/>
              </w:rPr>
              <w:t>ReservEdge; internal namespaces remain itaa_*</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6"/>
              </w:rPr>
              <w:t>v1.1 amendment</w:t>
            </w:r>
          </w:p>
        </w:tc>
        <w:tc>
          <w:tcPr>
            <w:tcW w:type="dxa" w:w="7416"/>
            <w:vAlign w:val="center"/>
            <w:tcMar>
              <w:top w:w="90" w:type="dxa"/>
              <w:start w:w="120" w:type="dxa"/>
              <w:bottom w:w="90" w:type="dxa"/>
              <w:end w:w="120" w:type="dxa"/>
            </w:tcMar>
            <w:shd w:fill="F8FAFB"/>
          </w:tcPr>
          <w:p>
            <w:pPr>
              <w:spacing w:after="0"/>
            </w:pPr>
            <w:r>
              <w:rPr>
                <w:rFonts w:ascii="Aptos" w:hAnsi="Aptos"/>
                <w:color w:val="17212B"/>
                <w:sz w:val="16"/>
              </w:rPr>
              <w:t>1 September 2026 Intent-first candidate, revision 2. Filenames remain ITAA_*.docx. Does not replace registered v1.0 until Product Owner approval.</w:t>
            </w:r>
          </w:p>
        </w:tc>
      </w:tr>
    </w:tbl>
    <w:p>
      <w:pPr>
        <w:spacing w:after="20"/>
      </w:pPr>
    </w:p>
    <w:p>
      <w:pPr>
        <w:pStyle w:val="Heading2"/>
      </w:pPr>
      <w:r>
        <w:t>How to use this specification</w:t>
      </w:r>
    </w:p>
    <w:p>
      <w:r>
        <w:t>Product, design, engineering, QA, and submission work use the same canonical domain model. Sections 1–6 define behavior; 7–15 define implementation; 16–19 define release and commercialization. Appendices contain schemas, acceptance tests, traceability, and decision records. Version 1.1 amends this specification to the accepted Intent-first model in DEFINITION_GATE.md (31 August 2026). Internal code namespaces remain itaa_*.</w:t>
      </w:r>
    </w:p>
    <w:p>
      <w:pPr>
        <w:pStyle w:val="Heading2"/>
      </w:pPr>
      <w:r>
        <w:t>Contents</w:t>
      </w:r>
    </w:p>
    <w:p>
      <w:pPr>
        <w:pStyle w:val="ListBullet"/>
        <w:ind w:left="403" w:hanging="259"/>
      </w:pPr>
      <w:r>
        <w:t>1. Executive summary and product thesis</w:t>
      </w:r>
    </w:p>
    <w:p>
      <w:pPr>
        <w:pStyle w:val="ListBullet"/>
        <w:ind w:left="403" w:hanging="259"/>
      </w:pPr>
      <w:r>
        <w:t>2. Problem, user, persona, and principles</w:t>
      </w:r>
    </w:p>
    <w:p>
      <w:pPr>
        <w:pStyle w:val="ListBullet"/>
        <w:ind w:left="403" w:hanging="259"/>
      </w:pPr>
      <w:r>
        <w:t>3. Product scope, Intent-first model, and airport-parking golden path</w:t>
      </w:r>
    </w:p>
    <w:p>
      <w:pPr>
        <w:pStyle w:val="ListBullet"/>
        <w:ind w:left="403" w:hanging="259"/>
      </w:pPr>
      <w:r>
        <w:t>4. Three-layer architecture and trust boundaries</w:t>
      </w:r>
    </w:p>
    <w:p>
      <w:pPr>
        <w:pStyle w:val="ListBullet"/>
        <w:ind w:left="403" w:hanging="259"/>
      </w:pPr>
      <w:r>
        <w:t>5. Functional and nonfunctional requirements</w:t>
      </w:r>
    </w:p>
    <w:p>
      <w:pPr>
        <w:pStyle w:val="ListBullet"/>
        <w:ind w:left="403" w:hanging="259"/>
      </w:pPr>
      <w:r>
        <w:t>6. Guardrails, privacy firewall, isolation, and approvals</w:t>
      </w:r>
    </w:p>
    <w:p>
      <w:pPr>
        <w:pStyle w:val="ListBullet"/>
        <w:ind w:left="403" w:hanging="259"/>
      </w:pPr>
      <w:r>
        <w:t>7. Canonical contracts and state machines</w:t>
      </w:r>
    </w:p>
    <w:p>
      <w:pPr>
        <w:pStyle w:val="ListBullet"/>
        <w:ind w:left="403" w:hanging="259"/>
      </w:pPr>
      <w:r>
        <w:t>8. Agent boundaries and provider abstraction</w:t>
      </w:r>
    </w:p>
    <w:p>
      <w:pPr>
        <w:pStyle w:val="ListBullet"/>
        <w:ind w:left="403" w:hanging="259"/>
      </w:pPr>
      <w:r>
        <w:t>9. Ranking, preference learning, research, and economics</w:t>
      </w:r>
    </w:p>
    <w:p>
      <w:pPr>
        <w:pStyle w:val="ListBullet"/>
        <w:ind w:left="403" w:hanging="259"/>
      </w:pPr>
      <w:r>
        <w:t>10. API and storage design</w:t>
      </w:r>
    </w:p>
    <w:p>
      <w:pPr>
        <w:pStyle w:val="ListBullet"/>
        <w:ind w:left="403" w:hanging="259"/>
      </w:pPr>
      <w:r>
        <w:t>11. Security, auditability, observability, and failures</w:t>
      </w:r>
    </w:p>
    <w:p>
      <w:pPr>
        <w:pStyle w:val="ListBullet"/>
        <w:ind w:left="403" w:hanging="259"/>
      </w:pPr>
      <w:r>
        <w:t>12. Web and mobile experience</w:t>
      </w:r>
    </w:p>
    <w:p>
      <w:pPr>
        <w:pStyle w:val="ListBullet"/>
        <w:ind w:left="403" w:hanging="259"/>
      </w:pPr>
      <w:r>
        <w:t>13. Cloud adapters: Google and AWS</w:t>
      </w:r>
    </w:p>
    <w:p>
      <w:pPr>
        <w:pStyle w:val="ListBullet"/>
        <w:ind w:left="403" w:hanging="259"/>
      </w:pPr>
      <w:r>
        <w:t>14. Mobile productization and RevenueCat</w:t>
      </w:r>
    </w:p>
    <w:p>
      <w:pPr>
        <w:pStyle w:val="ListBullet"/>
        <w:ind w:left="403" w:hanging="259"/>
      </w:pPr>
      <w:r>
        <w:t>15. Test strategy and acceptance criteria</w:t>
      </w:r>
    </w:p>
    <w:p>
      <w:pPr>
        <w:pStyle w:val="ListBullet"/>
        <w:ind w:left="403" w:hanging="259"/>
      </w:pPr>
      <w:r>
        <w:t>16. Repository architecture and engineering practices</w:t>
      </w:r>
    </w:p>
    <w:p>
      <w:pPr>
        <w:pStyle w:val="ListBullet"/>
        <w:ind w:left="403" w:hanging="259"/>
      </w:pPr>
      <w:r>
        <w:t>17. Phased scope and delivery plan</w:t>
      </w:r>
    </w:p>
    <w:p>
      <w:pPr>
        <w:pStyle w:val="ListBullet"/>
        <w:ind w:left="403" w:hanging="259"/>
      </w:pPr>
      <w:r>
        <w:t>18. Competition gates, requirements, and risks</w:t>
      </w:r>
    </w:p>
    <w:p>
      <w:pPr>
        <w:pStyle w:val="ListBullet"/>
        <w:ind w:left="403" w:hanging="259"/>
      </w:pPr>
      <w:r>
        <w:t>19. Commercialization roadmap</w:t>
      </w:r>
    </w:p>
    <w:p>
      <w:pPr>
        <w:pStyle w:val="ListBullet"/>
        <w:ind w:left="403" w:hanging="259"/>
      </w:pPr>
      <w:r>
        <w:t>Appendices A–D: schemas, traceability, decision log, sources</w:t>
      </w:r>
    </w:p>
    <w:p>
      <w:r>
        <w:br w:type="page"/>
      </w:r>
    </w:p>
    <w:p>
      <w:pPr>
        <w:pStyle w:val="Heading1"/>
      </w:pPr>
      <w:r>
        <w:t>1. Executive summary and product thesis</w:t>
      </w:r>
    </w:p>
    <w:p>
      <w:r>
        <w:t>ReservEdge is the public product for a personal procurement agent (internal program and namespaces remain ITAA / itaa_*). It receives an objective as an Intent, uses conversation as the primary intake, clarification, modification, and continuity surface, and keeps Plan, Booking Tasks, Requirements, disclosures, offers, approvals, authorizations, bookings, and audit records as the structured authoritative record. It researches the ordinary market, asks permission before exposing a minimized PurchaseIntent for a Booking Task, obtains private offers from independent supplier agents, ranks price and non-price terms against private buyer preferences, and requires human approval before transaction authorization. A Booking exists only after authoritative supplier or connector confirmation.</w:t>
      </w:r>
    </w:p>
    <w:tbl>
      <w:tblPr>
        <w:tblW w:type="dxa" w:w="9360"/>
        <w:jc w:val="center"/>
        <w:tblLayout w:type="fixed"/>
        <w:tblLook w:firstColumn="1" w:firstRow="1" w:lastColumn="0" w:lastRow="0" w:noHBand="0" w:noVBand="1" w:val="04A0"/>
        <w:tblInd w:w="120" w:type="dxa"/>
      </w:tblPr>
      <w:tblGrid>
        <w:gridCol w:w="9432"/>
      </w:tblGrid>
      <w:tr>
        <w:trPr>
          <w:cantSplit/>
        </w:trPr>
        <w:tc>
          <w:tcPr>
            <w:tcW w:type="dxa" w:w="9432"/>
            <w:shd w:fill="F4F7F9"/>
            <w:tcMar>
              <w:top w:w="130" w:type="dxa"/>
              <w:start w:w="160" w:type="dxa"/>
              <w:bottom w:w="130" w:type="dxa"/>
              <w:end w:w="160" w:type="dxa"/>
            </w:tcMar>
          </w:tcPr>
          <w:p>
            <w:pPr>
              <w:spacing w:after="0"/>
            </w:pPr>
            <w:r>
              <w:rPr>
                <w:rFonts w:ascii="Aptos" w:hAnsi="Aptos"/>
                <w:b/>
                <w:color w:val="1C8C84"/>
                <w:sz w:val="17"/>
              </w:rPr>
              <w:t xml:space="preserve">V1 PROMISE  </w:t>
            </w:r>
            <w:r>
              <w:rPr>
                <w:rFonts w:ascii="Aptos" w:hAnsi="Aptos"/>
                <w:b/>
                <w:color w:val="17212B"/>
                <w:sz w:val="19"/>
              </w:rPr>
              <w:t>The system completes the work between “I need airport parking” and “authorize this transaction,” while keeping buyer context private and making every consequential step reviewable.</w:t>
            </w:r>
          </w:p>
        </w:tc>
      </w:tr>
    </w:tbl>
    <w:p>
      <w:pPr>
        <w:spacing w:after="20"/>
      </w:pPr>
    </w:p>
    <w:p>
      <w:pPr>
        <w:pStyle w:val="Heading2"/>
      </w:pPr>
      <w:r>
        <w:t>1.1 Product thesis</w:t>
      </w:r>
    </w:p>
    <w:p>
      <w:r>
        <w:t>Everyday life continuously creates purchase work in email, messages, travel plans, maintenance notices, documents, and browsing. Existing shopping experiences begin after the user searches. ReservEdge begins when the buyer states an objective. Conversation may clarify that objective; it is never the authoritative decision record. Decisions must never be buried only in transcript text. User-provided context may be understood privately; disclosure and purchase require explicit authorization.</w:t>
      </w:r>
    </w:p>
    <w:p>
      <w:pPr>
        <w:pStyle w:val="Heading2"/>
      </w:pPr>
      <w:r>
        <w:t>1.2 Success definition</w:t>
      </w:r>
    </w:p>
    <w:tbl>
      <w:tblPr>
        <w:tblStyle w:val="TableGrid"/>
        <w:tblW w:type="dxa" w:w="9360"/>
        <w:jc w:val="center"/>
        <w:tblLayout w:type="fixed"/>
        <w:tblLook w:firstColumn="1" w:firstRow="1" w:lastColumn="0" w:lastRow="0" w:noHBand="0" w:noVBand="1" w:val="04A0"/>
        <w:tblInd w:w="120" w:type="dxa"/>
      </w:tblPr>
      <w:tblGrid>
        <w:gridCol w:w="4853"/>
        <w:gridCol w:w="4853"/>
      </w:tblGrid>
      <w:tr>
        <w:trPr>
          <w:tblHeader w:val="true"/>
          <w:cantSplit/>
        </w:trPr>
        <w:tc>
          <w:tcPr>
            <w:tcW w:type="dxa" w:w="2088"/>
            <w:shd w:fill="17324D"/>
            <w:tcMar>
              <w:top w:w="90" w:type="dxa"/>
              <w:start w:w="120" w:type="dxa"/>
              <w:bottom w:w="90" w:type="dxa"/>
              <w:end w:w="120" w:type="dxa"/>
            </w:tcMar>
          </w:tcPr>
          <w:p>
            <w:pPr>
              <w:spacing w:after="0"/>
            </w:pPr>
            <w:r>
              <w:rPr>
                <w:rFonts w:ascii="Aptos" w:hAnsi="Aptos"/>
                <w:b/>
                <w:color w:val="FFFFFF"/>
                <w:sz w:val="16"/>
              </w:rPr>
              <w:t>Dimension</w:t>
            </w:r>
          </w:p>
        </w:tc>
        <w:tc>
          <w:tcPr>
            <w:tcW w:type="dxa" w:w="7272"/>
            <w:shd w:fill="17324D"/>
            <w:tcMar>
              <w:top w:w="90" w:type="dxa"/>
              <w:start w:w="120" w:type="dxa"/>
              <w:bottom w:w="90" w:type="dxa"/>
              <w:end w:w="120" w:type="dxa"/>
            </w:tcMar>
          </w:tcPr>
          <w:p>
            <w:pPr>
              <w:spacing w:after="0"/>
            </w:pPr>
            <w:r>
              <w:rPr>
                <w:rFonts w:ascii="Aptos" w:hAnsi="Aptos"/>
                <w:b/>
                <w:color w:val="FFFFFF"/>
                <w:sz w:val="16"/>
              </w:rPr>
              <w:t>v1 success measure</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6"/>
              </w:rPr>
              <w:t>Usefulness</w:t>
            </w:r>
          </w:p>
        </w:tc>
        <w:tc>
          <w:tcPr>
            <w:tcW w:type="dxa" w:w="7272"/>
            <w:vAlign w:val="center"/>
            <w:tcMar>
              <w:top w:w="90" w:type="dxa"/>
              <w:start w:w="120" w:type="dxa"/>
              <w:bottom w:w="90" w:type="dxa"/>
              <w:end w:w="120" w:type="dxa"/>
            </w:tcMar>
          </w:tcPr>
          <w:p>
            <w:pPr>
              <w:spacing w:after="0"/>
            </w:pPr>
            <w:r>
              <w:rPr>
                <w:rFonts w:ascii="Aptos" w:hAnsi="Aptos"/>
                <w:color w:val="17212B"/>
                <w:sz w:val="16"/>
              </w:rPr>
              <w:t>A new user completes the parking path without re-entering information already present in shared context.</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6"/>
              </w:rPr>
              <w:t>Privacy</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No supplier receives identity, full itinerary, raw shared content, or competitor offers.</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6"/>
              </w:rPr>
              <w:t>Agency</w:t>
            </w:r>
          </w:p>
        </w:tc>
        <w:tc>
          <w:tcPr>
            <w:tcW w:type="dxa" w:w="7272"/>
            <w:vAlign w:val="center"/>
            <w:tcMar>
              <w:top w:w="90" w:type="dxa"/>
              <w:start w:w="120" w:type="dxa"/>
              <w:bottom w:w="90" w:type="dxa"/>
              <w:end w:w="120" w:type="dxa"/>
            </w:tcMar>
          </w:tcPr>
          <w:p>
            <w:pPr>
              <w:spacing w:after="0"/>
            </w:pPr>
            <w:r>
              <w:rPr>
                <w:rFonts w:ascii="Aptos" w:hAnsi="Aptos"/>
                <w:color w:val="17212B"/>
                <w:sz w:val="16"/>
              </w:rPr>
              <w:t>Three suppliers independently produce valid multidimensional offers; ReservEdge explains its recommendation.</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6"/>
              </w:rPr>
              <w:t>Control</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No Purchase Intent is dispatched and no transaction is authorized without the required approval.</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6"/>
              </w:rPr>
              <w:t>Portability</w:t>
            </w:r>
          </w:p>
        </w:tc>
        <w:tc>
          <w:tcPr>
            <w:tcW w:type="dxa" w:w="7272"/>
            <w:vAlign w:val="center"/>
            <w:tcMar>
              <w:top w:w="90" w:type="dxa"/>
              <w:start w:w="120" w:type="dxa"/>
              <w:bottom w:w="90" w:type="dxa"/>
              <w:end w:w="120" w:type="dxa"/>
            </w:tcMar>
          </w:tcPr>
          <w:p>
            <w:pPr>
              <w:spacing w:after="0"/>
            </w:pPr>
            <w:r>
              <w:rPr>
                <w:rFonts w:ascii="Aptos" w:hAnsi="Aptos"/>
                <w:color w:val="17212B"/>
                <w:sz w:val="16"/>
              </w:rPr>
              <w:t>The same domain tests pass with local simulation, Google adapter, and AWS adapter.</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6"/>
              </w:rPr>
              <w:t>Commercial readiness</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NOT a current acceptance criterion. Future productization only: a public native app, Share to ReservEdge, and RevenueCat require a later ADR and work order. Current approved mobile surface is responsive web. Historical/internal label: Share-to-ITAA.</w:t>
            </w:r>
          </w:p>
        </w:tc>
      </w:tr>
    </w:tbl>
    <w:p>
      <w:pPr>
        <w:spacing w:after="20"/>
      </w:pPr>
    </w:p>
    <w:p>
      <w:pPr>
        <w:pStyle w:val="Heading2"/>
      </w:pPr>
      <w:r>
        <w:t>1.3 Delivery strategy</w:t>
      </w:r>
    </w:p>
    <w:p>
      <w:r>
        <w:t>Build one product through three maturity gates. Gate 1 proves the loop. Gate 2 proves deployable, observable, governed agent architecture. Gate 3 proves onboarding, mobile distribution, monetization, and early user value. Competition-only code stays inside adapters or submission packaging.</w:t>
      </w:r>
    </w:p>
    <w:p>
      <w:pPr>
        <w:pStyle w:val="Heading1"/>
      </w:pPr>
      <w:r>
        <w:t>2. Problem, user, persona, and principles</w:t>
      </w:r>
    </w:p>
    <w:p>
      <w:pPr>
        <w:pStyle w:val="Heading2"/>
      </w:pPr>
      <w:r>
        <w:t>2.1 Problem statement</w:t>
      </w:r>
    </w:p>
    <w:p>
      <w:r>
        <w:t>A parking need is simple, but fulfillment is fragmented: interpret dates and terminal, compare lots, normalize fees and cancellation rules, assess shuttle reliability, and decide under time pressure. The buyer repeats the same context across suppliers and leaks more personal data than needed. Suppliers compete in opaque channels, while conventional search ranks listings rather than negotiated, preference-aware outcomes.</w:t>
      </w:r>
    </w:p>
    <w:p>
      <w:pPr>
        <w:pStyle w:val="Heading2"/>
      </w:pPr>
      <w:r>
        <w:t>2.2 Primary persona</w:t>
      </w:r>
    </w:p>
    <w:tbl>
      <w:tblPr>
        <w:tblStyle w:val="TableGrid"/>
        <w:tblW w:type="dxa" w:w="9360"/>
        <w:jc w:val="center"/>
        <w:tblLayout w:type="fixed"/>
        <w:tblLook w:firstColumn="1" w:firstRow="1" w:lastColumn="0" w:lastRow="0" w:noHBand="0" w:noVBand="1" w:val="04A0"/>
        <w:tblInd w:w="120" w:type="dxa"/>
      </w:tblPr>
      <w:tblGrid>
        <w:gridCol w:w="1941"/>
        <w:gridCol w:w="1941"/>
        <w:gridCol w:w="1941"/>
        <w:gridCol w:w="1941"/>
        <w:gridCol w:w="1941"/>
      </w:tblGrid>
      <w:tr>
        <w:trPr>
          <w:tblHeader w:val="true"/>
          <w:cantSplit/>
        </w:trPr>
        <w:tc>
          <w:tcPr>
            <w:tcW w:type="dxa" w:w="1800"/>
            <w:shd w:fill="17324D"/>
            <w:tcMar>
              <w:top w:w="90" w:type="dxa"/>
              <w:start w:w="120" w:type="dxa"/>
              <w:bottom w:w="90" w:type="dxa"/>
              <w:end w:w="120" w:type="dxa"/>
            </w:tcMar>
          </w:tcPr>
          <w:p>
            <w:pPr>
              <w:spacing w:after="0"/>
            </w:pPr>
            <w:r>
              <w:rPr>
                <w:rFonts w:ascii="Aptos" w:hAnsi="Aptos"/>
                <w:b/>
                <w:color w:val="FFFFFF"/>
                <w:sz w:val="15"/>
              </w:rPr>
              <w:t>Persona</w:t>
            </w:r>
          </w:p>
        </w:tc>
        <w:tc>
          <w:tcPr>
            <w:tcW w:type="dxa" w:w="1728"/>
            <w:shd w:fill="17324D"/>
            <w:tcMar>
              <w:top w:w="90" w:type="dxa"/>
              <w:start w:w="120" w:type="dxa"/>
              <w:bottom w:w="90" w:type="dxa"/>
              <w:end w:w="120" w:type="dxa"/>
            </w:tcMar>
          </w:tcPr>
          <w:p>
            <w:pPr>
              <w:spacing w:after="0"/>
            </w:pPr>
            <w:r>
              <w:rPr>
                <w:rFonts w:ascii="Aptos" w:hAnsi="Aptos"/>
                <w:b/>
                <w:color w:val="FFFFFF"/>
                <w:sz w:val="15"/>
              </w:rPr>
              <w:t>Context</w:t>
            </w:r>
          </w:p>
        </w:tc>
        <w:tc>
          <w:tcPr>
            <w:tcW w:type="dxa" w:w="2160"/>
            <w:shd w:fill="17324D"/>
            <w:tcMar>
              <w:top w:w="90" w:type="dxa"/>
              <w:start w:w="120" w:type="dxa"/>
              <w:bottom w:w="90" w:type="dxa"/>
              <w:end w:w="120" w:type="dxa"/>
            </w:tcMar>
          </w:tcPr>
          <w:p>
            <w:pPr>
              <w:spacing w:after="0"/>
            </w:pPr>
            <w:r>
              <w:rPr>
                <w:rFonts w:ascii="Aptos" w:hAnsi="Aptos"/>
                <w:b/>
                <w:color w:val="FFFFFF"/>
                <w:sz w:val="15"/>
              </w:rPr>
              <w:t>Jobs</w:t>
            </w:r>
          </w:p>
        </w:tc>
        <w:tc>
          <w:tcPr>
            <w:tcW w:type="dxa" w:w="1872"/>
            <w:shd w:fill="17324D"/>
            <w:tcMar>
              <w:top w:w="90" w:type="dxa"/>
              <w:start w:w="120" w:type="dxa"/>
              <w:bottom w:w="90" w:type="dxa"/>
              <w:end w:w="120" w:type="dxa"/>
            </w:tcMar>
          </w:tcPr>
          <w:p>
            <w:pPr>
              <w:spacing w:after="0"/>
            </w:pPr>
            <w:r>
              <w:rPr>
                <w:rFonts w:ascii="Aptos" w:hAnsi="Aptos"/>
                <w:b/>
                <w:color w:val="FFFFFF"/>
                <w:sz w:val="15"/>
              </w:rPr>
              <w:t>Pain</w:t>
            </w:r>
          </w:p>
        </w:tc>
        <w:tc>
          <w:tcPr>
            <w:tcW w:type="dxa" w:w="1800"/>
            <w:shd w:fill="17324D"/>
            <w:tcMar>
              <w:top w:w="90" w:type="dxa"/>
              <w:start w:w="120" w:type="dxa"/>
              <w:bottom w:w="90" w:type="dxa"/>
              <w:end w:w="120" w:type="dxa"/>
            </w:tcMar>
          </w:tcPr>
          <w:p>
            <w:pPr>
              <w:spacing w:after="0"/>
            </w:pPr>
            <w:r>
              <w:rPr>
                <w:rFonts w:ascii="Aptos" w:hAnsi="Aptos"/>
                <w:b/>
                <w:color w:val="FFFFFF"/>
                <w:sz w:val="15"/>
              </w:rPr>
              <w:t>Success</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Busy household manager</w:t>
            </w:r>
          </w:p>
        </w:tc>
        <w:tc>
          <w:tcPr>
            <w:tcW w:type="dxa" w:w="1728"/>
            <w:vAlign w:val="center"/>
            <w:tcMar>
              <w:top w:w="90" w:type="dxa"/>
              <w:start w:w="120" w:type="dxa"/>
              <w:bottom w:w="90" w:type="dxa"/>
              <w:end w:w="120" w:type="dxa"/>
            </w:tcMar>
          </w:tcPr>
          <w:p>
            <w:pPr>
              <w:spacing w:after="0"/>
            </w:pPr>
            <w:r>
              <w:rPr>
                <w:rFonts w:ascii="Aptos" w:hAnsi="Aptos"/>
                <w:color w:val="17212B"/>
                <w:sz w:val="15"/>
              </w:rPr>
              <w:t>Coordinates travel and recurring household purchases across apps</w:t>
            </w:r>
          </w:p>
        </w:tc>
        <w:tc>
          <w:tcPr>
            <w:tcW w:type="dxa" w:w="2160"/>
            <w:vAlign w:val="center"/>
            <w:tcMar>
              <w:top w:w="90" w:type="dxa"/>
              <w:start w:w="120" w:type="dxa"/>
              <w:bottom w:w="90" w:type="dxa"/>
              <w:end w:w="120" w:type="dxa"/>
            </w:tcMar>
          </w:tcPr>
          <w:p>
            <w:pPr>
              <w:spacing w:after="0"/>
            </w:pPr>
            <w:r>
              <w:rPr>
                <w:rFonts w:ascii="Aptos" w:hAnsi="Aptos"/>
                <w:color w:val="17212B"/>
                <w:sz w:val="15"/>
              </w:rPr>
              <w:t>Turn a need into a safe, good-value decision; preserve control</w:t>
            </w:r>
          </w:p>
        </w:tc>
        <w:tc>
          <w:tcPr>
            <w:tcW w:type="dxa" w:w="1872"/>
            <w:vAlign w:val="center"/>
            <w:tcMar>
              <w:top w:w="90" w:type="dxa"/>
              <w:start w:w="120" w:type="dxa"/>
              <w:bottom w:w="90" w:type="dxa"/>
              <w:end w:w="120" w:type="dxa"/>
            </w:tcMar>
          </w:tcPr>
          <w:p>
            <w:pPr>
              <w:spacing w:after="0"/>
            </w:pPr>
            <w:r>
              <w:rPr>
                <w:rFonts w:ascii="Aptos" w:hAnsi="Aptos"/>
                <w:color w:val="17212B"/>
                <w:sz w:val="15"/>
              </w:rPr>
              <w:t>Context switching, fine print, distrust, repeated forms</w:t>
            </w:r>
          </w:p>
        </w:tc>
        <w:tc>
          <w:tcPr>
            <w:tcW w:type="dxa" w:w="1800"/>
            <w:vAlign w:val="center"/>
            <w:tcMar>
              <w:top w:w="90" w:type="dxa"/>
              <w:start w:w="120" w:type="dxa"/>
              <w:bottom w:w="90" w:type="dxa"/>
              <w:end w:w="120" w:type="dxa"/>
            </w:tcMar>
          </w:tcPr>
          <w:p>
            <w:pPr>
              <w:spacing w:after="0"/>
            </w:pPr>
            <w:r>
              <w:rPr>
                <w:rFonts w:ascii="Aptos" w:hAnsi="Aptos"/>
                <w:color w:val="17212B"/>
                <w:sz w:val="15"/>
              </w:rPr>
              <w:t>One explainable decision card and a deliberate approval</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Secondary: value-conscious traveler</w:t>
            </w:r>
          </w:p>
        </w:tc>
        <w:tc>
          <w:tcPr>
            <w:tcW w:type="dxa" w:w="1728"/>
            <w:vAlign w:val="center"/>
            <w:tcMar>
              <w:top w:w="90" w:type="dxa"/>
              <w:start w:w="120" w:type="dxa"/>
              <w:bottom w:w="90" w:type="dxa"/>
              <w:end w:w="120" w:type="dxa"/>
            </w:tcMar>
            <w:shd w:fill="F8FAFB"/>
          </w:tcPr>
          <w:p>
            <w:pPr>
              <w:spacing w:after="0"/>
            </w:pPr>
            <w:r>
              <w:rPr>
                <w:rFonts w:ascii="Aptos" w:hAnsi="Aptos"/>
                <w:color w:val="17212B"/>
                <w:sz w:val="15"/>
              </w:rPr>
              <w:t>Optimizes total trip cost without risking the flight</w:t>
            </w:r>
          </w:p>
        </w:tc>
        <w:tc>
          <w:tcPr>
            <w:tcW w:type="dxa" w:w="2160"/>
            <w:vAlign w:val="center"/>
            <w:tcMar>
              <w:top w:w="90" w:type="dxa"/>
              <w:start w:w="120" w:type="dxa"/>
              <w:bottom w:w="90" w:type="dxa"/>
              <w:end w:w="120" w:type="dxa"/>
            </w:tcMar>
            <w:shd w:fill="F8FAFB"/>
          </w:tcPr>
          <w:p>
            <w:pPr>
              <w:spacing w:after="0"/>
            </w:pPr>
            <w:r>
              <w:rPr>
                <w:rFonts w:ascii="Aptos" w:hAnsi="Aptos"/>
                <w:color w:val="17212B"/>
                <w:sz w:val="15"/>
              </w:rPr>
              <w:t>Compare total parking value, not headline price</w:t>
            </w:r>
          </w:p>
        </w:tc>
        <w:tc>
          <w:tcPr>
            <w:tcW w:type="dxa" w:w="1872"/>
            <w:vAlign w:val="center"/>
            <w:tcMar>
              <w:top w:w="90" w:type="dxa"/>
              <w:start w:w="120" w:type="dxa"/>
              <w:bottom w:w="90" w:type="dxa"/>
              <w:end w:w="120" w:type="dxa"/>
            </w:tcMar>
            <w:shd w:fill="F8FAFB"/>
          </w:tcPr>
          <w:p>
            <w:pPr>
              <w:spacing w:after="0"/>
            </w:pPr>
            <w:r>
              <w:rPr>
                <w:rFonts w:ascii="Aptos" w:hAnsi="Aptos"/>
                <w:color w:val="17212B"/>
                <w:sz w:val="15"/>
              </w:rPr>
              <w:t>Fees, shuttle uncertainty, cancellation terms</w:t>
            </w:r>
          </w:p>
        </w:tc>
        <w:tc>
          <w:tcPr>
            <w:tcW w:type="dxa" w:w="1800"/>
            <w:vAlign w:val="center"/>
            <w:tcMar>
              <w:top w:w="90" w:type="dxa"/>
              <w:start w:w="120" w:type="dxa"/>
              <w:bottom w:w="90" w:type="dxa"/>
              <w:end w:w="120" w:type="dxa"/>
            </w:tcMar>
            <w:shd w:fill="F8FAFB"/>
          </w:tcPr>
          <w:p>
            <w:pPr>
              <w:spacing w:after="0"/>
            </w:pPr>
            <w:r>
              <w:rPr>
                <w:rFonts w:ascii="Aptos" w:hAnsi="Aptos"/>
                <w:color w:val="17212B"/>
                <w:sz w:val="15"/>
              </w:rPr>
              <w:t>Reliable parking at acceptable total cost</w:t>
            </w:r>
          </w:p>
        </w:tc>
      </w:tr>
    </w:tbl>
    <w:p>
      <w:pPr>
        <w:spacing w:after="20"/>
      </w:pPr>
    </w:p>
    <w:p>
      <w:pPr>
        <w:pStyle w:val="Heading2"/>
      </w:pPr>
      <w:r>
        <w:t>2.3 Jobs to be done</w:t>
      </w:r>
    </w:p>
    <w:p>
      <w:pPr>
        <w:pStyle w:val="ListBullet"/>
        <w:ind w:left="403" w:hanging="259"/>
      </w:pPr>
      <w:r>
        <w:t>When a need appears in another app, let me Share to ReservEdge without copying and reformatting it. (Future G3 UX; historical/internal label Share-to-ITAA. Not a current implementation requirement.)</w:t>
      </w:r>
    </w:p>
    <w:p>
      <w:pPr>
        <w:pStyle w:val="ListBullet"/>
        <w:ind w:left="403" w:hanging="259"/>
      </w:pPr>
      <w:r>
        <w:t>When options are complex, normalize them into terms I care about and show why one wins.</w:t>
      </w:r>
    </w:p>
    <w:p>
      <w:pPr>
        <w:pStyle w:val="ListBullet"/>
        <w:ind w:left="403" w:hanging="259"/>
      </w:pPr>
      <w:r>
        <w:t>When suppliers compete, keep my identity and private preferences out of the negotiation.</w:t>
      </w:r>
    </w:p>
    <w:p>
      <w:pPr>
        <w:pStyle w:val="ListBullet"/>
        <w:ind w:left="403" w:hanging="259"/>
      </w:pPr>
      <w:r>
        <w:t>When money or disclosure is involved, let me inspect and approve exactly what will happen.</w:t>
      </w:r>
    </w:p>
    <w:p>
      <w:pPr>
        <w:pStyle w:val="ListBullet"/>
        <w:ind w:left="403" w:hanging="259"/>
      </w:pPr>
      <w:r>
        <w:t>After I choose, learn only the preference supported by that choice and let me correct it.</w:t>
      </w:r>
    </w:p>
    <w:p>
      <w:pPr>
        <w:pStyle w:val="Heading2"/>
      </w:pPr>
      <w:r>
        <w:t>2.4 Non-negotiable principles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792"/>
            <w:shd w:fill="17324D"/>
            <w:tcMar>
              <w:top w:w="90" w:type="dxa"/>
              <w:start w:w="120" w:type="dxa"/>
              <w:bottom w:w="90" w:type="dxa"/>
              <w:end w:w="120" w:type="dxa"/>
            </w:tcMar>
          </w:tcPr>
          <w:p>
            <w:pPr>
              <w:spacing w:after="0"/>
            </w:pPr>
            <w:r>
              <w:rPr>
                <w:rFonts w:ascii="Aptos" w:hAnsi="Aptos"/>
                <w:b/>
                <w:color w:val="FFFFFF"/>
                <w:sz w:val="16"/>
              </w:rPr>
              <w:t>ID</w:t>
            </w:r>
          </w:p>
        </w:tc>
        <w:tc>
          <w:tcPr>
            <w:tcW w:type="dxa" w:w="2520"/>
            <w:shd w:fill="17324D"/>
            <w:tcMar>
              <w:top w:w="90" w:type="dxa"/>
              <w:start w:w="120" w:type="dxa"/>
              <w:bottom w:w="90" w:type="dxa"/>
              <w:end w:w="120" w:type="dxa"/>
            </w:tcMar>
          </w:tcPr>
          <w:p>
            <w:pPr>
              <w:spacing w:after="0"/>
            </w:pPr>
            <w:r>
              <w:rPr>
                <w:rFonts w:ascii="Aptos" w:hAnsi="Aptos"/>
                <w:b/>
                <w:color w:val="FFFFFF"/>
                <w:sz w:val="16"/>
              </w:rPr>
              <w:t>Principle</w:t>
            </w:r>
          </w:p>
        </w:tc>
        <w:tc>
          <w:tcPr>
            <w:tcW w:type="dxa" w:w="6048"/>
            <w:shd w:fill="17324D"/>
            <w:tcMar>
              <w:top w:w="90" w:type="dxa"/>
              <w:start w:w="120" w:type="dxa"/>
              <w:bottom w:w="90" w:type="dxa"/>
              <w:end w:w="120" w:type="dxa"/>
            </w:tcMar>
          </w:tcPr>
          <w:p>
            <w:pPr>
              <w:spacing w:after="0"/>
            </w:pPr>
            <w:r>
              <w:rPr>
                <w:rFonts w:ascii="Aptos" w:hAnsi="Aptos"/>
                <w:b/>
                <w:color w:val="FFFFFF"/>
                <w:sz w:val="16"/>
              </w:rPr>
              <w:t>Normative interpretation</w:t>
            </w:r>
          </w:p>
        </w:tc>
      </w:tr>
      <w:tr>
        <w:trPr>
          <w:cantSplit/>
        </w:trPr>
        <w:tc>
          <w:tcPr>
            <w:tcW w:type="dxa" w:w="792"/>
            <w:vAlign w:val="center"/>
            <w:tcMar>
              <w:top w:w="90" w:type="dxa"/>
              <w:start w:w="120" w:type="dxa"/>
              <w:bottom w:w="90" w:type="dxa"/>
              <w:end w:w="120" w:type="dxa"/>
            </w:tcMar>
          </w:tcPr>
          <w:p>
            <w:pPr>
              <w:spacing w:after="0"/>
            </w:pPr>
            <w:r>
              <w:rPr>
                <w:rFonts w:ascii="Aptos" w:hAnsi="Aptos"/>
                <w:color w:val="17212B"/>
                <w:sz w:val="16"/>
              </w:rPr>
              <w:t>P1</w:t>
            </w:r>
          </w:p>
        </w:tc>
        <w:tc>
          <w:tcPr>
            <w:tcW w:type="dxa" w:w="2520"/>
            <w:vAlign w:val="center"/>
            <w:tcMar>
              <w:top w:w="90" w:type="dxa"/>
              <w:start w:w="120" w:type="dxa"/>
              <w:bottom w:w="90" w:type="dxa"/>
              <w:end w:w="120" w:type="dxa"/>
            </w:tcMar>
          </w:tcPr>
          <w:p>
            <w:pPr>
              <w:spacing w:after="0"/>
            </w:pPr>
            <w:r>
              <w:rPr>
                <w:rFonts w:ascii="Aptos" w:hAnsi="Aptos"/>
                <w:color w:val="17212B"/>
                <w:sz w:val="16"/>
              </w:rPr>
              <w:t>Buyer data belongs to the buyer agent</w:t>
            </w:r>
          </w:p>
        </w:tc>
        <w:tc>
          <w:tcPr>
            <w:tcW w:type="dxa" w:w="6048"/>
            <w:vAlign w:val="center"/>
            <w:tcMar>
              <w:top w:w="90" w:type="dxa"/>
              <w:start w:w="120" w:type="dxa"/>
              <w:bottom w:w="90" w:type="dxa"/>
              <w:end w:w="120" w:type="dxa"/>
            </w:tcMar>
          </w:tcPr>
          <w:p>
            <w:pPr>
              <w:spacing w:after="0"/>
            </w:pPr>
            <w:r>
              <w:rPr>
                <w:rFonts w:ascii="Aptos" w:hAnsi="Aptos"/>
                <w:color w:val="17212B"/>
                <w:sz w:val="16"/>
              </w:rPr>
              <w:t>Raw context and the preference graph remain inside the buyer trust domain.</w:t>
            </w:r>
          </w:p>
        </w:tc>
      </w:tr>
      <w:tr>
        <w:trPr>
          <w:cantSplit/>
        </w:trPr>
        <w:tc>
          <w:tcPr>
            <w:tcW w:type="dxa" w:w="792"/>
            <w:vAlign w:val="center"/>
            <w:tcMar>
              <w:top w:w="90" w:type="dxa"/>
              <w:start w:w="120" w:type="dxa"/>
              <w:bottom w:w="90" w:type="dxa"/>
              <w:end w:w="120" w:type="dxa"/>
            </w:tcMar>
            <w:shd w:fill="F8FAFB"/>
          </w:tcPr>
          <w:p>
            <w:pPr>
              <w:spacing w:after="0"/>
            </w:pPr>
            <w:r>
              <w:rPr>
                <w:rFonts w:ascii="Aptos" w:hAnsi="Aptos"/>
                <w:color w:val="17212B"/>
                <w:sz w:val="16"/>
              </w:rPr>
              <w:t>P2</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6"/>
              </w:rPr>
              <w:t>Minimum disclosure</w:t>
            </w:r>
          </w:p>
        </w:tc>
        <w:tc>
          <w:tcPr>
            <w:tcW w:type="dxa" w:w="6048"/>
            <w:vAlign w:val="center"/>
            <w:tcMar>
              <w:top w:w="90" w:type="dxa"/>
              <w:start w:w="120" w:type="dxa"/>
              <w:bottom w:w="90" w:type="dxa"/>
              <w:end w:w="120" w:type="dxa"/>
            </w:tcMar>
            <w:shd w:fill="F8FAFB"/>
          </w:tcPr>
          <w:p>
            <w:pPr>
              <w:spacing w:after="0"/>
            </w:pPr>
            <w:r>
              <w:rPr>
                <w:rFonts w:ascii="Aptos" w:hAnsi="Aptos"/>
                <w:color w:val="17212B"/>
                <w:sz w:val="16"/>
              </w:rPr>
              <w:t>Send only fields necessary for a supplier to formulate this offer.</w:t>
            </w:r>
          </w:p>
        </w:tc>
      </w:tr>
      <w:tr>
        <w:trPr>
          <w:cantSplit/>
        </w:trPr>
        <w:tc>
          <w:tcPr>
            <w:tcW w:type="dxa" w:w="792"/>
            <w:vAlign w:val="center"/>
            <w:tcMar>
              <w:top w:w="90" w:type="dxa"/>
              <w:start w:w="120" w:type="dxa"/>
              <w:bottom w:w="90" w:type="dxa"/>
              <w:end w:w="120" w:type="dxa"/>
            </w:tcMar>
          </w:tcPr>
          <w:p>
            <w:pPr>
              <w:spacing w:after="0"/>
            </w:pPr>
            <w:r>
              <w:rPr>
                <w:rFonts w:ascii="Aptos" w:hAnsi="Aptos"/>
                <w:color w:val="17212B"/>
                <w:sz w:val="16"/>
              </w:rPr>
              <w:t>P3</w:t>
            </w:r>
          </w:p>
        </w:tc>
        <w:tc>
          <w:tcPr>
            <w:tcW w:type="dxa" w:w="2520"/>
            <w:vAlign w:val="center"/>
            <w:tcMar>
              <w:top w:w="90" w:type="dxa"/>
              <w:start w:w="120" w:type="dxa"/>
              <w:bottom w:w="90" w:type="dxa"/>
              <w:end w:w="120" w:type="dxa"/>
            </w:tcMar>
          </w:tcPr>
          <w:p>
            <w:pPr>
              <w:spacing w:after="0"/>
            </w:pPr>
            <w:r>
              <w:rPr>
                <w:rFonts w:ascii="Aptos" w:hAnsi="Aptos"/>
                <w:color w:val="17212B"/>
                <w:sz w:val="16"/>
              </w:rPr>
              <w:t>Supplier isolation</w:t>
            </w:r>
          </w:p>
        </w:tc>
        <w:tc>
          <w:tcPr>
            <w:tcW w:type="dxa" w:w="6048"/>
            <w:vAlign w:val="center"/>
            <w:tcMar>
              <w:top w:w="90" w:type="dxa"/>
              <w:start w:w="120" w:type="dxa"/>
              <w:bottom w:w="90" w:type="dxa"/>
              <w:end w:w="120" w:type="dxa"/>
            </w:tcMar>
          </w:tcPr>
          <w:p>
            <w:pPr>
              <w:spacing w:after="0"/>
            </w:pPr>
            <w:r>
              <w:rPr>
                <w:rFonts w:ascii="Aptos" w:hAnsi="Aptos"/>
                <w:color w:val="17212B"/>
                <w:sz w:val="16"/>
              </w:rPr>
              <w:t>A supplier cannot see competitor identity, participation, price, terms, or ranking.</w:t>
            </w:r>
          </w:p>
        </w:tc>
      </w:tr>
      <w:tr>
        <w:trPr>
          <w:cantSplit/>
        </w:trPr>
        <w:tc>
          <w:tcPr>
            <w:tcW w:type="dxa" w:w="792"/>
            <w:vAlign w:val="center"/>
            <w:tcMar>
              <w:top w:w="90" w:type="dxa"/>
              <w:start w:w="120" w:type="dxa"/>
              <w:bottom w:w="90" w:type="dxa"/>
              <w:end w:w="120" w:type="dxa"/>
            </w:tcMar>
            <w:shd w:fill="F8FAFB"/>
          </w:tcPr>
          <w:p>
            <w:pPr>
              <w:spacing w:after="0"/>
            </w:pPr>
            <w:r>
              <w:rPr>
                <w:rFonts w:ascii="Aptos" w:hAnsi="Aptos"/>
                <w:color w:val="17212B"/>
                <w:sz w:val="16"/>
              </w:rPr>
              <w:t>P4</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6"/>
              </w:rPr>
              <w:t>Autonomy until consequence</w:t>
            </w:r>
          </w:p>
        </w:tc>
        <w:tc>
          <w:tcPr>
            <w:tcW w:type="dxa" w:w="6048"/>
            <w:vAlign w:val="center"/>
            <w:tcMar>
              <w:top w:w="90" w:type="dxa"/>
              <w:start w:w="120" w:type="dxa"/>
              <w:bottom w:w="90" w:type="dxa"/>
              <w:end w:w="120" w:type="dxa"/>
            </w:tcMar>
            <w:shd w:fill="F8FAFB"/>
          </w:tcPr>
          <w:p>
            <w:pPr>
              <w:spacing w:after="0"/>
            </w:pPr>
            <w:r>
              <w:rPr>
                <w:rFonts w:ascii="Aptos" w:hAnsi="Aptos"/>
                <w:color w:val="17212B"/>
                <w:sz w:val="16"/>
              </w:rPr>
              <w:t>Automate interpretation, research, normalization, and ranking; stop for disclosure and transaction approval.</w:t>
            </w:r>
          </w:p>
        </w:tc>
      </w:tr>
      <w:tr>
        <w:trPr>
          <w:cantSplit/>
        </w:trPr>
        <w:tc>
          <w:tcPr>
            <w:tcW w:type="dxa" w:w="792"/>
            <w:vAlign w:val="center"/>
            <w:tcMar>
              <w:top w:w="90" w:type="dxa"/>
              <w:start w:w="120" w:type="dxa"/>
              <w:bottom w:w="90" w:type="dxa"/>
              <w:end w:w="120" w:type="dxa"/>
            </w:tcMar>
          </w:tcPr>
          <w:p>
            <w:pPr>
              <w:spacing w:after="0"/>
            </w:pPr>
            <w:r>
              <w:rPr>
                <w:rFonts w:ascii="Aptos" w:hAnsi="Aptos"/>
                <w:color w:val="17212B"/>
                <w:sz w:val="16"/>
              </w:rPr>
              <w:t>P5</w:t>
            </w:r>
          </w:p>
        </w:tc>
        <w:tc>
          <w:tcPr>
            <w:tcW w:type="dxa" w:w="2520"/>
            <w:vAlign w:val="center"/>
            <w:tcMar>
              <w:top w:w="90" w:type="dxa"/>
              <w:start w:w="120" w:type="dxa"/>
              <w:bottom w:w="90" w:type="dxa"/>
              <w:end w:w="120" w:type="dxa"/>
            </w:tcMar>
          </w:tcPr>
          <w:p>
            <w:pPr>
              <w:spacing w:after="0"/>
            </w:pPr>
            <w:r>
              <w:rPr>
                <w:rFonts w:ascii="Aptos" w:hAnsi="Aptos"/>
                <w:color w:val="17212B"/>
                <w:sz w:val="16"/>
              </w:rPr>
              <w:t>Multidimensional value</w:t>
            </w:r>
          </w:p>
        </w:tc>
        <w:tc>
          <w:tcPr>
            <w:tcW w:type="dxa" w:w="6048"/>
            <w:vAlign w:val="center"/>
            <w:tcMar>
              <w:top w:w="90" w:type="dxa"/>
              <w:start w:w="120" w:type="dxa"/>
              <w:bottom w:w="90" w:type="dxa"/>
              <w:end w:w="120" w:type="dxa"/>
            </w:tcMar>
          </w:tcPr>
          <w:p>
            <w:pPr>
              <w:spacing w:after="0"/>
            </w:pPr>
            <w:r>
              <w:rPr>
                <w:rFonts w:ascii="Aptos" w:hAnsi="Aptos"/>
                <w:color w:val="17212B"/>
                <w:sz w:val="16"/>
              </w:rPr>
              <w:t>Price is one attribute among cancellation, distance, shuttle, coverage, reliability, and validity.</w:t>
            </w:r>
          </w:p>
        </w:tc>
      </w:tr>
      <w:tr>
        <w:trPr>
          <w:cantSplit/>
        </w:trPr>
        <w:tc>
          <w:tcPr>
            <w:tcW w:type="dxa" w:w="792"/>
            <w:vAlign w:val="center"/>
            <w:tcMar>
              <w:top w:w="90" w:type="dxa"/>
              <w:start w:w="120" w:type="dxa"/>
              <w:bottom w:w="90" w:type="dxa"/>
              <w:end w:w="120" w:type="dxa"/>
            </w:tcMar>
            <w:shd w:fill="F8FAFB"/>
          </w:tcPr>
          <w:p>
            <w:pPr>
              <w:spacing w:after="0"/>
            </w:pPr>
            <w:r>
              <w:rPr>
                <w:rFonts w:ascii="Aptos" w:hAnsi="Aptos"/>
                <w:color w:val="17212B"/>
                <w:sz w:val="16"/>
              </w:rPr>
              <w:t>P6</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6"/>
              </w:rPr>
              <w:t>Evidence over assertion</w:t>
            </w:r>
          </w:p>
        </w:tc>
        <w:tc>
          <w:tcPr>
            <w:tcW w:type="dxa" w:w="6048"/>
            <w:vAlign w:val="center"/>
            <w:tcMar>
              <w:top w:w="90" w:type="dxa"/>
              <w:start w:w="120" w:type="dxa"/>
              <w:bottom w:w="90" w:type="dxa"/>
              <w:end w:w="120" w:type="dxa"/>
            </w:tcMar>
            <w:shd w:fill="F8FAFB"/>
          </w:tcPr>
          <w:p>
            <w:pPr>
              <w:spacing w:after="0"/>
            </w:pPr>
            <w:r>
              <w:rPr>
                <w:rFonts w:ascii="Aptos" w:hAnsi="Aptos"/>
                <w:color w:val="17212B"/>
                <w:sz w:val="16"/>
              </w:rPr>
              <w:t>Preferences, market facts, and recommendations carry evidence, confidence, timestamps, and provenance.</w:t>
            </w:r>
          </w:p>
        </w:tc>
      </w:tr>
      <w:tr>
        <w:trPr>
          <w:cantSplit/>
        </w:trPr>
        <w:tc>
          <w:tcPr>
            <w:tcW w:type="dxa" w:w="792"/>
            <w:vAlign w:val="center"/>
            <w:tcMar>
              <w:top w:w="90" w:type="dxa"/>
              <w:start w:w="120" w:type="dxa"/>
              <w:bottom w:w="90" w:type="dxa"/>
              <w:end w:w="120" w:type="dxa"/>
            </w:tcMar>
          </w:tcPr>
          <w:p>
            <w:pPr>
              <w:spacing w:after="0"/>
            </w:pPr>
            <w:r>
              <w:rPr>
                <w:rFonts w:ascii="Aptos" w:hAnsi="Aptos"/>
                <w:color w:val="17212B"/>
                <w:sz w:val="16"/>
              </w:rPr>
              <w:t>P7</w:t>
            </w:r>
          </w:p>
        </w:tc>
        <w:tc>
          <w:tcPr>
            <w:tcW w:type="dxa" w:w="2520"/>
            <w:vAlign w:val="center"/>
            <w:tcMar>
              <w:top w:w="90" w:type="dxa"/>
              <w:start w:w="120" w:type="dxa"/>
              <w:bottom w:w="90" w:type="dxa"/>
              <w:end w:w="120" w:type="dxa"/>
            </w:tcMar>
          </w:tcPr>
          <w:p>
            <w:pPr>
              <w:spacing w:after="0"/>
            </w:pPr>
            <w:r>
              <w:rPr>
                <w:rFonts w:ascii="Aptos" w:hAnsi="Aptos"/>
                <w:color w:val="17212B"/>
                <w:sz w:val="16"/>
              </w:rPr>
              <w:t>Cloud-neutral core</w:t>
            </w:r>
          </w:p>
        </w:tc>
        <w:tc>
          <w:tcPr>
            <w:tcW w:type="dxa" w:w="6048"/>
            <w:vAlign w:val="center"/>
            <w:tcMar>
              <w:top w:w="90" w:type="dxa"/>
              <w:start w:w="120" w:type="dxa"/>
              <w:bottom w:w="90" w:type="dxa"/>
              <w:end w:w="120" w:type="dxa"/>
            </w:tcMar>
          </w:tcPr>
          <w:p>
            <w:pPr>
              <w:spacing w:after="0"/>
            </w:pPr>
            <w:r>
              <w:rPr>
                <w:rFonts w:ascii="Aptos" w:hAnsi="Aptos"/>
                <w:color w:val="17212B"/>
                <w:sz w:val="16"/>
              </w:rPr>
              <w:t>Domain rules are deterministic and provider-independent; Google and AWS are adapters.</w:t>
            </w:r>
          </w:p>
        </w:tc>
      </w:tr>
      <w:tr>
        <w:trPr>
          <w:cantSplit/>
        </w:trPr>
        <w:tc>
          <w:tcPr>
            <w:tcW w:type="dxa" w:w="792"/>
            <w:vAlign w:val="center"/>
            <w:tcMar>
              <w:top w:w="90" w:type="dxa"/>
              <w:start w:w="120" w:type="dxa"/>
              <w:bottom w:w="90" w:type="dxa"/>
              <w:end w:w="120" w:type="dxa"/>
            </w:tcMar>
            <w:shd w:fill="F8FAFB"/>
          </w:tcPr>
          <w:p>
            <w:pPr>
              <w:spacing w:after="0"/>
            </w:pPr>
            <w:r>
              <w:rPr>
                <w:rFonts w:ascii="Aptos" w:hAnsi="Aptos"/>
                <w:color w:val="17212B"/>
                <w:sz w:val="16"/>
              </w:rPr>
              <w:t>P8</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6"/>
              </w:rPr>
              <w:t>Simulation honesty</w:t>
            </w:r>
          </w:p>
        </w:tc>
        <w:tc>
          <w:tcPr>
            <w:tcW w:type="dxa" w:w="6048"/>
            <w:vAlign w:val="center"/>
            <w:tcMar>
              <w:top w:w="90" w:type="dxa"/>
              <w:start w:w="120" w:type="dxa"/>
              <w:bottom w:w="90" w:type="dxa"/>
              <w:end w:w="120" w:type="dxa"/>
            </w:tcMar>
            <w:shd w:fill="F8FAFB"/>
          </w:tcPr>
          <w:p>
            <w:pPr>
              <w:spacing w:after="0"/>
            </w:pPr>
            <w:r>
              <w:rPr>
                <w:rFonts w:ascii="Aptos" w:hAnsi="Aptos"/>
                <w:color w:val="17212B"/>
                <w:sz w:val="16"/>
              </w:rPr>
              <w:t>MVP supplier competition and transaction authorization are clearly labeled simulations unless backed by a real integration.</w:t>
            </w:r>
          </w:p>
        </w:tc>
      </w:tr>
    </w:tbl>
    <w:p>
      <w:pPr>
        <w:spacing w:after="20"/>
      </w:pPr>
    </w:p>
    <w:p>
      <w:r>
        <w:br w:type="page"/>
      </w:r>
    </w:p>
    <w:p>
      <w:pPr>
        <w:pStyle w:val="Heading1"/>
      </w:pPr>
      <w:r>
        <w:t>3. Product scope, Intent-first model, and airport-parking golden path</w:t>
      </w:r>
    </w:p>
    <w:p>
      <w:pPr>
        <w:pStyle w:val="Heading2"/>
      </w:pPr>
      <w:r>
        <w:t>3.1 v1 use case and domain scope</w:t>
      </w:r>
    </w:p>
    <w:p>
      <w:r>
        <w:t>The architecture is multi-domain. Domain selection sits beneath the Intent; it is not a mandatory front door. The current real implementation remains airport-parking-first: the user needs parking near JFK for a known trip. Shared context may include flight dates, terminal, vehicle class, and a note such as “need parking.” ReservEdge extracts candidate requirements, confirms uncertain or sensitive fields, researches public market references, and prepares a disclosure preview. After A2 approval, three isolated supplier agents return offers under distinct, realistic business guardrails. Rental and entertainment remain explicitly simulated or design-fixture capabilities until separately approved. Hotel, flight, and other domains are architecture and roadmap scope, not claims of current production capability. Do not invent a lowest-common-denominator universal booking schema; use a canonical orchestration contract with domain-specific extensions.</w:t>
      </w:r>
    </w:p>
    <w:p>
      <w:pPr>
        <w:pStyle w:val="Heading2"/>
      </w:pPr>
      <w:r>
        <w:t>3.2 Golden path</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504"/>
            <w:shd w:fill="17324D"/>
            <w:tcMar>
              <w:top w:w="90" w:type="dxa"/>
              <w:start w:w="120" w:type="dxa"/>
              <w:bottom w:w="90" w:type="dxa"/>
              <w:end w:w="120" w:type="dxa"/>
            </w:tcMar>
          </w:tcPr>
          <w:p>
            <w:pPr>
              <w:spacing w:after="0"/>
            </w:pPr>
            <w:r>
              <w:rPr>
                <w:rFonts w:ascii="Aptos" w:hAnsi="Aptos"/>
                <w:b/>
                <w:color w:val="FFFFFF"/>
                <w:sz w:val="16"/>
              </w:rPr>
              <w:t>#</w:t>
            </w:r>
          </w:p>
        </w:tc>
        <w:tc>
          <w:tcPr>
            <w:tcW w:type="dxa" w:w="1584"/>
            <w:shd w:fill="17324D"/>
            <w:tcMar>
              <w:top w:w="90" w:type="dxa"/>
              <w:start w:w="120" w:type="dxa"/>
              <w:bottom w:w="90" w:type="dxa"/>
              <w:end w:w="120" w:type="dxa"/>
            </w:tcMar>
          </w:tcPr>
          <w:p>
            <w:pPr>
              <w:spacing w:after="0"/>
            </w:pPr>
            <w:r>
              <w:rPr>
                <w:rFonts w:ascii="Aptos" w:hAnsi="Aptos"/>
                <w:b/>
                <w:color w:val="FFFFFF"/>
                <w:sz w:val="16"/>
              </w:rPr>
              <w:t>Stage</w:t>
            </w:r>
          </w:p>
        </w:tc>
        <w:tc>
          <w:tcPr>
            <w:tcW w:type="dxa" w:w="7272"/>
            <w:shd w:fill="17324D"/>
            <w:tcMar>
              <w:top w:w="90" w:type="dxa"/>
              <w:start w:w="120" w:type="dxa"/>
              <w:bottom w:w="90" w:type="dxa"/>
              <w:end w:w="120" w:type="dxa"/>
            </w:tcMar>
          </w:tcPr>
          <w:p>
            <w:pPr>
              <w:spacing w:after="0"/>
            </w:pPr>
            <w:r>
              <w:rPr>
                <w:rFonts w:ascii="Aptos" w:hAnsi="Aptos"/>
                <w:b/>
                <w:color w:val="FFFFFF"/>
                <w:sz w:val="16"/>
              </w:rPr>
              <w:t>Expected behavior</w:t>
            </w:r>
          </w:p>
        </w:tc>
      </w:tr>
      <w:tr>
        <w:trPr>
          <w:cantSplit/>
        </w:trPr>
        <w:tc>
          <w:tcPr>
            <w:tcW w:type="dxa" w:w="504"/>
            <w:vAlign w:val="center"/>
            <w:tcMar>
              <w:top w:w="90" w:type="dxa"/>
              <w:start w:w="120" w:type="dxa"/>
              <w:bottom w:w="90" w:type="dxa"/>
              <w:end w:w="120" w:type="dxa"/>
            </w:tcMar>
          </w:tcPr>
          <w:p>
            <w:pPr>
              <w:spacing w:after="0"/>
            </w:pPr>
            <w:r>
              <w:rPr>
                <w:rFonts w:ascii="Aptos" w:hAnsi="Aptos"/>
                <w:color w:val="17212B"/>
                <w:sz w:val="16"/>
              </w:rPr>
              <w:t>1</w:t>
            </w:r>
          </w:p>
        </w:tc>
        <w:tc>
          <w:tcPr>
            <w:tcW w:type="dxa" w:w="1584"/>
            <w:vAlign w:val="center"/>
            <w:tcMar>
              <w:top w:w="90" w:type="dxa"/>
              <w:start w:w="120" w:type="dxa"/>
              <w:bottom w:w="90" w:type="dxa"/>
              <w:end w:w="120" w:type="dxa"/>
            </w:tcMar>
          </w:tcPr>
          <w:p>
            <w:pPr>
              <w:spacing w:after="0"/>
            </w:pPr>
            <w:r>
              <w:rPr>
                <w:rFonts w:ascii="Aptos" w:hAnsi="Aptos"/>
                <w:color w:val="17212B"/>
                <w:sz w:val="16"/>
              </w:rPr>
              <w:t>Receive</w:t>
            </w:r>
          </w:p>
        </w:tc>
        <w:tc>
          <w:tcPr>
            <w:tcW w:type="dxa" w:w="7272"/>
            <w:vAlign w:val="center"/>
            <w:tcMar>
              <w:top w:w="90" w:type="dxa"/>
              <w:start w:w="120" w:type="dxa"/>
              <w:bottom w:w="90" w:type="dxa"/>
              <w:end w:w="120" w:type="dxa"/>
            </w:tcMar>
          </w:tcPr>
          <w:p>
            <w:pPr>
              <w:spacing w:after="0"/>
            </w:pPr>
            <w:r>
              <w:rPr>
                <w:rFonts w:ascii="Aptos" w:hAnsi="Aptos"/>
                <w:color w:val="17212B"/>
                <w:sz w:val="16"/>
              </w:rPr>
              <w:t>User states an objective in conversation or uses an optional domain shortcut; Share to ReservEdge remains future G3 UX (historical/internal label Share-to-ITAA).</w:t>
            </w:r>
          </w:p>
        </w:tc>
      </w:tr>
      <w:tr>
        <w:trPr>
          <w:cantSplit/>
        </w:trPr>
        <w:tc>
          <w:tcPr>
            <w:tcW w:type="dxa" w:w="504"/>
            <w:vAlign w:val="center"/>
            <w:tcMar>
              <w:top w:w="90" w:type="dxa"/>
              <w:start w:w="120" w:type="dxa"/>
              <w:bottom w:w="90" w:type="dxa"/>
              <w:end w:w="120" w:type="dxa"/>
            </w:tcMar>
            <w:shd w:fill="F8FAFB"/>
          </w:tcPr>
          <w:p>
            <w:pPr>
              <w:spacing w:after="0"/>
            </w:pPr>
            <w:r>
              <w:rPr>
                <w:rFonts w:ascii="Aptos" w:hAnsi="Aptos"/>
                <w:color w:val="17212B"/>
                <w:sz w:val="16"/>
              </w:rPr>
              <w:t>2</w:t>
            </w:r>
          </w:p>
        </w:tc>
        <w:tc>
          <w:tcPr>
            <w:tcW w:type="dxa" w:w="1584"/>
            <w:vAlign w:val="center"/>
            <w:tcMar>
              <w:top w:w="90" w:type="dxa"/>
              <w:start w:w="120" w:type="dxa"/>
              <w:bottom w:w="90" w:type="dxa"/>
              <w:end w:w="120" w:type="dxa"/>
            </w:tcMar>
            <w:shd w:fill="F8FAFB"/>
          </w:tcPr>
          <w:p>
            <w:pPr>
              <w:spacing w:after="0"/>
            </w:pPr>
            <w:r>
              <w:rPr>
                <w:rFonts w:ascii="Aptos" w:hAnsi="Aptos"/>
                <w:color w:val="17212B"/>
                <w:sz w:val="16"/>
              </w:rPr>
              <w:t>Extract</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ReservEdge proposes Booking Tasks and airport-parking requirement fields with evidence/confidence; preferences stay private.</w:t>
            </w:r>
          </w:p>
        </w:tc>
      </w:tr>
      <w:tr>
        <w:trPr>
          <w:cantSplit/>
        </w:trPr>
        <w:tc>
          <w:tcPr>
            <w:tcW w:type="dxa" w:w="504"/>
            <w:vAlign w:val="center"/>
            <w:tcMar>
              <w:top w:w="90" w:type="dxa"/>
              <w:start w:w="120" w:type="dxa"/>
              <w:bottom w:w="90" w:type="dxa"/>
              <w:end w:w="120" w:type="dxa"/>
            </w:tcMar>
          </w:tcPr>
          <w:p>
            <w:pPr>
              <w:spacing w:after="0"/>
            </w:pPr>
            <w:r>
              <w:rPr>
                <w:rFonts w:ascii="Aptos" w:hAnsi="Aptos"/>
                <w:color w:val="17212B"/>
                <w:sz w:val="16"/>
              </w:rPr>
              <w:t>3</w:t>
            </w:r>
          </w:p>
        </w:tc>
        <w:tc>
          <w:tcPr>
            <w:tcW w:type="dxa" w:w="1584"/>
            <w:vAlign w:val="center"/>
            <w:tcMar>
              <w:top w:w="90" w:type="dxa"/>
              <w:start w:w="120" w:type="dxa"/>
              <w:bottom w:w="90" w:type="dxa"/>
              <w:end w:w="120" w:type="dxa"/>
            </w:tcMar>
          </w:tcPr>
          <w:p>
            <w:pPr>
              <w:spacing w:after="0"/>
            </w:pPr>
            <w:r>
              <w:rPr>
                <w:rFonts w:ascii="Aptos" w:hAnsi="Aptos"/>
                <w:color w:val="17212B"/>
                <w:sz w:val="16"/>
              </w:rPr>
              <w:t>Clarify</w:t>
            </w:r>
          </w:p>
        </w:tc>
        <w:tc>
          <w:tcPr>
            <w:tcW w:type="dxa" w:w="7272"/>
            <w:vAlign w:val="center"/>
            <w:tcMar>
              <w:top w:w="90" w:type="dxa"/>
              <w:start w:w="120" w:type="dxa"/>
              <w:bottom w:w="90" w:type="dxa"/>
              <w:end w:w="120" w:type="dxa"/>
            </w:tcMar>
          </w:tcPr>
          <w:p>
            <w:pPr>
              <w:spacing w:after="0"/>
            </w:pPr>
            <w:r>
              <w:rPr>
                <w:rFonts w:ascii="Aptos" w:hAnsi="Aptos"/>
                <w:color w:val="17212B"/>
                <w:sz w:val="16"/>
              </w:rPr>
              <w:t>Only blocking ambiguity is asked; the user confirms the requirement summary.</w:t>
            </w:r>
          </w:p>
        </w:tc>
      </w:tr>
      <w:tr>
        <w:trPr>
          <w:cantSplit/>
        </w:trPr>
        <w:tc>
          <w:tcPr>
            <w:tcW w:type="dxa" w:w="504"/>
            <w:vAlign w:val="center"/>
            <w:tcMar>
              <w:top w:w="90" w:type="dxa"/>
              <w:start w:w="120" w:type="dxa"/>
              <w:bottom w:w="90" w:type="dxa"/>
              <w:end w:w="120" w:type="dxa"/>
            </w:tcMar>
            <w:shd w:fill="F8FAFB"/>
          </w:tcPr>
          <w:p>
            <w:pPr>
              <w:spacing w:after="0"/>
            </w:pPr>
            <w:r>
              <w:rPr>
                <w:rFonts w:ascii="Aptos" w:hAnsi="Aptos"/>
                <w:color w:val="17212B"/>
                <w:sz w:val="16"/>
              </w:rPr>
              <w:t>4</w:t>
            </w:r>
          </w:p>
        </w:tc>
        <w:tc>
          <w:tcPr>
            <w:tcW w:type="dxa" w:w="1584"/>
            <w:vAlign w:val="center"/>
            <w:tcMar>
              <w:top w:w="90" w:type="dxa"/>
              <w:start w:w="120" w:type="dxa"/>
              <w:bottom w:w="90" w:type="dxa"/>
              <w:end w:w="120" w:type="dxa"/>
            </w:tcMar>
            <w:shd w:fill="F8FAFB"/>
          </w:tcPr>
          <w:p>
            <w:pPr>
              <w:spacing w:after="0"/>
            </w:pPr>
            <w:r>
              <w:rPr>
                <w:rFonts w:ascii="Aptos" w:hAnsi="Aptos"/>
                <w:color w:val="17212B"/>
                <w:sz w:val="16"/>
              </w:rPr>
              <w:t>Research</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Market adapter retrieves ordinary public options, timestamps sources, and establishes a comparison baseline.</w:t>
            </w:r>
          </w:p>
        </w:tc>
      </w:tr>
      <w:tr>
        <w:trPr>
          <w:cantSplit/>
        </w:trPr>
        <w:tc>
          <w:tcPr>
            <w:tcW w:type="dxa" w:w="504"/>
            <w:vAlign w:val="center"/>
            <w:tcMar>
              <w:top w:w="90" w:type="dxa"/>
              <w:start w:w="120" w:type="dxa"/>
              <w:bottom w:w="90" w:type="dxa"/>
              <w:end w:w="120" w:type="dxa"/>
            </w:tcMar>
          </w:tcPr>
          <w:p>
            <w:pPr>
              <w:spacing w:after="0"/>
            </w:pPr>
            <w:r>
              <w:rPr>
                <w:rFonts w:ascii="Aptos" w:hAnsi="Aptos"/>
                <w:color w:val="17212B"/>
                <w:sz w:val="16"/>
              </w:rPr>
              <w:t>5</w:t>
            </w:r>
          </w:p>
        </w:tc>
        <w:tc>
          <w:tcPr>
            <w:tcW w:type="dxa" w:w="1584"/>
            <w:vAlign w:val="center"/>
            <w:tcMar>
              <w:top w:w="90" w:type="dxa"/>
              <w:start w:w="120" w:type="dxa"/>
              <w:bottom w:w="90" w:type="dxa"/>
              <w:end w:w="120" w:type="dxa"/>
            </w:tcMar>
          </w:tcPr>
          <w:p>
            <w:pPr>
              <w:spacing w:after="0"/>
            </w:pPr>
            <w:r>
              <w:rPr>
                <w:rFonts w:ascii="Aptos" w:hAnsi="Aptos"/>
                <w:color w:val="17212B"/>
                <w:sz w:val="16"/>
              </w:rPr>
              <w:t>Preview disclosure</w:t>
            </w:r>
          </w:p>
        </w:tc>
        <w:tc>
          <w:tcPr>
            <w:tcW w:type="dxa" w:w="7272"/>
            <w:vAlign w:val="center"/>
            <w:tcMar>
              <w:top w:w="90" w:type="dxa"/>
              <w:start w:w="120" w:type="dxa"/>
              <w:bottom w:w="90" w:type="dxa"/>
              <w:end w:w="120" w:type="dxa"/>
            </w:tcMar>
          </w:tcPr>
          <w:p>
            <w:pPr>
              <w:spacing w:after="0"/>
            </w:pPr>
            <w:r>
              <w:rPr>
                <w:rFonts w:ascii="Aptos" w:hAnsi="Aptos"/>
                <w:color w:val="17212B"/>
                <w:sz w:val="16"/>
              </w:rPr>
              <w:t>Privacy firewall produces a redacted Purchase Intent and explains withheld fields.</w:t>
            </w:r>
          </w:p>
        </w:tc>
      </w:tr>
      <w:tr>
        <w:trPr>
          <w:cantSplit/>
        </w:trPr>
        <w:tc>
          <w:tcPr>
            <w:tcW w:type="dxa" w:w="504"/>
            <w:vAlign w:val="center"/>
            <w:tcMar>
              <w:top w:w="90" w:type="dxa"/>
              <w:start w:w="120" w:type="dxa"/>
              <w:bottom w:w="90" w:type="dxa"/>
              <w:end w:w="120" w:type="dxa"/>
            </w:tcMar>
            <w:shd w:fill="F8FAFB"/>
          </w:tcPr>
          <w:p>
            <w:pPr>
              <w:spacing w:after="0"/>
            </w:pPr>
            <w:r>
              <w:rPr>
                <w:rFonts w:ascii="Aptos" w:hAnsi="Aptos"/>
                <w:color w:val="17212B"/>
                <w:sz w:val="16"/>
              </w:rPr>
              <w:t>6</w:t>
            </w:r>
          </w:p>
        </w:tc>
        <w:tc>
          <w:tcPr>
            <w:tcW w:type="dxa" w:w="1584"/>
            <w:vAlign w:val="center"/>
            <w:tcMar>
              <w:top w:w="90" w:type="dxa"/>
              <w:start w:w="120" w:type="dxa"/>
              <w:bottom w:w="90" w:type="dxa"/>
              <w:end w:w="120" w:type="dxa"/>
            </w:tcMar>
            <w:shd w:fill="F8FAFB"/>
          </w:tcPr>
          <w:p>
            <w:pPr>
              <w:spacing w:after="0"/>
            </w:pPr>
            <w:r>
              <w:rPr>
                <w:rFonts w:ascii="Aptos" w:hAnsi="Aptos"/>
                <w:color w:val="17212B"/>
                <w:sz w:val="16"/>
              </w:rPr>
              <w:t>Authorize intent</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User explicitly approves dispatch; approval is bound to the exact payload hash and expiry.</w:t>
            </w:r>
          </w:p>
        </w:tc>
      </w:tr>
      <w:tr>
        <w:trPr>
          <w:cantSplit/>
        </w:trPr>
        <w:tc>
          <w:tcPr>
            <w:tcW w:type="dxa" w:w="504"/>
            <w:vAlign w:val="center"/>
            <w:tcMar>
              <w:top w:w="90" w:type="dxa"/>
              <w:start w:w="120" w:type="dxa"/>
              <w:bottom w:w="90" w:type="dxa"/>
              <w:end w:w="120" w:type="dxa"/>
            </w:tcMar>
          </w:tcPr>
          <w:p>
            <w:pPr>
              <w:spacing w:after="0"/>
            </w:pPr>
            <w:r>
              <w:rPr>
                <w:rFonts w:ascii="Aptos" w:hAnsi="Aptos"/>
                <w:color w:val="17212B"/>
                <w:sz w:val="16"/>
              </w:rPr>
              <w:t>7</w:t>
            </w:r>
          </w:p>
        </w:tc>
        <w:tc>
          <w:tcPr>
            <w:tcW w:type="dxa" w:w="1584"/>
            <w:vAlign w:val="center"/>
            <w:tcMar>
              <w:top w:w="90" w:type="dxa"/>
              <w:start w:w="120" w:type="dxa"/>
              <w:bottom w:w="90" w:type="dxa"/>
              <w:end w:w="120" w:type="dxa"/>
            </w:tcMar>
          </w:tcPr>
          <w:p>
            <w:pPr>
              <w:spacing w:after="0"/>
            </w:pPr>
            <w:r>
              <w:rPr>
                <w:rFonts w:ascii="Aptos" w:hAnsi="Aptos"/>
                <w:color w:val="17212B"/>
                <w:sz w:val="16"/>
              </w:rPr>
              <w:t>Solicit privately</w:t>
            </w:r>
          </w:p>
        </w:tc>
        <w:tc>
          <w:tcPr>
            <w:tcW w:type="dxa" w:w="7272"/>
            <w:vAlign w:val="center"/>
            <w:tcMar>
              <w:top w:w="90" w:type="dxa"/>
              <w:start w:w="120" w:type="dxa"/>
              <w:bottom w:w="90" w:type="dxa"/>
              <w:end w:w="120" w:type="dxa"/>
            </w:tcMar>
          </w:tcPr>
          <w:p>
            <w:pPr>
              <w:spacing w:after="0"/>
            </w:pPr>
            <w:r>
              <w:rPr>
                <w:rFonts w:ascii="Aptos" w:hAnsi="Aptos"/>
                <w:color w:val="17212B"/>
                <w:sz w:val="16"/>
              </w:rPr>
              <w:t>Intent Exchange creates three isolated invitations; suppliers never share a room, prompt, or data store.</w:t>
            </w:r>
          </w:p>
        </w:tc>
      </w:tr>
      <w:tr>
        <w:trPr>
          <w:cantSplit/>
        </w:trPr>
        <w:tc>
          <w:tcPr>
            <w:tcW w:type="dxa" w:w="504"/>
            <w:vAlign w:val="center"/>
            <w:tcMar>
              <w:top w:w="90" w:type="dxa"/>
              <w:start w:w="120" w:type="dxa"/>
              <w:bottom w:w="90" w:type="dxa"/>
              <w:end w:w="120" w:type="dxa"/>
            </w:tcMar>
            <w:shd w:fill="F8FAFB"/>
          </w:tcPr>
          <w:p>
            <w:pPr>
              <w:spacing w:after="0"/>
            </w:pPr>
            <w:r>
              <w:rPr>
                <w:rFonts w:ascii="Aptos" w:hAnsi="Aptos"/>
                <w:color w:val="17212B"/>
                <w:sz w:val="16"/>
              </w:rPr>
              <w:t>8</w:t>
            </w:r>
          </w:p>
        </w:tc>
        <w:tc>
          <w:tcPr>
            <w:tcW w:type="dxa" w:w="1584"/>
            <w:vAlign w:val="center"/>
            <w:tcMar>
              <w:top w:w="90" w:type="dxa"/>
              <w:start w:w="120" w:type="dxa"/>
              <w:bottom w:w="90" w:type="dxa"/>
              <w:end w:w="120" w:type="dxa"/>
            </w:tcMar>
            <w:shd w:fill="F8FAFB"/>
          </w:tcPr>
          <w:p>
            <w:pPr>
              <w:spacing w:after="0"/>
            </w:pPr>
            <w:r>
              <w:rPr>
                <w:rFonts w:ascii="Aptos" w:hAnsi="Aptos"/>
                <w:color w:val="17212B"/>
                <w:sz w:val="16"/>
              </w:rPr>
              <w:t>Generate offers</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Each supplier applies inventory, price floor, discount, capacity, bundle, and validity guardrails.</w:t>
            </w:r>
          </w:p>
        </w:tc>
      </w:tr>
      <w:tr>
        <w:trPr>
          <w:cantSplit/>
        </w:trPr>
        <w:tc>
          <w:tcPr>
            <w:tcW w:type="dxa" w:w="504"/>
            <w:vAlign w:val="center"/>
            <w:tcMar>
              <w:top w:w="90" w:type="dxa"/>
              <w:start w:w="120" w:type="dxa"/>
              <w:bottom w:w="90" w:type="dxa"/>
              <w:end w:w="120" w:type="dxa"/>
            </w:tcMar>
          </w:tcPr>
          <w:p>
            <w:pPr>
              <w:spacing w:after="0"/>
            </w:pPr>
            <w:r>
              <w:rPr>
                <w:rFonts w:ascii="Aptos" w:hAnsi="Aptos"/>
                <w:color w:val="17212B"/>
                <w:sz w:val="16"/>
              </w:rPr>
              <w:t>9</w:t>
            </w:r>
          </w:p>
        </w:tc>
        <w:tc>
          <w:tcPr>
            <w:tcW w:type="dxa" w:w="1584"/>
            <w:vAlign w:val="center"/>
            <w:tcMar>
              <w:top w:w="90" w:type="dxa"/>
              <w:start w:w="120" w:type="dxa"/>
              <w:bottom w:w="90" w:type="dxa"/>
              <w:end w:w="120" w:type="dxa"/>
            </w:tcMar>
          </w:tcPr>
          <w:p>
            <w:pPr>
              <w:spacing w:after="0"/>
            </w:pPr>
            <w:r>
              <w:rPr>
                <w:rFonts w:ascii="Aptos" w:hAnsi="Aptos"/>
                <w:color w:val="17212B"/>
                <w:sz w:val="16"/>
              </w:rPr>
              <w:t>Validate and rank</w:t>
            </w:r>
          </w:p>
        </w:tc>
        <w:tc>
          <w:tcPr>
            <w:tcW w:type="dxa" w:w="7272"/>
            <w:vAlign w:val="center"/>
            <w:tcMar>
              <w:top w:w="90" w:type="dxa"/>
              <w:start w:w="120" w:type="dxa"/>
              <w:bottom w:w="90" w:type="dxa"/>
              <w:end w:w="120" w:type="dxa"/>
            </w:tcMar>
          </w:tcPr>
          <w:p>
            <w:pPr>
              <w:spacing w:after="0"/>
            </w:pPr>
            <w:r>
              <w:rPr>
                <w:rFonts w:ascii="Aptos" w:hAnsi="Aptos"/>
                <w:color w:val="17212B"/>
                <w:sz w:val="16"/>
              </w:rPr>
              <w:t>ReservEdge schema-validates, policy-checks, and ranks offers using buyer weights. Internal scoreMicros is not shown to the buyer.</w:t>
            </w:r>
          </w:p>
        </w:tc>
      </w:tr>
      <w:tr>
        <w:trPr>
          <w:cantSplit/>
        </w:trPr>
        <w:tc>
          <w:tcPr>
            <w:tcW w:type="dxa" w:w="504"/>
            <w:vAlign w:val="center"/>
            <w:tcMar>
              <w:top w:w="90" w:type="dxa"/>
              <w:start w:w="120" w:type="dxa"/>
              <w:bottom w:w="90" w:type="dxa"/>
              <w:end w:w="120" w:type="dxa"/>
            </w:tcMar>
            <w:shd w:fill="F8FAFB"/>
          </w:tcPr>
          <w:p>
            <w:pPr>
              <w:spacing w:after="0"/>
            </w:pPr>
            <w:r>
              <w:rPr>
                <w:rFonts w:ascii="Aptos" w:hAnsi="Aptos"/>
                <w:color w:val="17212B"/>
                <w:sz w:val="16"/>
              </w:rPr>
              <w:t>10</w:t>
            </w:r>
          </w:p>
        </w:tc>
        <w:tc>
          <w:tcPr>
            <w:tcW w:type="dxa" w:w="1584"/>
            <w:vAlign w:val="center"/>
            <w:tcMar>
              <w:top w:w="90" w:type="dxa"/>
              <w:start w:w="120" w:type="dxa"/>
              <w:bottom w:w="90" w:type="dxa"/>
              <w:end w:w="120" w:type="dxa"/>
            </w:tcMar>
            <w:shd w:fill="F8FAFB"/>
          </w:tcPr>
          <w:p>
            <w:pPr>
              <w:spacing w:after="0"/>
            </w:pPr>
            <w:r>
              <w:rPr>
                <w:rFonts w:ascii="Aptos" w:hAnsi="Aptos"/>
                <w:color w:val="17212B"/>
                <w:sz w:val="16"/>
              </w:rPr>
              <w:t>Recommend</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Decision card shows qualitative fit (Strong/Good/Fair), alternatives, tradeoffs, evidence, and a confidence/coverage note. No numerical buyer-facing score.</w:t>
            </w:r>
          </w:p>
        </w:tc>
      </w:tr>
      <w:tr>
        <w:trPr>
          <w:cantSplit/>
        </w:trPr>
        <w:tc>
          <w:tcPr>
            <w:tcW w:type="dxa" w:w="504"/>
            <w:vAlign w:val="center"/>
            <w:tcMar>
              <w:top w:w="90" w:type="dxa"/>
              <w:start w:w="120" w:type="dxa"/>
              <w:bottom w:w="90" w:type="dxa"/>
              <w:end w:w="120" w:type="dxa"/>
            </w:tcMar>
          </w:tcPr>
          <w:p>
            <w:pPr>
              <w:spacing w:after="0"/>
            </w:pPr>
            <w:r>
              <w:rPr>
                <w:rFonts w:ascii="Aptos" w:hAnsi="Aptos"/>
                <w:color w:val="17212B"/>
                <w:sz w:val="16"/>
              </w:rPr>
              <w:t>11</w:t>
            </w:r>
          </w:p>
        </w:tc>
        <w:tc>
          <w:tcPr>
            <w:tcW w:type="dxa" w:w="1584"/>
            <w:vAlign w:val="center"/>
            <w:tcMar>
              <w:top w:w="90" w:type="dxa"/>
              <w:start w:w="120" w:type="dxa"/>
              <w:bottom w:w="90" w:type="dxa"/>
              <w:end w:w="120" w:type="dxa"/>
            </w:tcMar>
          </w:tcPr>
          <w:p>
            <w:pPr>
              <w:spacing w:after="0"/>
            </w:pPr>
            <w:r>
              <w:rPr>
                <w:rFonts w:ascii="Aptos" w:hAnsi="Aptos"/>
                <w:color w:val="17212B"/>
                <w:sz w:val="16"/>
              </w:rPr>
              <w:t>Approve offer</w:t>
            </w:r>
          </w:p>
        </w:tc>
        <w:tc>
          <w:tcPr>
            <w:tcW w:type="dxa" w:w="7272"/>
            <w:vAlign w:val="center"/>
            <w:tcMar>
              <w:top w:w="90" w:type="dxa"/>
              <w:start w:w="120" w:type="dxa"/>
              <w:bottom w:w="90" w:type="dxa"/>
              <w:end w:w="120" w:type="dxa"/>
            </w:tcMar>
          </w:tcPr>
          <w:p>
            <w:pPr>
              <w:spacing w:after="0"/>
            </w:pPr>
            <w:r>
              <w:rPr>
                <w:rFonts w:ascii="Aptos" w:hAnsi="Aptos"/>
                <w:color w:val="17212B"/>
                <w:sz w:val="16"/>
              </w:rPr>
              <w:t>User chooses an offer and confirms material terms.</w:t>
            </w:r>
          </w:p>
        </w:tc>
      </w:tr>
      <w:tr>
        <w:trPr>
          <w:cantSplit/>
        </w:trPr>
        <w:tc>
          <w:tcPr>
            <w:tcW w:type="dxa" w:w="504"/>
            <w:vAlign w:val="center"/>
            <w:tcMar>
              <w:top w:w="90" w:type="dxa"/>
              <w:start w:w="120" w:type="dxa"/>
              <w:bottom w:w="90" w:type="dxa"/>
              <w:end w:w="120" w:type="dxa"/>
            </w:tcMar>
            <w:shd w:fill="F8FAFB"/>
          </w:tcPr>
          <w:p>
            <w:pPr>
              <w:spacing w:after="0"/>
            </w:pPr>
            <w:r>
              <w:rPr>
                <w:rFonts w:ascii="Aptos" w:hAnsi="Aptos"/>
                <w:color w:val="17212B"/>
                <w:sz w:val="16"/>
              </w:rPr>
              <w:t>12</w:t>
            </w:r>
          </w:p>
        </w:tc>
        <w:tc>
          <w:tcPr>
            <w:tcW w:type="dxa" w:w="1584"/>
            <w:vAlign w:val="center"/>
            <w:tcMar>
              <w:top w:w="90" w:type="dxa"/>
              <w:start w:w="120" w:type="dxa"/>
              <w:bottom w:w="90" w:type="dxa"/>
              <w:end w:w="120" w:type="dxa"/>
            </w:tcMar>
            <w:shd w:fill="F8FAFB"/>
          </w:tcPr>
          <w:p>
            <w:pPr>
              <w:spacing w:after="0"/>
            </w:pPr>
            <w:r>
              <w:rPr>
                <w:rFonts w:ascii="Aptos" w:hAnsi="Aptos"/>
                <w:color w:val="17212B"/>
                <w:sz w:val="16"/>
              </w:rPr>
              <w:t>Authorize transaction</w:t>
            </w:r>
          </w:p>
        </w:tc>
        <w:tc>
          <w:tcPr>
            <w:tcW w:type="dxa" w:w="7272"/>
            <w:vAlign w:val="center"/>
            <w:tcMar>
              <w:top w:w="90" w:type="dxa"/>
              <w:start w:w="120" w:type="dxa"/>
              <w:bottom w:w="90" w:type="dxa"/>
              <w:end w:w="120" w:type="dxa"/>
            </w:tcMar>
            <w:shd w:fill="F8FAFB"/>
          </w:tcPr>
          <w:p>
            <w:pPr>
              <w:spacing w:after="0"/>
            </w:pPr>
            <w:r>
              <w:rPr>
                <w:rFonts w:ascii="Aptos" w:hAnsi="Aptos"/>
                <w:color w:val="17212B"/>
                <w:sz w:val="16"/>
              </w:rPr>
              <w:t>A4 authorizes a simulated attempt and terminates at authorized_simulated; no payment, inventory hold, supplier contact, or Booking.</w:t>
            </w:r>
          </w:p>
        </w:tc>
      </w:tr>
      <w:tr>
        <w:trPr>
          <w:cantSplit/>
        </w:trPr>
        <w:tc>
          <w:tcPr>
            <w:tcW w:type="dxa" w:w="504"/>
            <w:vAlign w:val="center"/>
            <w:tcMar>
              <w:top w:w="90" w:type="dxa"/>
              <w:start w:w="120" w:type="dxa"/>
              <w:bottom w:w="90" w:type="dxa"/>
              <w:end w:w="120" w:type="dxa"/>
            </w:tcMar>
          </w:tcPr>
          <w:p>
            <w:pPr>
              <w:spacing w:after="0"/>
            </w:pPr>
            <w:r>
              <w:rPr>
                <w:rFonts w:ascii="Aptos" w:hAnsi="Aptos"/>
                <w:color w:val="17212B"/>
                <w:sz w:val="16"/>
              </w:rPr>
              <w:t>13</w:t>
            </w:r>
          </w:p>
        </w:tc>
        <w:tc>
          <w:tcPr>
            <w:tcW w:type="dxa" w:w="1584"/>
            <w:vAlign w:val="center"/>
            <w:tcMar>
              <w:top w:w="90" w:type="dxa"/>
              <w:start w:w="120" w:type="dxa"/>
              <w:bottom w:w="90" w:type="dxa"/>
              <w:end w:w="120" w:type="dxa"/>
            </w:tcMar>
          </w:tcPr>
          <w:p>
            <w:pPr>
              <w:spacing w:after="0"/>
            </w:pPr>
            <w:r>
              <w:rPr>
                <w:rFonts w:ascii="Aptos" w:hAnsi="Aptos"/>
                <w:color w:val="17212B"/>
                <w:sz w:val="16"/>
              </w:rPr>
              <w:t>Learn carefully</w:t>
            </w:r>
          </w:p>
        </w:tc>
        <w:tc>
          <w:tcPr>
            <w:tcW w:type="dxa" w:w="7272"/>
            <w:vAlign w:val="center"/>
            <w:tcMar>
              <w:top w:w="90" w:type="dxa"/>
              <w:start w:w="120" w:type="dxa"/>
              <w:bottom w:w="90" w:type="dxa"/>
              <w:end w:w="120" w:type="dxa"/>
            </w:tcMar>
          </w:tcPr>
          <w:p>
            <w:pPr>
              <w:spacing w:after="0"/>
            </w:pPr>
            <w:r>
              <w:rPr>
                <w:rFonts w:ascii="Aptos" w:hAnsi="Aptos"/>
                <w:color w:val="17212B"/>
                <w:sz w:val="16"/>
              </w:rPr>
              <w:t>The choice becomes preference evidence, not an unquestioned permanent rule.</w:t>
            </w:r>
          </w:p>
        </w:tc>
      </w:tr>
    </w:tbl>
    <w:p>
      <w:pPr>
        <w:spacing w:after="20"/>
      </w:pPr>
    </w:p>
    <w:p>
      <w:pPr>
        <w:pStyle w:val="Heading2"/>
      </w:pPr>
      <w:r>
        <w:t>3.3 Demonstration suppliers</w:t>
      </w:r>
    </w:p>
    <w:tbl>
      <w:tblPr>
        <w:tblStyle w:val="TableGrid"/>
        <w:tblW w:type="dxa" w:w="9360"/>
        <w:jc w:val="center"/>
        <w:tblLayout w:type="fixed"/>
        <w:tblLook w:firstColumn="1" w:firstRow="1" w:lastColumn="0" w:lastRow="0" w:noHBand="0" w:noVBand="1" w:val="04A0"/>
        <w:tblInd w:w="120" w:type="dxa"/>
      </w:tblPr>
      <w:tblGrid>
        <w:gridCol w:w="2426"/>
        <w:gridCol w:w="2426"/>
        <w:gridCol w:w="2426"/>
        <w:gridCol w:w="2426"/>
      </w:tblGrid>
      <w:tr>
        <w:trPr>
          <w:tblHeader w:val="true"/>
          <w:cantSplit/>
        </w:trPr>
        <w:tc>
          <w:tcPr>
            <w:tcW w:type="dxa" w:w="1656"/>
            <w:shd w:fill="17324D"/>
            <w:tcMar>
              <w:top w:w="90" w:type="dxa"/>
              <w:start w:w="120" w:type="dxa"/>
              <w:bottom w:w="90" w:type="dxa"/>
              <w:end w:w="120" w:type="dxa"/>
            </w:tcMar>
          </w:tcPr>
          <w:p>
            <w:pPr>
              <w:spacing w:after="0"/>
            </w:pPr>
            <w:r>
              <w:rPr>
                <w:rFonts w:ascii="Aptos" w:hAnsi="Aptos"/>
                <w:b/>
                <w:color w:val="FFFFFF"/>
                <w:sz w:val="15"/>
              </w:rPr>
              <w:t>Supplier</w:t>
            </w:r>
          </w:p>
        </w:tc>
        <w:tc>
          <w:tcPr>
            <w:tcW w:type="dxa" w:w="1800"/>
            <w:shd w:fill="17324D"/>
            <w:tcMar>
              <w:top w:w="90" w:type="dxa"/>
              <w:start w:w="120" w:type="dxa"/>
              <w:bottom w:w="90" w:type="dxa"/>
              <w:end w:w="120" w:type="dxa"/>
            </w:tcMar>
          </w:tcPr>
          <w:p>
            <w:pPr>
              <w:spacing w:after="0"/>
            </w:pPr>
            <w:r>
              <w:rPr>
                <w:rFonts w:ascii="Aptos" w:hAnsi="Aptos"/>
                <w:b/>
                <w:color w:val="FFFFFF"/>
                <w:sz w:val="15"/>
              </w:rPr>
              <w:t>Strategy</w:t>
            </w:r>
          </w:p>
        </w:tc>
        <w:tc>
          <w:tcPr>
            <w:tcW w:type="dxa" w:w="3528"/>
            <w:shd w:fill="17324D"/>
            <w:tcMar>
              <w:top w:w="90" w:type="dxa"/>
              <w:start w:w="120" w:type="dxa"/>
              <w:bottom w:w="90" w:type="dxa"/>
              <w:end w:w="120" w:type="dxa"/>
            </w:tcMar>
          </w:tcPr>
          <w:p>
            <w:pPr>
              <w:spacing w:after="0"/>
            </w:pPr>
            <w:r>
              <w:rPr>
                <w:rFonts w:ascii="Aptos" w:hAnsi="Aptos"/>
                <w:b/>
                <w:color w:val="FFFFFF"/>
                <w:sz w:val="15"/>
              </w:rPr>
              <w:t>Example guardrails</w:t>
            </w:r>
          </w:p>
        </w:tc>
        <w:tc>
          <w:tcPr>
            <w:tcW w:type="dxa" w:w="2376"/>
            <w:shd w:fill="17324D"/>
            <w:tcMar>
              <w:top w:w="90" w:type="dxa"/>
              <w:start w:w="120" w:type="dxa"/>
              <w:bottom w:w="90" w:type="dxa"/>
              <w:end w:w="120" w:type="dxa"/>
            </w:tcMar>
          </w:tcPr>
          <w:p>
            <w:pPr>
              <w:spacing w:after="0"/>
            </w:pPr>
            <w:r>
              <w:rPr>
                <w:rFonts w:ascii="Aptos" w:hAnsi="Aptos"/>
                <w:b/>
                <w:color w:val="FFFFFF"/>
                <w:sz w:val="15"/>
              </w:rPr>
              <w:t>Differentiation</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5"/>
              </w:rPr>
              <w:t>ParkDirect</w:t>
            </w:r>
          </w:p>
        </w:tc>
        <w:tc>
          <w:tcPr>
            <w:tcW w:type="dxa" w:w="1800"/>
            <w:vAlign w:val="center"/>
            <w:tcMar>
              <w:top w:w="90" w:type="dxa"/>
              <w:start w:w="120" w:type="dxa"/>
              <w:bottom w:w="90" w:type="dxa"/>
              <w:end w:w="120" w:type="dxa"/>
            </w:tcMar>
          </w:tcPr>
          <w:p>
            <w:pPr>
              <w:spacing w:after="0"/>
            </w:pPr>
            <w:r>
              <w:rPr>
                <w:rFonts w:ascii="Aptos" w:hAnsi="Aptos"/>
                <w:color w:val="17212B"/>
                <w:sz w:val="15"/>
              </w:rPr>
              <w:t>Low price / uncovered</w:t>
            </w:r>
          </w:p>
        </w:tc>
        <w:tc>
          <w:tcPr>
            <w:tcW w:type="dxa" w:w="3528"/>
            <w:vAlign w:val="center"/>
            <w:tcMar>
              <w:top w:w="90" w:type="dxa"/>
              <w:start w:w="120" w:type="dxa"/>
              <w:bottom w:w="90" w:type="dxa"/>
              <w:end w:w="120" w:type="dxa"/>
            </w:tcMar>
          </w:tcPr>
          <w:p>
            <w:pPr>
              <w:spacing w:after="0"/>
            </w:pPr>
            <w:r>
              <w:rPr>
                <w:rFonts w:ascii="Aptos" w:hAnsi="Aptos"/>
                <w:color w:val="17212B"/>
                <w:sz w:val="15"/>
              </w:rPr>
              <w:t>floor $17/day; occupancy surge; 10% max discount</w:t>
            </w:r>
          </w:p>
        </w:tc>
        <w:tc>
          <w:tcPr>
            <w:tcW w:type="dxa" w:w="2376"/>
            <w:vAlign w:val="center"/>
            <w:tcMar>
              <w:top w:w="90" w:type="dxa"/>
              <w:start w:w="120" w:type="dxa"/>
              <w:bottom w:w="90" w:type="dxa"/>
              <w:end w:w="120" w:type="dxa"/>
            </w:tcMar>
          </w:tcPr>
          <w:p>
            <w:pPr>
              <w:spacing w:after="0"/>
            </w:pPr>
            <w:r>
              <w:rPr>
                <w:rFonts w:ascii="Aptos" w:hAnsi="Aptos"/>
                <w:color w:val="17212B"/>
                <w:sz w:val="15"/>
              </w:rPr>
              <w:t>Cheapest; 24-hour cancellation; 20-minute shuttle</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5"/>
              </w:rPr>
              <w:t>SkyShield</w:t>
            </w:r>
          </w:p>
        </w:tc>
        <w:tc>
          <w:tcPr>
            <w:tcW w:type="dxa" w:w="1800"/>
            <w:vAlign w:val="center"/>
            <w:tcMar>
              <w:top w:w="90" w:type="dxa"/>
              <w:start w:w="120" w:type="dxa"/>
              <w:bottom w:w="90" w:type="dxa"/>
              <w:end w:w="120" w:type="dxa"/>
            </w:tcMar>
            <w:shd w:fill="F8FAFB"/>
          </w:tcPr>
          <w:p>
            <w:pPr>
              <w:spacing w:after="0"/>
            </w:pPr>
            <w:r>
              <w:rPr>
                <w:rFonts w:ascii="Aptos" w:hAnsi="Aptos"/>
                <w:color w:val="17212B"/>
                <w:sz w:val="15"/>
              </w:rPr>
              <w:t>Premium / covered</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floor $28/day; covered capacity; bundle cap</w:t>
            </w:r>
          </w:p>
        </w:tc>
        <w:tc>
          <w:tcPr>
            <w:tcW w:type="dxa" w:w="2376"/>
            <w:vAlign w:val="center"/>
            <w:tcMar>
              <w:top w:w="90" w:type="dxa"/>
              <w:start w:w="120" w:type="dxa"/>
              <w:bottom w:w="90" w:type="dxa"/>
              <w:end w:w="120" w:type="dxa"/>
            </w:tcMar>
            <w:shd w:fill="F8FAFB"/>
          </w:tcPr>
          <w:p>
            <w:pPr>
              <w:spacing w:after="0"/>
            </w:pPr>
            <w:r>
              <w:rPr>
                <w:rFonts w:ascii="Aptos" w:hAnsi="Aptos"/>
                <w:color w:val="17212B"/>
                <w:sz w:val="15"/>
              </w:rPr>
              <w:t>Covered parking; 8-minute shuttle; flexible cancellation</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5"/>
              </w:rPr>
              <w:t>TerminalFlex</w:t>
            </w:r>
          </w:p>
        </w:tc>
        <w:tc>
          <w:tcPr>
            <w:tcW w:type="dxa" w:w="1800"/>
            <w:vAlign w:val="center"/>
            <w:tcMar>
              <w:top w:w="90" w:type="dxa"/>
              <w:start w:w="120" w:type="dxa"/>
              <w:bottom w:w="90" w:type="dxa"/>
              <w:end w:w="120" w:type="dxa"/>
            </w:tcMar>
          </w:tcPr>
          <w:p>
            <w:pPr>
              <w:spacing w:after="0"/>
            </w:pPr>
            <w:r>
              <w:rPr>
                <w:rFonts w:ascii="Aptos" w:hAnsi="Aptos"/>
                <w:color w:val="17212B"/>
                <w:sz w:val="15"/>
              </w:rPr>
              <w:t>Convenience / flexible</w:t>
            </w:r>
          </w:p>
        </w:tc>
        <w:tc>
          <w:tcPr>
            <w:tcW w:type="dxa" w:w="3528"/>
            <w:vAlign w:val="center"/>
            <w:tcMar>
              <w:top w:w="90" w:type="dxa"/>
              <w:start w:w="120" w:type="dxa"/>
              <w:bottom w:w="90" w:type="dxa"/>
              <w:end w:w="120" w:type="dxa"/>
            </w:tcMar>
          </w:tcPr>
          <w:p>
            <w:pPr>
              <w:spacing w:after="0"/>
            </w:pPr>
            <w:r>
              <w:rPr>
                <w:rFonts w:ascii="Aptos" w:hAnsi="Aptos"/>
                <w:color w:val="17212B"/>
                <w:sz w:val="15"/>
              </w:rPr>
              <w:t>floor $24/day; loyalty bundle; validity 20 min</w:t>
            </w:r>
          </w:p>
        </w:tc>
        <w:tc>
          <w:tcPr>
            <w:tcW w:type="dxa" w:w="2376"/>
            <w:vAlign w:val="center"/>
            <w:tcMar>
              <w:top w:w="90" w:type="dxa"/>
              <w:start w:w="120" w:type="dxa"/>
              <w:bottom w:w="90" w:type="dxa"/>
              <w:end w:w="120" w:type="dxa"/>
            </w:tcMar>
          </w:tcPr>
          <w:p>
            <w:pPr>
              <w:spacing w:after="0"/>
            </w:pPr>
            <w:r>
              <w:rPr>
                <w:rFonts w:ascii="Aptos" w:hAnsi="Aptos"/>
                <w:color w:val="17212B"/>
                <w:sz w:val="15"/>
              </w:rPr>
              <w:t>Fast shuttle; EV add-on; cancel until entry</w:t>
            </w:r>
          </w:p>
        </w:tc>
      </w:tr>
    </w:tbl>
    <w:p>
      <w:pPr>
        <w:spacing w:after="20"/>
      </w:pPr>
    </w:p>
    <w:p>
      <w:pPr>
        <w:pStyle w:val="Heading2"/>
      </w:pPr>
      <w:r>
        <w:t>3.4 Explicit MVP boundary</w:t>
      </w:r>
    </w:p>
    <w:tbl>
      <w:tblPr>
        <w:tblW w:type="dxa" w:w="9360"/>
        <w:jc w:val="center"/>
        <w:tblLayout w:type="fixed"/>
        <w:tblLook w:firstColumn="1" w:firstRow="1" w:lastColumn="0" w:lastRow="0" w:noHBand="0" w:noVBand="1" w:val="04A0"/>
        <w:tblInd w:w="120" w:type="dxa"/>
      </w:tblPr>
      <w:tblGrid>
        <w:gridCol w:w="9432"/>
      </w:tblGrid>
      <w:tr>
        <w:trPr>
          <w:cantSplit/>
        </w:trPr>
        <w:tc>
          <w:tcPr>
            <w:tcW w:type="dxa" w:w="9432"/>
            <w:shd w:fill="F4F7F9"/>
            <w:tcMar>
              <w:top w:w="130" w:type="dxa"/>
              <w:start w:w="160" w:type="dxa"/>
              <w:bottom w:w="130" w:type="dxa"/>
              <w:end w:w="160" w:type="dxa"/>
            </w:tcMar>
          </w:tcPr>
          <w:p>
            <w:pPr>
              <w:spacing w:after="0"/>
            </w:pPr>
            <w:r>
              <w:rPr>
                <w:rFonts w:ascii="Aptos" w:hAnsi="Aptos"/>
                <w:b/>
                <w:color w:val="1C8C84"/>
                <w:sz w:val="17"/>
              </w:rPr>
              <w:t xml:space="preserve">TRUTH IN DEMO  </w:t>
            </w:r>
            <w:r>
              <w:rPr>
                <w:rFonts w:ascii="Aptos" w:hAnsi="Aptos"/>
                <w:b/>
                <w:color w:val="17212B"/>
                <w:sz w:val="19"/>
              </w:rPr>
              <w:t>Supplier agents are simulated or participating demo agents. “Transaction authorization” creates a signed simulation receipt and audit record; it does not charge a card, reserve inventory, or represent a supplier contract.</w:t>
            </w:r>
          </w:p>
        </w:tc>
      </w:tr>
    </w:tbl>
    <w:p>
      <w:pPr>
        <w:pStyle w:val="Heading2"/>
      </w:pPr>
      <w:r>
        <w:t>3.5 Intent-first product hierarchy (v1.1)</w:t>
      </w:r>
    </w:p>
    <w:p>
      <w:pPr>
        <w:spacing w:after="240"/>
      </w:pPr>
      <w:r>
        <w:rPr>
          <w:rFonts w:ascii="Aptos" w:hAnsi="Aptos"/>
          <w:b/>
          <w:color w:val="1C8C84"/>
          <w:sz w:val="20"/>
        </w:rPr>
        <w:t>Public parent term: Intent. Internal parent may be OrchestrationIntent or ObjectiveIntent. Existing itaa_* namespaces remain unchanged unless a later migration is approved. The hierarchy is:</w:t>
      </w:r>
    </w:p>
    <w:p>
      <w:pPr>
        <w:pStyle w:val="CodeBlock"/>
        <w:shd w:fill="EEF3F6"/>
      </w:pPr>
      <w:r>
        <w:rPr>
          <w:rFonts w:ascii="Aptos Mono" w:hAnsi="Aptos Mono"/>
          <w:color w:val="17212B"/>
          <w:sz w:val="15"/>
        </w:rPr>
        <w:t>Intent → Conversation + Plan → Booking Tasks → Requirements / PurchaseIntents → Offers / Recommendations → Selection → Authorization → confirmed Booking → Cost Ledger</w:t>
      </w:r>
    </w:p>
    <w:p>
      <w:pPr>
        <w:spacing w:after="240"/>
      </w:pPr>
      <w:r>
        <w:rPr>
          <w:rFonts w:ascii="Aptos" w:hAnsi="Aptos"/>
          <w:b/>
          <w:color w:val="1C8C84"/>
          <w:sz w:val="20"/>
        </w:rPr>
        <w:t>A Booking exists only after authoritative supplier or connector confirmation. A4 authorizes ReservEdge to attempt the exact named transaction; A4 is not a Booking. Never send the parent Intent, conversation, whole Plan, sibling tasks, competitor offers, preference history, or a stable buyer identifier to a supplier.</w:t>
      </w:r>
    </w:p>
    <w:p>
      <w:pPr>
        <w:spacing w:after="240"/>
      </w:pPr>
      <w:r>
        <w:rPr>
          <w:rFonts w:ascii="Aptos" w:hAnsi="Aptos"/>
          <w:b/>
          <w:color w:val="1C8C84"/>
          <w:sz w:val="20"/>
        </w:rPr>
        <w:t>Conversation is the primary intake, clarification, modification, and continuity surface. Conversation is not the authoritative decision record. Plan, Booking Tasks, Requirements, disclosures, offers, approvals, authorizations, bookings, and audit records remain structured and authoritative.</w:t>
      </w:r>
    </w:p>
    <w:p>
      <w:pPr>
        <w:spacing w:after="20"/>
      </w:pPr>
    </w:p>
    <w:p>
      <w:pPr>
        <w:pStyle w:val="Heading1"/>
      </w:pPr>
      <w:r>
        <w:t>4. Three-layer architecture and trust boundaries</w:t>
      </w:r>
    </w:p>
    <w:p>
      <w:pPr>
        <w:pStyle w:val="Heading2"/>
      </w:pPr>
      <w:r>
        <w:t>4.1 Logical architecture</w:t>
      </w:r>
    </w:p>
    <w:p>
      <w:pPr>
        <w:pStyle w:val="CodeBlock"/>
        <w:shd w:fill="EEF3F6"/>
      </w:pPr>
      <w:r>
        <w:rPr>
          <w:rFonts w:ascii="Aptos Mono" w:hAnsi="Aptos Mono"/>
          <w:color w:val="17212B"/>
          <w:sz w:val="15"/>
        </w:rPr>
        <w:t>INPUTS                    LAYER 1 — ITAA (buyer trust domain)</w:t>
        <w:br/>
        <w:t>Share / text / URL  ──▶  ingest → extract → preferences → research → rank</w:t>
        <w:br/>
        <w:t xml:space="preserve">                                   │  exact disclosure preview</w:t>
        <w:br/>
        <w:t>+----------------------------------┼----------------------------------+</w:t>
        <w:br/>
        <w:t xml:space="preserve">                                   ▼ explicit approval</w:t>
        <w:br/>
        <w:t xml:space="preserve">                       LAYER 2 — INTENT EXCHANGE</w:t>
        <w:br/>
        <w:t xml:space="preserve">                       validate → minimize → route → isolate</w:t>
        <w:br/>
        <w:t xml:space="preserve">                          │            │            │</w:t>
        <w:br/>
        <w:t xml:space="preserve">                          ▼            ▼            ▼</w:t>
        <w:br/>
        <w:t xml:space="preserve">                       Supplier A   Supplier B   Supplier C</w:t>
        <w:br/>
        <w:t xml:space="preserve">                    LAYER 3 — AGENTIC OFFER &amp; ACTION</w:t>
        <w:br/>
        <w:t xml:space="preserve">                       offer → validate → recommend → approve</w:t>
        <w:br/>
        <w:t xml:space="preserve">                                   ▼</w:t>
        <w:br/>
        <w:t xml:space="preserve">                       simulated transaction authorization</w:t>
      </w:r>
    </w:p>
    <w:p>
      <w:pPr>
        <w:pStyle w:val="Heading2"/>
      </w:pPr>
      <w:r>
        <w:t>4.2 Layer responsibilities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800"/>
            <w:shd w:fill="17324D"/>
            <w:tcMar>
              <w:top w:w="90" w:type="dxa"/>
              <w:start w:w="120" w:type="dxa"/>
              <w:bottom w:w="90" w:type="dxa"/>
              <w:end w:w="120" w:type="dxa"/>
            </w:tcMar>
          </w:tcPr>
          <w:p>
            <w:pPr>
              <w:spacing w:after="0"/>
            </w:pPr>
            <w:r>
              <w:rPr>
                <w:rFonts w:ascii="Aptos" w:hAnsi="Aptos"/>
                <w:b/>
                <w:color w:val="FFFFFF"/>
                <w:sz w:val="16"/>
              </w:rPr>
              <w:t>Layer</w:t>
            </w:r>
          </w:p>
        </w:tc>
        <w:tc>
          <w:tcPr>
            <w:tcW w:type="dxa" w:w="3960"/>
            <w:shd w:fill="17324D"/>
            <w:tcMar>
              <w:top w:w="90" w:type="dxa"/>
              <w:start w:w="120" w:type="dxa"/>
              <w:bottom w:w="90" w:type="dxa"/>
              <w:end w:w="120" w:type="dxa"/>
            </w:tcMar>
          </w:tcPr>
          <w:p>
            <w:pPr>
              <w:spacing w:after="0"/>
            </w:pPr>
            <w:r>
              <w:rPr>
                <w:rFonts w:ascii="Aptos" w:hAnsi="Aptos"/>
                <w:b/>
                <w:color w:val="FFFFFF"/>
                <w:sz w:val="16"/>
              </w:rPr>
              <w:t>Owns</w:t>
            </w:r>
          </w:p>
        </w:tc>
        <w:tc>
          <w:tcPr>
            <w:tcW w:type="dxa" w:w="3600"/>
            <w:shd w:fill="17324D"/>
            <w:tcMar>
              <w:top w:w="90" w:type="dxa"/>
              <w:start w:w="120" w:type="dxa"/>
              <w:bottom w:w="90" w:type="dxa"/>
              <w:end w:w="120" w:type="dxa"/>
            </w:tcMar>
          </w:tcPr>
          <w:p>
            <w:pPr>
              <w:spacing w:after="0"/>
            </w:pPr>
            <w:r>
              <w:rPr>
                <w:rFonts w:ascii="Aptos" w:hAnsi="Aptos"/>
                <w:b/>
                <w:color w:val="FFFFFF"/>
                <w:sz w:val="16"/>
              </w:rPr>
              <w:t>Must not own</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6"/>
              </w:rPr>
              <w:t>1 — ITAA</w:t>
            </w:r>
          </w:p>
        </w:tc>
        <w:tc>
          <w:tcPr>
            <w:tcW w:type="dxa" w:w="3960"/>
            <w:vAlign w:val="center"/>
            <w:tcMar>
              <w:top w:w="90" w:type="dxa"/>
              <w:start w:w="120" w:type="dxa"/>
              <w:bottom w:w="90" w:type="dxa"/>
              <w:end w:w="120" w:type="dxa"/>
            </w:tcMar>
          </w:tcPr>
          <w:p>
            <w:pPr>
              <w:spacing w:after="0"/>
            </w:pPr>
            <w:r>
              <w:rPr>
                <w:rFonts w:ascii="Aptos" w:hAnsi="Aptos"/>
                <w:color w:val="17212B"/>
                <w:sz w:val="16"/>
              </w:rPr>
              <w:t>Raw context, requirement draft, buyer preference graph, research evidence, ranking, approval UX</w:t>
            </w:r>
          </w:p>
        </w:tc>
        <w:tc>
          <w:tcPr>
            <w:tcW w:type="dxa" w:w="3600"/>
            <w:vAlign w:val="center"/>
            <w:tcMar>
              <w:top w:w="90" w:type="dxa"/>
              <w:start w:w="120" w:type="dxa"/>
              <w:bottom w:w="90" w:type="dxa"/>
              <w:end w:w="120" w:type="dxa"/>
            </w:tcMar>
          </w:tcPr>
          <w:p>
            <w:pPr>
              <w:spacing w:after="0"/>
            </w:pPr>
            <w:r>
              <w:rPr>
                <w:rFonts w:ascii="Aptos" w:hAnsi="Aptos"/>
                <w:color w:val="17212B"/>
                <w:sz w:val="16"/>
              </w:rPr>
              <w:t>Supplier pricing policy; competitor leakage; autonomous payment</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6"/>
              </w:rPr>
              <w:t>2 — Intent Exchange</w:t>
            </w:r>
          </w:p>
        </w:tc>
        <w:tc>
          <w:tcPr>
            <w:tcW w:type="dxa" w:w="3960"/>
            <w:vAlign w:val="center"/>
            <w:tcMar>
              <w:top w:w="90" w:type="dxa"/>
              <w:start w:w="120" w:type="dxa"/>
              <w:bottom w:w="90" w:type="dxa"/>
              <w:end w:w="120" w:type="dxa"/>
            </w:tcMar>
            <w:shd w:fill="F8FAFB"/>
          </w:tcPr>
          <w:p>
            <w:pPr>
              <w:spacing w:after="0"/>
            </w:pPr>
            <w:r>
              <w:rPr>
                <w:rFonts w:ascii="Aptos" w:hAnsi="Aptos"/>
                <w:color w:val="17212B"/>
                <w:sz w:val="16"/>
              </w:rPr>
              <w:t>Canonical intent validation, disclosure policy, routing, supplier-specific envelopes, correlation, deadlines</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6"/>
              </w:rPr>
              <w:t>Raw buyer context; ranking weights; shared supplier workspace</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6"/>
              </w:rPr>
              <w:t>3 — Agentic Offer &amp; Action</w:t>
            </w:r>
          </w:p>
        </w:tc>
        <w:tc>
          <w:tcPr>
            <w:tcW w:type="dxa" w:w="3960"/>
            <w:vAlign w:val="center"/>
            <w:tcMar>
              <w:top w:w="90" w:type="dxa"/>
              <w:start w:w="120" w:type="dxa"/>
              <w:bottom w:w="90" w:type="dxa"/>
              <w:end w:w="120" w:type="dxa"/>
            </w:tcMar>
          </w:tcPr>
          <w:p>
            <w:pPr>
              <w:spacing w:after="0"/>
            </w:pPr>
            <w:r>
              <w:rPr>
                <w:rFonts w:ascii="Aptos" w:hAnsi="Aptos"/>
                <w:color w:val="17212B"/>
                <w:sz w:val="16"/>
              </w:rPr>
              <w:t>Supplier policy evaluation, offer generation, counteroffers, acceptance workflow, authorization receipt</w:t>
            </w:r>
          </w:p>
        </w:tc>
        <w:tc>
          <w:tcPr>
            <w:tcW w:type="dxa" w:w="3600"/>
            <w:vAlign w:val="center"/>
            <w:tcMar>
              <w:top w:w="90" w:type="dxa"/>
              <w:start w:w="120" w:type="dxa"/>
              <w:bottom w:w="90" w:type="dxa"/>
              <w:end w:w="120" w:type="dxa"/>
            </w:tcMar>
          </w:tcPr>
          <w:p>
            <w:pPr>
              <w:spacing w:after="0"/>
            </w:pPr>
            <w:r>
              <w:rPr>
                <w:rFonts w:ascii="Aptos" w:hAnsi="Aptos"/>
                <w:color w:val="17212B"/>
                <w:sz w:val="16"/>
              </w:rPr>
              <w:t>Buyer identity/profile; other offers; unapproved transaction execution</w:t>
            </w:r>
          </w:p>
        </w:tc>
      </w:tr>
    </w:tbl>
    <w:p>
      <w:pPr>
        <w:spacing w:after="20"/>
      </w:pPr>
    </w:p>
    <w:p>
      <w:pPr>
        <w:pStyle w:val="Heading2"/>
      </w:pPr>
      <w:r>
        <w:t>4.3 Trust boundaries</w:t>
      </w:r>
    </w:p>
    <w:p>
      <w:pPr>
        <w:pStyle w:val="ListBullet"/>
        <w:ind w:left="403" w:hanging="259"/>
      </w:pPr>
      <w:r>
        <w:t>TB-1 Device/client to buyer API: authenticated user, encrypted transport, untrusted shared input.</w:t>
      </w:r>
    </w:p>
    <w:p>
      <w:pPr>
        <w:pStyle w:val="ListBullet"/>
        <w:ind w:left="403" w:hanging="259"/>
      </w:pPr>
      <w:r>
        <w:t>TB-2 Buyer vault to orchestration: least-privilege retrieval; raw data never enters supplier prompts.</w:t>
      </w:r>
    </w:p>
    <w:p>
      <w:pPr>
        <w:pStyle w:val="ListBullet"/>
        <w:ind w:left="403" w:hanging="259"/>
      </w:pPr>
      <w:r>
        <w:t>TB-3 Buyer domain to Intent Exchange: only a user-approved canonical Purchase Intent.</w:t>
      </w:r>
    </w:p>
    <w:p>
      <w:pPr>
        <w:pStyle w:val="ListBullet"/>
        <w:ind w:left="403" w:hanging="259"/>
      </w:pPr>
      <w:r>
        <w:t>TB-4 Exchange to each supplier: distinct envelope, credentials, trace partition, and response channel.</w:t>
      </w:r>
    </w:p>
    <w:p>
      <w:pPr>
        <w:pStyle w:val="ListBullet"/>
        <w:ind w:left="403" w:hanging="259"/>
      </w:pPr>
      <w:r>
        <w:t>TB-5 Acceptance to transaction adapter: exact accepted terms plus fresh user authorization; idempotent execution.</w:t>
      </w:r>
    </w:p>
    <w:p>
      <w:pPr>
        <w:pStyle w:val="Heading2"/>
      </w:pPr>
      <w:r>
        <w:t>4.4 Cloud neutrality</w:t>
      </w:r>
    </w:p>
    <w:p>
      <w:r>
        <w:t>The canonical use cases, entities, validation, minimization, scoring, state machines, ports, test fixtures, and event contracts live in the core. Provider adapters implement model invocation, agent orchestration, memory, queues, databases, secrets, telemetry, and hosting. No provider SDK type crosses into the domain packages.</w:t>
      </w:r>
    </w:p>
    <w:p>
      <w:r>
        <w:br w:type="page"/>
      </w:r>
    </w:p>
    <w:p>
      <w:pPr>
        <w:pStyle w:val="Heading1"/>
      </w:pPr>
      <w:r>
        <w:t>5. Functional and nonfunctional requirements</w:t>
      </w:r>
    </w:p>
    <w:p>
      <w:pPr>
        <w:pStyle w:val="Heading2"/>
      </w:pPr>
      <w:r>
        <w:t>5.1 Intent and context</w:t>
      </w:r>
    </w:p>
    <w:p>
      <w:pPr>
        <w:pStyle w:val="Requirement"/>
      </w:pPr>
      <w:r>
        <w:rPr>
          <w:rFonts w:ascii="Aptos" w:hAnsi="Aptos"/>
          <w:b/>
          <w:color w:val="1C8C84"/>
          <w:sz w:val="18"/>
        </w:rPr>
        <w:t>FR-001  Direct intent capture — Accept a typed objective as an Intent. Domain chips are optional shortcuts that create a one-task Intent. The current live path is airport-parking-first.  [MUST • G1]</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FR-002  Share to ReservEdge — FUTURE PRODUCTIZATION / G3 only. Historical/internal contract label: Share-to-ITAA. Accept OS share payloads after user action. Not a current implementation requirement. Current capture is typed/paste on responsive web.  [FUTURE • G3]</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 xml:space="preserve">FR-003  </w:t>
      </w:r>
      <w:r>
        <w:rPr>
          <w:rFonts w:ascii="Aptos" w:hAnsi="Aptos"/>
          <w:b/>
          <w:color w:val="17212B"/>
          <w:sz w:val="18"/>
        </w:rPr>
        <w:t xml:space="preserve">Untrusted-content handling — </w:t>
      </w:r>
      <w:r>
        <w:t>Treat shared and retrieved content as data; never execute embedded instructions or relax policy based on it.</w:t>
      </w:r>
      <w:r>
        <w:rPr>
          <w:rFonts w:ascii="Aptos" w:hAnsi="Aptos"/>
          <w:b/>
          <w:color w:val="5B6875"/>
          <w:sz w:val="16"/>
        </w:rPr>
        <w:t xml:space="preserve">  [MUST • G1]</w:t>
      </w:r>
    </w:p>
    <w:p>
      <w:pPr>
        <w:pStyle w:val="Requirement"/>
      </w:pPr>
      <w:r>
        <w:rPr>
          <w:rFonts w:ascii="Aptos" w:hAnsi="Aptos"/>
          <w:b/>
          <w:color w:val="1C8C84"/>
          <w:sz w:val="18"/>
        </w:rPr>
        <w:t xml:space="preserve">FR-004  </w:t>
      </w:r>
      <w:r>
        <w:rPr>
          <w:rFonts w:ascii="Aptos" w:hAnsi="Aptos"/>
          <w:b/>
          <w:color w:val="17212B"/>
          <w:sz w:val="18"/>
        </w:rPr>
        <w:t xml:space="preserve">Structured extraction — </w:t>
      </w:r>
      <w:r>
        <w:t>Produce requirement fields with source span/reference, confidence, and inferred/explicit status.</w:t>
      </w:r>
      <w:r>
        <w:rPr>
          <w:rFonts w:ascii="Aptos" w:hAnsi="Aptos"/>
          <w:b/>
          <w:color w:val="5B6875"/>
          <w:sz w:val="16"/>
        </w:rPr>
        <w:t xml:space="preserve">  [MUST • G1]</w:t>
      </w:r>
    </w:p>
    <w:p>
      <w:pPr>
        <w:pStyle w:val="Requirement"/>
      </w:pPr>
      <w:r>
        <w:rPr>
          <w:rFonts w:ascii="Aptos" w:hAnsi="Aptos"/>
          <w:b/>
          <w:color w:val="1C8C84"/>
          <w:sz w:val="18"/>
        </w:rPr>
        <w:t xml:space="preserve">FR-005  </w:t>
      </w:r>
      <w:r>
        <w:rPr>
          <w:rFonts w:ascii="Aptos" w:hAnsi="Aptos"/>
          <w:b/>
          <w:color w:val="17212B"/>
          <w:sz w:val="18"/>
        </w:rPr>
        <w:t xml:space="preserve">Clarification — </w:t>
      </w:r>
      <w:r>
        <w:t>Ask only for blocking missing fields or low-confidence material fields.</w:t>
      </w:r>
      <w:r>
        <w:rPr>
          <w:rFonts w:ascii="Aptos" w:hAnsi="Aptos"/>
          <w:b/>
          <w:color w:val="5B6875"/>
          <w:sz w:val="16"/>
        </w:rPr>
        <w:t xml:space="preserve">  [MUST • G1]</w:t>
      </w:r>
    </w:p>
    <w:p>
      <w:pPr>
        <w:pStyle w:val="Requirement"/>
      </w:pPr>
      <w:r>
        <w:rPr>
          <w:rFonts w:ascii="Aptos" w:hAnsi="Aptos"/>
          <w:b/>
          <w:color w:val="1C8C84"/>
          <w:sz w:val="18"/>
        </w:rPr>
        <w:t>FR-006  Requirement confirmation (A1) — Show and confirm the exact task Requirement and version before supplier solicitation. Persist that confirmed version in the current supported store; do not promise durability across sessions, devices, or backend restarts while durability is unsupported.  [MUST • G1]</w:t>
      </w:r>
      <w:r>
        <w:rPr>
          <w:rFonts w:ascii="Aptos" w:hAnsi="Aptos"/>
          <w:b/>
          <w:color w:val="17212B"/>
          <w:sz w:val="18"/>
        </w:rPr>
      </w:r>
      <w:r/>
      <w:r>
        <w:rPr>
          <w:rFonts w:ascii="Aptos" w:hAnsi="Aptos"/>
          <w:b/>
          <w:color w:val="5B6875"/>
          <w:sz w:val="16"/>
        </w:rPr>
      </w:r>
    </w:p>
    <w:p>
      <w:pPr>
        <w:pStyle w:val="Heading2"/>
      </w:pPr>
      <w:r>
        <w:t>5.2 Research, disclosure, and solicitation</w:t>
      </w:r>
    </w:p>
    <w:p>
      <w:pPr>
        <w:pStyle w:val="Requirement"/>
      </w:pPr>
      <w:r>
        <w:rPr>
          <w:rFonts w:ascii="Aptos" w:hAnsi="Aptos"/>
          <w:b/>
          <w:color w:val="1C8C84"/>
          <w:sz w:val="18"/>
        </w:rPr>
        <w:t xml:space="preserve">FR-010  </w:t>
      </w:r>
      <w:r>
        <w:rPr>
          <w:rFonts w:ascii="Aptos" w:hAnsi="Aptos"/>
          <w:b/>
          <w:color w:val="17212B"/>
          <w:sz w:val="18"/>
        </w:rPr>
        <w:t xml:space="preserve">Market baseline — </w:t>
      </w:r>
      <w:r>
        <w:t>Retrieve at least three ordinary market options or explicitly report insufficient coverage.</w:t>
      </w:r>
      <w:r>
        <w:rPr>
          <w:rFonts w:ascii="Aptos" w:hAnsi="Aptos"/>
          <w:b/>
          <w:color w:val="5B6875"/>
          <w:sz w:val="16"/>
        </w:rPr>
        <w:t xml:space="preserve">  [MUST • G1]</w:t>
      </w:r>
    </w:p>
    <w:p>
      <w:pPr>
        <w:pStyle w:val="Requirement"/>
      </w:pPr>
      <w:r>
        <w:rPr>
          <w:rFonts w:ascii="Aptos" w:hAnsi="Aptos"/>
          <w:b/>
          <w:color w:val="1C8C84"/>
          <w:sz w:val="18"/>
        </w:rPr>
        <w:t xml:space="preserve">FR-011  </w:t>
      </w:r>
      <w:r>
        <w:rPr>
          <w:rFonts w:ascii="Aptos" w:hAnsi="Aptos"/>
          <w:b/>
          <w:color w:val="17212B"/>
          <w:sz w:val="18"/>
        </w:rPr>
        <w:t xml:space="preserve">Provenance — </w:t>
      </w:r>
      <w:r>
        <w:t>Attach source URL/provider, retrieval time, quoted/parsed fields, and evidence checksum to every market fact.</w:t>
      </w:r>
      <w:r>
        <w:rPr>
          <w:rFonts w:ascii="Aptos" w:hAnsi="Aptos"/>
          <w:b/>
          <w:color w:val="5B6875"/>
          <w:sz w:val="16"/>
        </w:rPr>
        <w:t xml:space="preserve">  [MUST • G1]</w:t>
      </w:r>
    </w:p>
    <w:p>
      <w:pPr>
        <w:pStyle w:val="Requirement"/>
      </w:pPr>
      <w:r>
        <w:rPr>
          <w:rFonts w:ascii="Aptos" w:hAnsi="Aptos"/>
          <w:b/>
          <w:color w:val="1C8C84"/>
          <w:sz w:val="18"/>
        </w:rPr>
        <w:t>FR-012  Disclosure preview — Show exactly which PurchaseIntent requirement fields will be sent and which sensitive fields are withheld. Preferences never appear.  [MUST • G1]</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 xml:space="preserve">FR-013  </w:t>
      </w:r>
      <w:r>
        <w:rPr>
          <w:rFonts w:ascii="Aptos" w:hAnsi="Aptos"/>
          <w:b/>
          <w:color w:val="17212B"/>
          <w:sz w:val="18"/>
        </w:rPr>
        <w:t xml:space="preserve">Intent approval — </w:t>
      </w:r>
      <w:r>
        <w:t>Require a fresh explicit approval bound to intent version, payload hash, scope, and expiration.</w:t>
      </w:r>
      <w:r>
        <w:rPr>
          <w:rFonts w:ascii="Aptos" w:hAnsi="Aptos"/>
          <w:b/>
          <w:color w:val="5B6875"/>
          <w:sz w:val="16"/>
        </w:rPr>
        <w:t xml:space="preserve">  [MUST • G1]</w:t>
      </w:r>
    </w:p>
    <w:p>
      <w:pPr>
        <w:pStyle w:val="Requirement"/>
      </w:pPr>
      <w:r>
        <w:rPr>
          <w:rFonts w:ascii="Aptos" w:hAnsi="Aptos"/>
          <w:b/>
          <w:color w:val="1C8C84"/>
          <w:sz w:val="18"/>
        </w:rPr>
        <w:t xml:space="preserve">FR-014  </w:t>
      </w:r>
      <w:r>
        <w:rPr>
          <w:rFonts w:ascii="Aptos" w:hAnsi="Aptos"/>
          <w:b/>
          <w:color w:val="17212B"/>
          <w:sz w:val="18"/>
        </w:rPr>
        <w:t xml:space="preserve">Independent solicitation — </w:t>
      </w:r>
      <w:r>
        <w:t>Invite exactly three demo suppliers in separate execution contexts and response channels.</w:t>
      </w:r>
      <w:r>
        <w:rPr>
          <w:rFonts w:ascii="Aptos" w:hAnsi="Aptos"/>
          <w:b/>
          <w:color w:val="5B6875"/>
          <w:sz w:val="16"/>
        </w:rPr>
        <w:t xml:space="preserve">  [MUST • G1]</w:t>
      </w:r>
    </w:p>
    <w:p>
      <w:pPr>
        <w:pStyle w:val="Requirement"/>
      </w:pPr>
      <w:r>
        <w:rPr>
          <w:rFonts w:ascii="Aptos" w:hAnsi="Aptos"/>
          <w:b/>
          <w:color w:val="1C8C84"/>
          <w:sz w:val="18"/>
        </w:rPr>
        <w:t xml:space="preserve">FR-015  </w:t>
      </w:r>
      <w:r>
        <w:rPr>
          <w:rFonts w:ascii="Aptos" w:hAnsi="Aptos"/>
          <w:b/>
          <w:color w:val="17212B"/>
          <w:sz w:val="18"/>
        </w:rPr>
        <w:t xml:space="preserve">Deadline behavior — </w:t>
      </w:r>
      <w:r>
        <w:t>Close solicitation at the earlier of all valid responses or timeout; identify missing suppliers without fabricating offers.</w:t>
      </w:r>
      <w:r>
        <w:rPr>
          <w:rFonts w:ascii="Aptos" w:hAnsi="Aptos"/>
          <w:b/>
          <w:color w:val="5B6875"/>
          <w:sz w:val="16"/>
        </w:rPr>
        <w:t xml:space="preserve">  [MUST • G1]</w:t>
      </w:r>
    </w:p>
    <w:p>
      <w:pPr>
        <w:pStyle w:val="Heading2"/>
      </w:pPr>
      <w:r>
        <w:t>5.3 Offers, negotiation, and recommendation</w:t>
      </w:r>
    </w:p>
    <w:p>
      <w:pPr>
        <w:pStyle w:val="Requirement"/>
      </w:pPr>
      <w:r>
        <w:rPr>
          <w:rFonts w:ascii="Aptos" w:hAnsi="Aptos"/>
          <w:b/>
          <w:color w:val="1C8C84"/>
          <w:sz w:val="18"/>
        </w:rPr>
        <w:t xml:space="preserve">FR-020  </w:t>
      </w:r>
      <w:r>
        <w:rPr>
          <w:rFonts w:ascii="Aptos" w:hAnsi="Aptos"/>
          <w:b/>
          <w:color w:val="17212B"/>
          <w:sz w:val="18"/>
        </w:rPr>
        <w:t xml:space="preserve">Multidimensional offer — </w:t>
      </w:r>
      <w:r>
        <w:t>Support price, taxes/fees, cancellation, distance, shuttle, coverage, availability, add-ons, validity, trust, and confidence.</w:t>
      </w:r>
      <w:r>
        <w:rPr>
          <w:rFonts w:ascii="Aptos" w:hAnsi="Aptos"/>
          <w:b/>
          <w:color w:val="5B6875"/>
          <w:sz w:val="16"/>
        </w:rPr>
        <w:t xml:space="preserve">  [MUST • G1]</w:t>
      </w:r>
    </w:p>
    <w:p>
      <w:pPr>
        <w:pStyle w:val="Requirement"/>
      </w:pPr>
      <w:r>
        <w:rPr>
          <w:rFonts w:ascii="Aptos" w:hAnsi="Aptos"/>
          <w:b/>
          <w:color w:val="1C8C84"/>
          <w:sz w:val="18"/>
        </w:rPr>
        <w:t xml:space="preserve">FR-021  </w:t>
      </w:r>
      <w:r>
        <w:rPr>
          <w:rFonts w:ascii="Aptos" w:hAnsi="Aptos"/>
          <w:b/>
          <w:color w:val="17212B"/>
          <w:sz w:val="18"/>
        </w:rPr>
        <w:t xml:space="preserve">Offer validation — </w:t>
      </w:r>
      <w:r>
        <w:t>Reject malformed, expired, policy-violating, wrong-currency, or mismatched offers before ranking.</w:t>
      </w:r>
      <w:r>
        <w:rPr>
          <w:rFonts w:ascii="Aptos" w:hAnsi="Aptos"/>
          <w:b/>
          <w:color w:val="5B6875"/>
          <w:sz w:val="16"/>
        </w:rPr>
        <w:t xml:space="preserve">  [MUST • G1]</w:t>
      </w:r>
    </w:p>
    <w:p>
      <w:pPr>
        <w:pStyle w:val="Requirement"/>
      </w:pPr>
      <w:r>
        <w:rPr>
          <w:rFonts w:ascii="Aptos" w:hAnsi="Aptos"/>
          <w:b/>
          <w:color w:val="1C8C84"/>
          <w:sz w:val="18"/>
        </w:rPr>
        <w:t xml:space="preserve">FR-022  </w:t>
      </w:r>
      <w:r>
        <w:rPr>
          <w:rFonts w:ascii="Aptos" w:hAnsi="Aptos"/>
          <w:b/>
          <w:color w:val="17212B"/>
          <w:sz w:val="18"/>
        </w:rPr>
        <w:t xml:space="preserve">Counteroffer — </w:t>
      </w:r>
      <w:r>
        <w:t>Support at most one buyer-initiated counteroffer round in v1; preserve all versions and deadlines.</w:t>
      </w:r>
      <w:r>
        <w:rPr>
          <w:rFonts w:ascii="Aptos" w:hAnsi="Aptos"/>
          <w:b/>
          <w:color w:val="5B6875"/>
          <w:sz w:val="16"/>
        </w:rPr>
        <w:t xml:space="preserve">  [SHOULD • G2]</w:t>
      </w:r>
    </w:p>
    <w:p>
      <w:pPr>
        <w:pStyle w:val="Requirement"/>
      </w:pPr>
      <w:r>
        <w:rPr>
          <w:rFonts w:ascii="Aptos" w:hAnsi="Aptos"/>
          <w:b/>
          <w:color w:val="1C8C84"/>
          <w:sz w:val="18"/>
        </w:rPr>
        <w:t>FR-023  Deterministic ranking — Compute internal scores (scoreMicros) from normalized attributes and versioned buyer weights; LLM prose cannot alter the numeric result. scoreMicros remains internal to ranking, audit, and tests. Buyer-facing Offer projections MUST NOT include scoreMicros or any numerical fit score; they show qualitative fit Strong / Good / Fair.  [MUST • G1]</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 xml:space="preserve">FR-024  </w:t>
      </w:r>
      <w:r>
        <w:rPr>
          <w:rFonts w:ascii="Aptos" w:hAnsi="Aptos"/>
          <w:b/>
          <w:color w:val="17212B"/>
          <w:sz w:val="18"/>
        </w:rPr>
        <w:t xml:space="preserve">Explainability — </w:t>
      </w:r>
      <w:r>
        <w:t>Show top drivers, tradeoffs, disqualifications, data gaps, and source recency.</w:t>
      </w:r>
      <w:r>
        <w:rPr>
          <w:rFonts w:ascii="Aptos" w:hAnsi="Aptos"/>
          <w:b/>
          <w:color w:val="5B6875"/>
          <w:sz w:val="16"/>
        </w:rPr>
        <w:t xml:space="preserve">  [MUST • G1]</w:t>
      </w:r>
    </w:p>
    <w:p>
      <w:pPr>
        <w:pStyle w:val="Requirement"/>
      </w:pPr>
      <w:r>
        <w:rPr>
          <w:rFonts w:ascii="Aptos" w:hAnsi="Aptos"/>
          <w:b/>
          <w:color w:val="1C8C84"/>
          <w:sz w:val="18"/>
        </w:rPr>
        <w:t xml:space="preserve">FR-025  </w:t>
      </w:r>
      <w:r>
        <w:rPr>
          <w:rFonts w:ascii="Aptos" w:hAnsi="Aptos"/>
          <w:b/>
          <w:color w:val="17212B"/>
          <w:sz w:val="18"/>
        </w:rPr>
        <w:t xml:space="preserve">User override — </w:t>
      </w:r>
      <w:r>
        <w:t>Allow selection of any eligible offer and record the stated reason optionally.</w:t>
      </w:r>
      <w:r>
        <w:rPr>
          <w:rFonts w:ascii="Aptos" w:hAnsi="Aptos"/>
          <w:b/>
          <w:color w:val="5B6875"/>
          <w:sz w:val="16"/>
        </w:rPr>
        <w:t xml:space="preserve">  [MUST • G1]</w:t>
      </w:r>
    </w:p>
    <w:p>
      <w:pPr>
        <w:pStyle w:val="Heading2"/>
      </w:pPr>
      <w:r>
        <w:t>5.4 Acceptance and action</w:t>
      </w:r>
    </w:p>
    <w:p>
      <w:pPr>
        <w:pStyle w:val="Requirement"/>
      </w:pPr>
      <w:r>
        <w:rPr>
          <w:rFonts w:ascii="Aptos" w:hAnsi="Aptos"/>
          <w:b/>
          <w:color w:val="1C8C84"/>
          <w:sz w:val="18"/>
        </w:rPr>
        <w:t>FR-030  Offer acceptance (A3) — Bind acceptance to one unexpired, non-superseded offer version and current material terms. Expired or superseded offers cannot be selected or authorized without requote and fresh review. Offer validity, inventory hold, authorization, and confirmation are separate concepts; validUntil never implies inventoryHeldUntil.  [MUST • G1]</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FR-031  Transaction approval (A4) — Require a distinct final approval authorizing ReservEdge to attempt the exact supplier, amount, currency, offer/version, terms hash, and validity. A2 cannot satisfy A4. A4 is not a Booking and does not populate confirmed_booking.  [MUST • G1]</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FR-032  Simulated authorization — Produce an idempotent, signed simulation receipt labeled SIMULATED. Simulation sequence: a4_required → authorized_simulated (terminal). Simulation never claims inventory, payment, supplier contact, or a Booking, and never enters authorized_live, booking_pending, confirmed_booking, or booking_failed.  [MUST • G1]</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 xml:space="preserve">FR-033  </w:t>
      </w:r>
      <w:r>
        <w:rPr>
          <w:rFonts w:ascii="Aptos" w:hAnsi="Aptos"/>
          <w:b/>
          <w:color w:val="17212B"/>
          <w:sz w:val="18"/>
        </w:rPr>
        <w:t xml:space="preserve">Real adapter safety — </w:t>
      </w:r>
      <w:r>
        <w:t>Disable real transaction adapters by default and require deployment-time allowlist, sandbox tests, and UI disclosure.</w:t>
      </w:r>
      <w:r>
        <w:rPr>
          <w:rFonts w:ascii="Aptos" w:hAnsi="Aptos"/>
          <w:b/>
          <w:color w:val="5B6875"/>
          <w:sz w:val="16"/>
        </w:rPr>
        <w:t xml:space="preserve">  [MUST • POST-V1]</w:t>
      </w:r>
    </w:p>
    <w:p>
      <w:pPr>
        <w:pStyle w:val="Heading2"/>
      </w:pPr>
      <w:r>
        <w:t>5.5 Preferences and lifecycle</w:t>
      </w:r>
    </w:p>
    <w:p>
      <w:pPr>
        <w:pStyle w:val="Requirement"/>
      </w:pPr>
      <w:r>
        <w:rPr>
          <w:rFonts w:ascii="Aptos" w:hAnsi="Aptos"/>
          <w:b/>
          <w:color w:val="1C8C84"/>
          <w:sz w:val="18"/>
        </w:rPr>
        <w:t>FR-040  Preference evidence — Store value, scope, evidence type/reference, confidence, observed time, expiry/decay, and user confirmation. Preferences and preference history remain private. They may influence local filtering and deterministic ranking. They never enter aggregator queries, A2 envelopes, supplier payloads, or later/separate A2 approvals. If a supplier cannot quote without a constraint, that constraint MUST become an explicit task Requirement confirmed at A1.  [MUST • G1]</w:t>
      </w:r>
      <w:r>
        <w:rPr>
          <w:rFonts w:ascii="Aptos" w:hAnsi="Aptos"/>
          <w:b/>
          <w:color w:val="17212B"/>
          <w:sz w:val="18"/>
        </w:rPr>
      </w:r>
      <w:r/>
      <w:r>
        <w:rPr>
          <w:rFonts w:ascii="Aptos" w:hAnsi="Aptos"/>
          <w:b/>
          <w:color w:val="5B6875"/>
          <w:sz w:val="16"/>
        </w:rPr>
      </w:r>
    </w:p>
    <w:p>
      <w:pPr>
        <w:pStyle w:val="Requirement"/>
      </w:pPr>
      <w:r>
        <w:rPr>
          <w:rFonts w:ascii="Aptos" w:hAnsi="Aptos"/>
          <w:b/>
          <w:color w:val="1C8C84"/>
          <w:sz w:val="18"/>
        </w:rPr>
        <w:t xml:space="preserve">FR-041  </w:t>
      </w:r>
      <w:r>
        <w:rPr>
          <w:rFonts w:ascii="Aptos" w:hAnsi="Aptos"/>
          <w:b/>
          <w:color w:val="17212B"/>
          <w:sz w:val="18"/>
        </w:rPr>
        <w:t xml:space="preserve">Preference controls — </w:t>
      </w:r>
      <w:r>
        <w:t>Allow inspect, correct, confirm, disable, and delete preferences.</w:t>
      </w:r>
      <w:r>
        <w:rPr>
          <w:rFonts w:ascii="Aptos" w:hAnsi="Aptos"/>
          <w:b/>
          <w:color w:val="5B6875"/>
          <w:sz w:val="16"/>
        </w:rPr>
        <w:t xml:space="preserve">  [MUST • G3]</w:t>
      </w:r>
    </w:p>
    <w:p>
      <w:pPr>
        <w:pStyle w:val="Requirement"/>
      </w:pPr>
      <w:r>
        <w:rPr>
          <w:rFonts w:ascii="Aptos" w:hAnsi="Aptos"/>
          <w:b/>
          <w:color w:val="1C8C84"/>
          <w:sz w:val="18"/>
        </w:rPr>
        <w:t xml:space="preserve">FR-042  </w:t>
      </w:r>
      <w:r>
        <w:rPr>
          <w:rFonts w:ascii="Aptos" w:hAnsi="Aptos"/>
          <w:b/>
          <w:color w:val="17212B"/>
          <w:sz w:val="18"/>
        </w:rPr>
        <w:t xml:space="preserve">Retention control — </w:t>
      </w:r>
      <w:r>
        <w:t>Allow user deletion of intent history and raw shared artifacts, subject to disclosed audit/legal constraints.</w:t>
      </w:r>
      <w:r>
        <w:rPr>
          <w:rFonts w:ascii="Aptos" w:hAnsi="Aptos"/>
          <w:b/>
          <w:color w:val="5B6875"/>
          <w:sz w:val="16"/>
        </w:rPr>
        <w:t xml:space="preserve">  [MUST • G3]</w:t>
      </w:r>
    </w:p>
    <w:p>
      <w:pPr>
        <w:pStyle w:val="Requirement"/>
      </w:pPr>
      <w:r>
        <w:rPr>
          <w:rFonts w:ascii="Aptos" w:hAnsi="Aptos"/>
          <w:b/>
          <w:color w:val="1C8C84"/>
          <w:sz w:val="18"/>
        </w:rPr>
        <w:t xml:space="preserve">FR-043  </w:t>
      </w:r>
      <w:r>
        <w:rPr>
          <w:rFonts w:ascii="Aptos" w:hAnsi="Aptos"/>
          <w:b/>
          <w:color w:val="17212B"/>
          <w:sz w:val="18"/>
        </w:rPr>
        <w:t xml:space="preserve">Entitlements — </w:t>
      </w:r>
      <w:r>
        <w:t>Gate premium features through server-verified RevenueCat entitlement state, never client claims alone.</w:t>
      </w:r>
      <w:r>
        <w:rPr>
          <w:rFonts w:ascii="Aptos" w:hAnsi="Aptos"/>
          <w:b/>
          <w:color w:val="5B6875"/>
          <w:sz w:val="16"/>
        </w:rPr>
        <w:t xml:space="preserve">  [MUST • G3]</w:t>
      </w:r>
    </w:p>
    <w:p>
      <w:pPr>
        <w:pStyle w:val="Heading2"/>
      </w:pPr>
      <w:r>
        <w:t>5.6 Nonfunctional requirements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008"/>
            <w:shd w:fill="17324D"/>
            <w:tcMar>
              <w:top w:w="90" w:type="dxa"/>
              <w:start w:w="120" w:type="dxa"/>
              <w:bottom w:w="90" w:type="dxa"/>
              <w:end w:w="120" w:type="dxa"/>
            </w:tcMar>
          </w:tcPr>
          <w:p>
            <w:pPr>
              <w:spacing w:after="0"/>
            </w:pPr>
            <w:r>
              <w:rPr>
                <w:rFonts w:ascii="Aptos" w:hAnsi="Aptos"/>
                <w:b/>
                <w:color w:val="FFFFFF"/>
                <w:sz w:val="16"/>
              </w:rPr>
              <w:t>ID</w:t>
            </w:r>
          </w:p>
        </w:tc>
        <w:tc>
          <w:tcPr>
            <w:tcW w:type="dxa" w:w="3456"/>
            <w:shd w:fill="17324D"/>
            <w:tcMar>
              <w:top w:w="90" w:type="dxa"/>
              <w:start w:w="120" w:type="dxa"/>
              <w:bottom w:w="90" w:type="dxa"/>
              <w:end w:w="120" w:type="dxa"/>
            </w:tcMar>
          </w:tcPr>
          <w:p>
            <w:pPr>
              <w:spacing w:after="0"/>
            </w:pPr>
            <w:r>
              <w:rPr>
                <w:rFonts w:ascii="Aptos" w:hAnsi="Aptos"/>
                <w:b/>
                <w:color w:val="FFFFFF"/>
                <w:sz w:val="16"/>
              </w:rPr>
              <w:t>Requirement</w:t>
            </w:r>
          </w:p>
        </w:tc>
        <w:tc>
          <w:tcPr>
            <w:tcW w:type="dxa" w:w="4896"/>
            <w:shd w:fill="17324D"/>
            <w:tcMar>
              <w:top w:w="90" w:type="dxa"/>
              <w:start w:w="120" w:type="dxa"/>
              <w:bottom w:w="90" w:type="dxa"/>
              <w:end w:w="120" w:type="dxa"/>
            </w:tcMar>
          </w:tcPr>
          <w:p>
            <w:pPr>
              <w:spacing w:after="0"/>
            </w:pPr>
            <w:r>
              <w:rPr>
                <w:rFonts w:ascii="Aptos" w:hAnsi="Aptos"/>
                <w:b/>
                <w:color w:val="FFFFFF"/>
                <w:sz w:val="16"/>
              </w:rPr>
              <w:t>Target</w:t>
            </w:r>
          </w:p>
        </w:tc>
      </w:tr>
      <w:tr>
        <w:trPr>
          <w:cantSplit/>
        </w:trPr>
        <w:tc>
          <w:tcPr>
            <w:tcW w:type="dxa" w:w="1008"/>
            <w:vAlign w:val="center"/>
            <w:tcMar>
              <w:top w:w="90" w:type="dxa"/>
              <w:start w:w="120" w:type="dxa"/>
              <w:bottom w:w="90" w:type="dxa"/>
              <w:end w:w="120" w:type="dxa"/>
            </w:tcMar>
          </w:tcPr>
          <w:p>
            <w:pPr>
              <w:spacing w:after="0"/>
            </w:pPr>
            <w:r>
              <w:rPr>
                <w:rFonts w:ascii="Aptos" w:hAnsi="Aptos"/>
                <w:color w:val="17212B"/>
                <w:sz w:val="16"/>
              </w:rPr>
              <w:t>NFR-001</w:t>
            </w:r>
          </w:p>
        </w:tc>
        <w:tc>
          <w:tcPr>
            <w:tcW w:type="dxa" w:w="3456"/>
            <w:vAlign w:val="center"/>
            <w:tcMar>
              <w:top w:w="90" w:type="dxa"/>
              <w:start w:w="120" w:type="dxa"/>
              <w:bottom w:w="90" w:type="dxa"/>
              <w:end w:w="120" w:type="dxa"/>
            </w:tcMar>
          </w:tcPr>
          <w:p>
            <w:pPr>
              <w:spacing w:after="0"/>
            </w:pPr>
            <w:r>
              <w:rPr>
                <w:rFonts w:ascii="Aptos" w:hAnsi="Aptos"/>
                <w:color w:val="17212B"/>
                <w:sz w:val="16"/>
              </w:rPr>
              <w:t>Availability</w:t>
            </w:r>
          </w:p>
        </w:tc>
        <w:tc>
          <w:tcPr>
            <w:tcW w:type="dxa" w:w="4896"/>
            <w:vAlign w:val="center"/>
            <w:tcMar>
              <w:top w:w="90" w:type="dxa"/>
              <w:start w:w="120" w:type="dxa"/>
              <w:bottom w:w="90" w:type="dxa"/>
              <w:end w:w="120" w:type="dxa"/>
            </w:tcMar>
          </w:tcPr>
          <w:p>
            <w:pPr>
              <w:spacing w:after="0"/>
            </w:pPr>
            <w:r>
              <w:rPr>
                <w:rFonts w:ascii="Aptos" w:hAnsi="Aptos"/>
                <w:color w:val="17212B"/>
                <w:sz w:val="16"/>
              </w:rPr>
              <w:t>99.5% monthly for beta API; graceful read-only status during provider outage</w:t>
            </w:r>
          </w:p>
        </w:tc>
      </w:tr>
      <w:tr>
        <w:trPr>
          <w:cantSplit/>
        </w:trPr>
        <w:tc>
          <w:tcPr>
            <w:tcW w:type="dxa" w:w="1008"/>
            <w:vAlign w:val="center"/>
            <w:tcMar>
              <w:top w:w="90" w:type="dxa"/>
              <w:start w:w="120" w:type="dxa"/>
              <w:bottom w:w="90" w:type="dxa"/>
              <w:end w:w="120" w:type="dxa"/>
            </w:tcMar>
            <w:shd w:fill="F8FAFB"/>
          </w:tcPr>
          <w:p>
            <w:pPr>
              <w:spacing w:after="0"/>
            </w:pPr>
            <w:r>
              <w:rPr>
                <w:rFonts w:ascii="Aptos" w:hAnsi="Aptos"/>
                <w:color w:val="17212B"/>
                <w:sz w:val="16"/>
              </w:rPr>
              <w:t>NFR-002</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6"/>
              </w:rPr>
              <w:t>Latency</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6"/>
              </w:rPr>
              <w:t>P95 &lt;2s for non-agent API; first progress event &lt;3s; full demo result &lt;90s</w:t>
            </w:r>
          </w:p>
        </w:tc>
      </w:tr>
      <w:tr>
        <w:trPr>
          <w:cantSplit/>
        </w:trPr>
        <w:tc>
          <w:tcPr>
            <w:tcW w:type="dxa" w:w="1008"/>
            <w:vAlign w:val="center"/>
            <w:tcMar>
              <w:top w:w="90" w:type="dxa"/>
              <w:start w:w="120" w:type="dxa"/>
              <w:bottom w:w="90" w:type="dxa"/>
              <w:end w:w="120" w:type="dxa"/>
            </w:tcMar>
          </w:tcPr>
          <w:p>
            <w:pPr>
              <w:spacing w:after="0"/>
            </w:pPr>
            <w:r>
              <w:rPr>
                <w:rFonts w:ascii="Aptos" w:hAnsi="Aptos"/>
                <w:color w:val="17212B"/>
                <w:sz w:val="16"/>
              </w:rPr>
              <w:t>NFR-003</w:t>
            </w:r>
          </w:p>
        </w:tc>
        <w:tc>
          <w:tcPr>
            <w:tcW w:type="dxa" w:w="3456"/>
            <w:vAlign w:val="center"/>
            <w:tcMar>
              <w:top w:w="90" w:type="dxa"/>
              <w:start w:w="120" w:type="dxa"/>
              <w:bottom w:w="90" w:type="dxa"/>
              <w:end w:w="120" w:type="dxa"/>
            </w:tcMar>
          </w:tcPr>
          <w:p>
            <w:pPr>
              <w:spacing w:after="0"/>
            </w:pPr>
            <w:r>
              <w:rPr>
                <w:rFonts w:ascii="Aptos" w:hAnsi="Aptos"/>
                <w:color w:val="17212B"/>
                <w:sz w:val="16"/>
              </w:rPr>
              <w:t>Isolation</w:t>
            </w:r>
          </w:p>
        </w:tc>
        <w:tc>
          <w:tcPr>
            <w:tcW w:type="dxa" w:w="4896"/>
            <w:vAlign w:val="center"/>
            <w:tcMar>
              <w:top w:w="90" w:type="dxa"/>
              <w:start w:w="120" w:type="dxa"/>
              <w:bottom w:w="90" w:type="dxa"/>
              <w:end w:w="120" w:type="dxa"/>
            </w:tcMar>
          </w:tcPr>
          <w:p>
            <w:pPr>
              <w:spacing w:after="0"/>
            </w:pPr>
            <w:r>
              <w:rPr>
                <w:rFonts w:ascii="Aptos" w:hAnsi="Aptos"/>
                <w:color w:val="17212B"/>
                <w:sz w:val="16"/>
              </w:rPr>
              <w:t>Zero cross-supplier reads in automated authorization tests</w:t>
            </w:r>
          </w:p>
        </w:tc>
      </w:tr>
      <w:tr>
        <w:trPr>
          <w:cantSplit/>
        </w:trPr>
        <w:tc>
          <w:tcPr>
            <w:tcW w:type="dxa" w:w="1008"/>
            <w:vAlign w:val="center"/>
            <w:tcMar>
              <w:top w:w="90" w:type="dxa"/>
              <w:start w:w="120" w:type="dxa"/>
              <w:bottom w:w="90" w:type="dxa"/>
              <w:end w:w="120" w:type="dxa"/>
            </w:tcMar>
            <w:shd w:fill="F8FAFB"/>
          </w:tcPr>
          <w:p>
            <w:pPr>
              <w:spacing w:after="0"/>
            </w:pPr>
            <w:r>
              <w:rPr>
                <w:rFonts w:ascii="Aptos" w:hAnsi="Aptos"/>
                <w:color w:val="17212B"/>
                <w:sz w:val="16"/>
              </w:rPr>
              <w:t>NFR-004</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6"/>
              </w:rPr>
              <w:t>Privacy</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6"/>
              </w:rPr>
              <w:t>No raw source content or direct identifier in supplier payload/logs</w:t>
            </w:r>
          </w:p>
        </w:tc>
      </w:tr>
      <w:tr>
        <w:trPr>
          <w:cantSplit/>
        </w:trPr>
        <w:tc>
          <w:tcPr>
            <w:tcW w:type="dxa" w:w="1008"/>
            <w:vAlign w:val="center"/>
            <w:tcMar>
              <w:top w:w="90" w:type="dxa"/>
              <w:start w:w="120" w:type="dxa"/>
              <w:bottom w:w="90" w:type="dxa"/>
              <w:end w:w="120" w:type="dxa"/>
            </w:tcMar>
          </w:tcPr>
          <w:p>
            <w:pPr>
              <w:spacing w:after="0"/>
            </w:pPr>
            <w:r>
              <w:rPr>
                <w:rFonts w:ascii="Aptos" w:hAnsi="Aptos"/>
                <w:color w:val="17212B"/>
                <w:sz w:val="16"/>
              </w:rPr>
              <w:t>NFR-005</w:t>
            </w:r>
          </w:p>
        </w:tc>
        <w:tc>
          <w:tcPr>
            <w:tcW w:type="dxa" w:w="3456"/>
            <w:vAlign w:val="center"/>
            <w:tcMar>
              <w:top w:w="90" w:type="dxa"/>
              <w:start w:w="120" w:type="dxa"/>
              <w:bottom w:w="90" w:type="dxa"/>
              <w:end w:w="120" w:type="dxa"/>
            </w:tcMar>
          </w:tcPr>
          <w:p>
            <w:pPr>
              <w:spacing w:after="0"/>
            </w:pPr>
            <w:r>
              <w:rPr>
                <w:rFonts w:ascii="Aptos" w:hAnsi="Aptos"/>
                <w:color w:val="17212B"/>
                <w:sz w:val="16"/>
              </w:rPr>
              <w:t>Reliability</w:t>
            </w:r>
          </w:p>
        </w:tc>
        <w:tc>
          <w:tcPr>
            <w:tcW w:type="dxa" w:w="4896"/>
            <w:vAlign w:val="center"/>
            <w:tcMar>
              <w:top w:w="90" w:type="dxa"/>
              <w:start w:w="120" w:type="dxa"/>
              <w:bottom w:w="90" w:type="dxa"/>
              <w:end w:w="120" w:type="dxa"/>
            </w:tcMar>
          </w:tcPr>
          <w:p>
            <w:pPr>
              <w:spacing w:after="0"/>
            </w:pPr>
            <w:r>
              <w:rPr>
                <w:rFonts w:ascii="Aptos" w:hAnsi="Aptos"/>
                <w:color w:val="17212B"/>
                <w:sz w:val="16"/>
              </w:rPr>
              <w:t>Idempotent create/accept/authorize; safe retry; no duplicate receipt</w:t>
            </w:r>
          </w:p>
        </w:tc>
      </w:tr>
      <w:tr>
        <w:trPr>
          <w:cantSplit/>
        </w:trPr>
        <w:tc>
          <w:tcPr>
            <w:tcW w:type="dxa" w:w="1008"/>
            <w:vAlign w:val="center"/>
            <w:tcMar>
              <w:top w:w="90" w:type="dxa"/>
              <w:start w:w="120" w:type="dxa"/>
              <w:bottom w:w="90" w:type="dxa"/>
              <w:end w:w="120" w:type="dxa"/>
            </w:tcMar>
            <w:shd w:fill="F8FAFB"/>
          </w:tcPr>
          <w:p>
            <w:pPr>
              <w:spacing w:after="0"/>
            </w:pPr>
            <w:r>
              <w:rPr>
                <w:rFonts w:ascii="Aptos" w:hAnsi="Aptos"/>
                <w:color w:val="17212B"/>
                <w:sz w:val="16"/>
              </w:rPr>
              <w:t>NFR-006</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6"/>
              </w:rPr>
              <w:t>Audit</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6"/>
              </w:rPr>
              <w:t>100% of disclosure, approval, offer version, ranking, and authorization transitions auditable</w:t>
            </w:r>
          </w:p>
        </w:tc>
      </w:tr>
      <w:tr>
        <w:trPr>
          <w:cantSplit/>
        </w:trPr>
        <w:tc>
          <w:tcPr>
            <w:tcW w:type="dxa" w:w="1008"/>
            <w:vAlign w:val="center"/>
            <w:tcMar>
              <w:top w:w="90" w:type="dxa"/>
              <w:start w:w="120" w:type="dxa"/>
              <w:bottom w:w="90" w:type="dxa"/>
              <w:end w:w="120" w:type="dxa"/>
            </w:tcMar>
          </w:tcPr>
          <w:p>
            <w:pPr>
              <w:spacing w:after="0"/>
            </w:pPr>
            <w:r>
              <w:rPr>
                <w:rFonts w:ascii="Aptos" w:hAnsi="Aptos"/>
                <w:color w:val="17212B"/>
                <w:sz w:val="16"/>
              </w:rPr>
              <w:t>NFR-007</w:t>
            </w:r>
          </w:p>
        </w:tc>
        <w:tc>
          <w:tcPr>
            <w:tcW w:type="dxa" w:w="3456"/>
            <w:vAlign w:val="center"/>
            <w:tcMar>
              <w:top w:w="90" w:type="dxa"/>
              <w:start w:w="120" w:type="dxa"/>
              <w:bottom w:w="90" w:type="dxa"/>
              <w:end w:w="120" w:type="dxa"/>
            </w:tcMar>
          </w:tcPr>
          <w:p>
            <w:pPr>
              <w:spacing w:after="0"/>
            </w:pPr>
            <w:r>
              <w:rPr>
                <w:rFonts w:ascii="Aptos" w:hAnsi="Aptos"/>
                <w:color w:val="17212B"/>
                <w:sz w:val="16"/>
              </w:rPr>
              <w:t>Portability</w:t>
            </w:r>
          </w:p>
        </w:tc>
        <w:tc>
          <w:tcPr>
            <w:tcW w:type="dxa" w:w="4896"/>
            <w:vAlign w:val="center"/>
            <w:tcMar>
              <w:top w:w="90" w:type="dxa"/>
              <w:start w:w="120" w:type="dxa"/>
              <w:bottom w:w="90" w:type="dxa"/>
              <w:end w:w="120" w:type="dxa"/>
            </w:tcMar>
          </w:tcPr>
          <w:p>
            <w:pPr>
              <w:spacing w:after="0"/>
            </w:pPr>
            <w:r>
              <w:rPr>
                <w:rFonts w:ascii="Aptos" w:hAnsi="Aptos"/>
                <w:color w:val="17212B"/>
                <w:sz w:val="16"/>
              </w:rPr>
              <w:t>≥95% of domain and contract tests identical across local/Google/AWS</w:t>
            </w:r>
          </w:p>
        </w:tc>
      </w:tr>
      <w:tr>
        <w:trPr>
          <w:cantSplit/>
        </w:trPr>
        <w:tc>
          <w:tcPr>
            <w:tcW w:type="dxa" w:w="1008"/>
            <w:vAlign w:val="center"/>
            <w:tcMar>
              <w:top w:w="90" w:type="dxa"/>
              <w:start w:w="120" w:type="dxa"/>
              <w:bottom w:w="90" w:type="dxa"/>
              <w:end w:w="120" w:type="dxa"/>
            </w:tcMar>
            <w:shd w:fill="F8FAFB"/>
          </w:tcPr>
          <w:p>
            <w:pPr>
              <w:spacing w:after="0"/>
            </w:pPr>
            <w:r>
              <w:rPr>
                <w:rFonts w:ascii="Aptos" w:hAnsi="Aptos"/>
                <w:color w:val="17212B"/>
                <w:sz w:val="16"/>
              </w:rPr>
              <w:t>NFR-008</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6"/>
              </w:rPr>
              <w:t>Accessibility</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6"/>
              </w:rPr>
              <w:t>WCAG 2.2 AA web; mobile screen-reader labels, dynamic text, and non-color status cues</w:t>
            </w:r>
          </w:p>
        </w:tc>
      </w:tr>
      <w:tr>
        <w:trPr>
          <w:cantSplit/>
        </w:trPr>
        <w:tc>
          <w:tcPr>
            <w:tcW w:type="dxa" w:w="1008"/>
            <w:vAlign w:val="center"/>
            <w:tcMar>
              <w:top w:w="90" w:type="dxa"/>
              <w:start w:w="120" w:type="dxa"/>
              <w:bottom w:w="90" w:type="dxa"/>
              <w:end w:w="120" w:type="dxa"/>
            </w:tcMar>
          </w:tcPr>
          <w:p>
            <w:pPr>
              <w:spacing w:after="0"/>
            </w:pPr>
            <w:r>
              <w:rPr>
                <w:rFonts w:ascii="Aptos" w:hAnsi="Aptos"/>
                <w:color w:val="17212B"/>
                <w:sz w:val="16"/>
              </w:rPr>
              <w:t>NFR-009</w:t>
            </w:r>
          </w:p>
        </w:tc>
        <w:tc>
          <w:tcPr>
            <w:tcW w:type="dxa" w:w="3456"/>
            <w:vAlign w:val="center"/>
            <w:tcMar>
              <w:top w:w="90" w:type="dxa"/>
              <w:start w:w="120" w:type="dxa"/>
              <w:bottom w:w="90" w:type="dxa"/>
              <w:end w:w="120" w:type="dxa"/>
            </w:tcMar>
          </w:tcPr>
          <w:p>
            <w:pPr>
              <w:spacing w:after="0"/>
            </w:pPr>
            <w:r>
              <w:rPr>
                <w:rFonts w:ascii="Aptos" w:hAnsi="Aptos"/>
                <w:color w:val="17212B"/>
                <w:sz w:val="16"/>
              </w:rPr>
              <w:t>Cost</w:t>
            </w:r>
          </w:p>
        </w:tc>
        <w:tc>
          <w:tcPr>
            <w:tcW w:type="dxa" w:w="4896"/>
            <w:vAlign w:val="center"/>
            <w:tcMar>
              <w:top w:w="90" w:type="dxa"/>
              <w:start w:w="120" w:type="dxa"/>
              <w:bottom w:w="90" w:type="dxa"/>
              <w:end w:w="120" w:type="dxa"/>
            </w:tcMar>
          </w:tcPr>
          <w:p>
            <w:pPr>
              <w:spacing w:after="0"/>
            </w:pPr>
            <w:r>
              <w:rPr>
                <w:rFonts w:ascii="Aptos" w:hAnsi="Aptos"/>
                <w:color w:val="17212B"/>
                <w:sz w:val="16"/>
              </w:rPr>
              <w:t>Per completed demo intent budget measured and alertable; provider/model use tagged</w:t>
            </w:r>
          </w:p>
        </w:tc>
      </w:tr>
      <w:tr>
        <w:trPr>
          <w:cantSplit/>
        </w:trPr>
        <w:tc>
          <w:tcPr>
            <w:tcW w:type="dxa" w:w="1008"/>
            <w:vAlign w:val="center"/>
            <w:tcMar>
              <w:top w:w="90" w:type="dxa"/>
              <w:start w:w="120" w:type="dxa"/>
              <w:bottom w:w="90" w:type="dxa"/>
              <w:end w:w="120" w:type="dxa"/>
            </w:tcMar>
            <w:shd w:fill="F8FAFB"/>
          </w:tcPr>
          <w:p>
            <w:pPr>
              <w:spacing w:after="0"/>
            </w:pPr>
            <w:r>
              <w:rPr>
                <w:rFonts w:ascii="Aptos" w:hAnsi="Aptos"/>
                <w:color w:val="17212B"/>
                <w:sz w:val="16"/>
              </w:rPr>
              <w:t>NFR-010</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6"/>
              </w:rPr>
              <w:t>Security</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6"/>
              </w:rPr>
              <w:t>No critical/high open findings at release; secrets absent from clients/repository</w:t>
            </w:r>
          </w:p>
        </w:tc>
      </w:tr>
    </w:tbl>
    <w:p>
      <w:pPr>
        <w:pStyle w:val="Heading2"/>
      </w:pPr>
      <w:r>
        <w:t>5.7 Intent-first contract additions (v1.1)</w:t>
      </w:r>
    </w:p>
    <w:p>
      <w:pPr>
        <w:pStyle w:val="Requirement"/>
      </w:pPr>
      <w:r>
        <w:rPr>
          <w:rFonts w:ascii="Aptos" w:hAnsi="Aptos"/>
          <w:b/>
          <w:color w:val="1C8C84"/>
          <w:sz w:val="18"/>
        </w:rPr>
        <w:t>FR-050  Intent parent — Represent the buyer objective as an Intent that owns Conversation, Plan, Booking Tasks, and Cost Ledger. PurchaseIntent remains the minimized supplier-facing contract of a Booking Task, not the whole objective.  [MUST • G1]</w:t>
      </w:r>
    </w:p>
    <w:p>
      <w:pPr>
        <w:pStyle w:val="Requirement"/>
      </w:pPr>
      <w:r>
        <w:rPr>
          <w:rFonts w:ascii="Aptos" w:hAnsi="Aptos"/>
          <w:b/>
          <w:color w:val="1C8C84"/>
          <w:sz w:val="18"/>
        </w:rPr>
        <w:t>FR-051  Live booking sequence — Live/future path is a4_required → authorized_live → booking_pending → confirmed_booking | booking_failed. Only authoritative supplier or connector confirmation creates a Booking or writes ledger confirmed_booking.  [MUST • POST-V1 live adapters; model now]</w:t>
      </w:r>
    </w:p>
    <w:p>
      <w:pPr>
        <w:pStyle w:val="Requirement"/>
      </w:pPr>
      <w:r>
        <w:rPr>
          <w:rFonts w:ascii="Aptos" w:hAnsi="Aptos"/>
          <w:b/>
          <w:color w:val="1C8C84"/>
          <w:sz w:val="18"/>
        </w:rPr>
        <w:t>FR-052  Cost Ledger — Provide an Intent-level deterministic Cost Ledger covering confirmed booking; authorized simulation; authorized live; booking pending; selected/not authorized; estimated; expired/excluded; taxes/fees; authoritative deposits/holds; payable now/later. No LLM arithmetic. Mixed currencies remain separate unless the rate, source, and timestamp are evidenced. Simulation never writes confirmed_booking, payable-now, or deposits/holds.  [MUST • G1]</w:t>
      </w:r>
    </w:p>
    <w:p>
      <w:pPr>
        <w:pStyle w:val="Requirement"/>
      </w:pPr>
      <w:r>
        <w:rPr>
          <w:rFonts w:ascii="Aptos" w:hAnsi="Aptos"/>
          <w:b/>
          <w:color w:val="1C8C84"/>
          <w:sz w:val="18"/>
        </w:rPr>
        <w:t>FR-053  Persistence honesty — Current backend durability is unsupported. Browser session storage is cache, not authoritative persistence. Production copy MUST NOT promise continuity across sessions, devices, or backend restarts. Responsive web is the approved mobile surface. No native-mobile framework or implementation is selected in this change.  [MUST • G1]</w:t>
      </w:r>
    </w:p>
    <w:p>
      <w:pPr>
        <w:spacing w:after="20"/>
      </w:pPr>
    </w:p>
    <w:p>
      <w:r>
        <w:br w:type="page"/>
      </w:r>
    </w:p>
    <w:p>
      <w:pPr>
        <w:pStyle w:val="Heading1"/>
      </w:pPr>
      <w:r>
        <w:t>6. Guardrails, privacy firewall, isolation, and approvals</w:t>
      </w:r>
    </w:p>
    <w:p>
      <w:pPr>
        <w:pStyle w:val="Heading2"/>
      </w:pPr>
      <w:r>
        <w:t>6.1 Buyer guardrails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656"/>
            <w:shd w:fill="17324D"/>
            <w:tcMar>
              <w:top w:w="90" w:type="dxa"/>
              <w:start w:w="120" w:type="dxa"/>
              <w:bottom w:w="90" w:type="dxa"/>
              <w:end w:w="120" w:type="dxa"/>
            </w:tcMar>
          </w:tcPr>
          <w:p>
            <w:pPr>
              <w:spacing w:after="0"/>
            </w:pPr>
            <w:r>
              <w:rPr>
                <w:rFonts w:ascii="Aptos" w:hAnsi="Aptos"/>
                <w:b/>
                <w:color w:val="FFFFFF"/>
                <w:sz w:val="16"/>
              </w:rPr>
              <w:t>Guardrail</w:t>
            </w:r>
          </w:p>
        </w:tc>
        <w:tc>
          <w:tcPr>
            <w:tcW w:type="dxa" w:w="2952"/>
            <w:shd w:fill="17324D"/>
            <w:tcMar>
              <w:top w:w="90" w:type="dxa"/>
              <w:start w:w="120" w:type="dxa"/>
              <w:bottom w:w="90" w:type="dxa"/>
              <w:end w:w="120" w:type="dxa"/>
            </w:tcMar>
          </w:tcPr>
          <w:p>
            <w:pPr>
              <w:spacing w:after="0"/>
            </w:pPr>
            <w:r>
              <w:rPr>
                <w:rFonts w:ascii="Aptos" w:hAnsi="Aptos"/>
                <w:b/>
                <w:color w:val="FFFFFF"/>
                <w:sz w:val="16"/>
              </w:rPr>
              <w:t>Default</w:t>
            </w:r>
          </w:p>
        </w:tc>
        <w:tc>
          <w:tcPr>
            <w:tcW w:type="dxa" w:w="4752"/>
            <w:shd w:fill="17324D"/>
            <w:tcMar>
              <w:top w:w="90" w:type="dxa"/>
              <w:start w:w="120" w:type="dxa"/>
              <w:bottom w:w="90" w:type="dxa"/>
              <w:end w:w="120" w:type="dxa"/>
            </w:tcMar>
          </w:tcPr>
          <w:p>
            <w:pPr>
              <w:spacing w:after="0"/>
            </w:pPr>
            <w:r>
              <w:rPr>
                <w:rFonts w:ascii="Aptos" w:hAnsi="Aptos"/>
                <w:b/>
                <w:color w:val="FFFFFF"/>
                <w:sz w:val="16"/>
              </w:rPr>
              <w:t>Enforcement</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6"/>
              </w:rPr>
              <w:t>Disclosure</w:t>
            </w:r>
          </w:p>
        </w:tc>
        <w:tc>
          <w:tcPr>
            <w:tcW w:type="dxa" w:w="2952"/>
            <w:vAlign w:val="center"/>
            <w:tcMar>
              <w:top w:w="90" w:type="dxa"/>
              <w:start w:w="120" w:type="dxa"/>
              <w:bottom w:w="90" w:type="dxa"/>
              <w:end w:w="120" w:type="dxa"/>
            </w:tcMar>
          </w:tcPr>
          <w:p>
            <w:pPr>
              <w:spacing w:after="0"/>
            </w:pPr>
            <w:r>
              <w:rPr>
                <w:rFonts w:ascii="Aptos" w:hAnsi="Aptos"/>
                <w:color w:val="17212B"/>
                <w:sz w:val="16"/>
              </w:rPr>
              <w:t>Airport, time window, vehicle class, service requirements only</w:t>
            </w:r>
          </w:p>
        </w:tc>
        <w:tc>
          <w:tcPr>
            <w:tcW w:type="dxa" w:w="4752"/>
            <w:vAlign w:val="center"/>
            <w:tcMar>
              <w:top w:w="90" w:type="dxa"/>
              <w:start w:w="120" w:type="dxa"/>
              <w:bottom w:w="90" w:type="dxa"/>
              <w:end w:w="120" w:type="dxa"/>
            </w:tcMar>
          </w:tcPr>
          <w:p>
            <w:pPr>
              <w:spacing w:after="0"/>
            </w:pPr>
            <w:r>
              <w:rPr>
                <w:rFonts w:ascii="Aptos" w:hAnsi="Aptos"/>
                <w:color w:val="17212B"/>
                <w:sz w:val="16"/>
              </w:rPr>
              <w:t>Policy engine allowlist + denylist + payload diff</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6"/>
              </w:rPr>
              <w:t>Identity</w:t>
            </w:r>
          </w:p>
        </w:tc>
        <w:tc>
          <w:tcPr>
            <w:tcW w:type="dxa" w:w="2952"/>
            <w:vAlign w:val="center"/>
            <w:tcMar>
              <w:top w:w="90" w:type="dxa"/>
              <w:start w:w="120" w:type="dxa"/>
              <w:bottom w:w="90" w:type="dxa"/>
              <w:end w:w="120" w:type="dxa"/>
            </w:tcMar>
            <w:shd w:fill="F8FAFB"/>
          </w:tcPr>
          <w:p>
            <w:pPr>
              <w:spacing w:after="0"/>
            </w:pPr>
            <w:r>
              <w:rPr>
                <w:rFonts w:ascii="Aptos" w:hAnsi="Aptos"/>
                <w:color w:val="17212B"/>
                <w:sz w:val="16"/>
              </w:rPr>
              <w:t>Pseudonymous buyer token; no name/email/phone</w:t>
            </w:r>
          </w:p>
        </w:tc>
        <w:tc>
          <w:tcPr>
            <w:tcW w:type="dxa" w:w="4752"/>
            <w:vAlign w:val="center"/>
            <w:tcMar>
              <w:top w:w="90" w:type="dxa"/>
              <w:start w:w="120" w:type="dxa"/>
              <w:bottom w:w="90" w:type="dxa"/>
              <w:end w:w="120" w:type="dxa"/>
            </w:tcMar>
            <w:shd w:fill="F8FAFB"/>
          </w:tcPr>
          <w:p>
            <w:pPr>
              <w:spacing w:after="0"/>
            </w:pPr>
            <w:r>
              <w:rPr>
                <w:rFonts w:ascii="Aptos" w:hAnsi="Aptos"/>
                <w:color w:val="17212B"/>
                <w:sz w:val="16"/>
              </w:rPr>
              <w:t>Exchange-issued opaque subject</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6"/>
              </w:rPr>
              <w:t>Budget</w:t>
            </w:r>
          </w:p>
        </w:tc>
        <w:tc>
          <w:tcPr>
            <w:tcW w:type="dxa" w:w="2952"/>
            <w:vAlign w:val="center"/>
            <w:tcMar>
              <w:top w:w="90" w:type="dxa"/>
              <w:start w:w="120" w:type="dxa"/>
              <w:bottom w:w="90" w:type="dxa"/>
              <w:end w:w="120" w:type="dxa"/>
            </w:tcMar>
          </w:tcPr>
          <w:p>
            <w:pPr>
              <w:spacing w:after="0"/>
            </w:pPr>
            <w:r>
              <w:rPr>
                <w:rFonts w:ascii="Aptos" w:hAnsi="Aptos"/>
                <w:color w:val="17212B"/>
                <w:sz w:val="16"/>
              </w:rPr>
              <w:t>Hard maximum is never disclosed unless user opts in; offers above limit ineligible</w:t>
            </w:r>
          </w:p>
        </w:tc>
        <w:tc>
          <w:tcPr>
            <w:tcW w:type="dxa" w:w="4752"/>
            <w:vAlign w:val="center"/>
            <w:tcMar>
              <w:top w:w="90" w:type="dxa"/>
              <w:start w:w="120" w:type="dxa"/>
              <w:bottom w:w="90" w:type="dxa"/>
              <w:end w:w="120" w:type="dxa"/>
            </w:tcMar>
          </w:tcPr>
          <w:p>
            <w:pPr>
              <w:spacing w:after="0"/>
            </w:pPr>
            <w:r>
              <w:rPr>
                <w:rFonts w:ascii="Aptos" w:hAnsi="Aptos"/>
                <w:color w:val="17212B"/>
                <w:sz w:val="16"/>
              </w:rPr>
              <w:t>Ranking eligibility rule</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6"/>
              </w:rPr>
              <w:t>Autonomy</w:t>
            </w:r>
          </w:p>
        </w:tc>
        <w:tc>
          <w:tcPr>
            <w:tcW w:type="dxa" w:w="2952"/>
            <w:vAlign w:val="center"/>
            <w:tcMar>
              <w:top w:w="90" w:type="dxa"/>
              <w:start w:w="120" w:type="dxa"/>
              <w:bottom w:w="90" w:type="dxa"/>
              <w:end w:w="120" w:type="dxa"/>
            </w:tcMar>
            <w:shd w:fill="F8FAFB"/>
          </w:tcPr>
          <w:p>
            <w:pPr>
              <w:spacing w:after="0"/>
            </w:pPr>
            <w:r>
              <w:rPr>
                <w:rFonts w:ascii="Aptos" w:hAnsi="Aptos"/>
                <w:color w:val="17212B"/>
                <w:sz w:val="16"/>
              </w:rPr>
              <w:t>No supplier dispatch or transaction without approval</w:t>
            </w:r>
          </w:p>
        </w:tc>
        <w:tc>
          <w:tcPr>
            <w:tcW w:type="dxa" w:w="4752"/>
            <w:vAlign w:val="center"/>
            <w:tcMar>
              <w:top w:w="90" w:type="dxa"/>
              <w:start w:w="120" w:type="dxa"/>
              <w:bottom w:w="90" w:type="dxa"/>
              <w:end w:w="120" w:type="dxa"/>
            </w:tcMar>
            <w:shd w:fill="F8FAFB"/>
          </w:tcPr>
          <w:p>
            <w:pPr>
              <w:spacing w:after="0"/>
            </w:pPr>
            <w:r>
              <w:rPr>
                <w:rFonts w:ascii="Aptos" w:hAnsi="Aptos"/>
                <w:color w:val="17212B"/>
                <w:sz w:val="16"/>
              </w:rPr>
              <w:t>State-machine precondition</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6"/>
              </w:rPr>
              <w:t>Preference use</w:t>
            </w:r>
          </w:p>
        </w:tc>
        <w:tc>
          <w:tcPr>
            <w:tcW w:type="dxa" w:w="2952"/>
            <w:vAlign w:val="center"/>
            <w:tcMar>
              <w:top w:w="90" w:type="dxa"/>
              <w:start w:w="120" w:type="dxa"/>
              <w:bottom w:w="90" w:type="dxa"/>
              <w:end w:w="120" w:type="dxa"/>
            </w:tcMar>
          </w:tcPr>
          <w:p>
            <w:pPr>
              <w:spacing w:after="0"/>
            </w:pPr>
            <w:r>
              <w:rPr>
                <w:rFonts w:ascii="Aptos" w:hAnsi="Aptos"/>
                <w:color w:val="17212B"/>
                <w:sz w:val="16"/>
              </w:rPr>
              <w:t>Only context-matching active preferences</w:t>
            </w:r>
          </w:p>
        </w:tc>
        <w:tc>
          <w:tcPr>
            <w:tcW w:type="dxa" w:w="4752"/>
            <w:vAlign w:val="center"/>
            <w:tcMar>
              <w:top w:w="90" w:type="dxa"/>
              <w:start w:w="120" w:type="dxa"/>
              <w:bottom w:w="90" w:type="dxa"/>
              <w:end w:w="120" w:type="dxa"/>
            </w:tcMar>
          </w:tcPr>
          <w:p>
            <w:pPr>
              <w:spacing w:after="0"/>
            </w:pPr>
            <w:r>
              <w:rPr>
                <w:rFonts w:ascii="Aptos" w:hAnsi="Aptos"/>
                <w:color w:val="17212B"/>
                <w:sz w:val="16"/>
              </w:rPr>
              <w:t>Scope matcher + confidence threshold</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6"/>
              </w:rPr>
              <w:t>Sensitive data</w:t>
            </w:r>
          </w:p>
        </w:tc>
        <w:tc>
          <w:tcPr>
            <w:tcW w:type="dxa" w:w="2952"/>
            <w:vAlign w:val="center"/>
            <w:tcMar>
              <w:top w:w="90" w:type="dxa"/>
              <w:start w:w="120" w:type="dxa"/>
              <w:bottom w:w="90" w:type="dxa"/>
              <w:end w:w="120" w:type="dxa"/>
            </w:tcMar>
            <w:shd w:fill="F8FAFB"/>
          </w:tcPr>
          <w:p>
            <w:pPr>
              <w:spacing w:after="0"/>
            </w:pPr>
            <w:r>
              <w:rPr>
                <w:rFonts w:ascii="Aptos" w:hAnsi="Aptos"/>
                <w:color w:val="17212B"/>
                <w:sz w:val="16"/>
              </w:rPr>
              <w:t>Remove itinerary identifiers, flight confirmation, companions, payment details</w:t>
            </w:r>
          </w:p>
        </w:tc>
        <w:tc>
          <w:tcPr>
            <w:tcW w:type="dxa" w:w="4752"/>
            <w:vAlign w:val="center"/>
            <w:tcMar>
              <w:top w:w="90" w:type="dxa"/>
              <w:start w:w="120" w:type="dxa"/>
              <w:bottom w:w="90" w:type="dxa"/>
              <w:end w:w="120" w:type="dxa"/>
            </w:tcMar>
            <w:shd w:fill="F8FAFB"/>
          </w:tcPr>
          <w:p>
            <w:pPr>
              <w:spacing w:after="0"/>
            </w:pPr>
            <w:r>
              <w:rPr>
                <w:rFonts w:ascii="Aptos" w:hAnsi="Aptos"/>
                <w:color w:val="17212B"/>
                <w:sz w:val="16"/>
              </w:rPr>
              <w:t>DLP/redaction plus schema exclusion</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6"/>
              </w:rPr>
              <w:t>Action</w:t>
            </w:r>
          </w:p>
        </w:tc>
        <w:tc>
          <w:tcPr>
            <w:tcW w:type="dxa" w:w="2952"/>
            <w:vAlign w:val="center"/>
            <w:tcMar>
              <w:top w:w="90" w:type="dxa"/>
              <w:start w:w="120" w:type="dxa"/>
              <w:bottom w:w="90" w:type="dxa"/>
              <w:end w:w="120" w:type="dxa"/>
            </w:tcMar>
          </w:tcPr>
          <w:p>
            <w:pPr>
              <w:spacing w:after="0"/>
            </w:pPr>
            <w:r>
              <w:rPr>
                <w:rFonts w:ascii="Aptos" w:hAnsi="Aptos"/>
                <w:color w:val="17212B"/>
                <w:sz w:val="16"/>
              </w:rPr>
              <w:t>MVP simulation only</w:t>
            </w:r>
          </w:p>
        </w:tc>
        <w:tc>
          <w:tcPr>
            <w:tcW w:type="dxa" w:w="4752"/>
            <w:vAlign w:val="center"/>
            <w:tcMar>
              <w:top w:w="90" w:type="dxa"/>
              <w:start w:w="120" w:type="dxa"/>
              <w:bottom w:w="90" w:type="dxa"/>
              <w:end w:w="120" w:type="dxa"/>
            </w:tcMar>
          </w:tcPr>
          <w:p>
            <w:pPr>
              <w:spacing w:after="0"/>
            </w:pPr>
            <w:r>
              <w:rPr>
                <w:rFonts w:ascii="Aptos" w:hAnsi="Aptos"/>
                <w:color w:val="17212B"/>
                <w:sz w:val="16"/>
              </w:rPr>
              <w:t>Transaction adapter feature flag and UI badge</w:t>
            </w:r>
          </w:p>
        </w:tc>
      </w:tr>
    </w:tbl>
    <w:p>
      <w:pPr>
        <w:spacing w:after="20"/>
      </w:pPr>
    </w:p>
    <w:p>
      <w:pPr>
        <w:pStyle w:val="Heading2"/>
      </w:pPr>
      <w:r>
        <w:t>6.2 Supplier guardrails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512"/>
            <w:shd w:fill="17324D"/>
            <w:tcMar>
              <w:top w:w="90" w:type="dxa"/>
              <w:start w:w="120" w:type="dxa"/>
              <w:bottom w:w="90" w:type="dxa"/>
              <w:end w:w="120" w:type="dxa"/>
            </w:tcMar>
          </w:tcPr>
          <w:p>
            <w:pPr>
              <w:spacing w:after="0"/>
            </w:pPr>
            <w:r>
              <w:rPr>
                <w:rFonts w:ascii="Aptos" w:hAnsi="Aptos"/>
                <w:b/>
                <w:color w:val="FFFFFF"/>
                <w:sz w:val="16"/>
              </w:rPr>
              <w:t>Category</w:t>
            </w:r>
          </w:p>
        </w:tc>
        <w:tc>
          <w:tcPr>
            <w:tcW w:type="dxa" w:w="3960"/>
            <w:shd w:fill="17324D"/>
            <w:tcMar>
              <w:top w:w="90" w:type="dxa"/>
              <w:start w:w="120" w:type="dxa"/>
              <w:bottom w:w="90" w:type="dxa"/>
              <w:end w:w="120" w:type="dxa"/>
            </w:tcMar>
          </w:tcPr>
          <w:p>
            <w:pPr>
              <w:spacing w:after="0"/>
            </w:pPr>
            <w:r>
              <w:rPr>
                <w:rFonts w:ascii="Aptos" w:hAnsi="Aptos"/>
                <w:b/>
                <w:color w:val="FFFFFF"/>
                <w:sz w:val="16"/>
              </w:rPr>
              <w:t>Policy examples</w:t>
            </w:r>
          </w:p>
        </w:tc>
        <w:tc>
          <w:tcPr>
            <w:tcW w:type="dxa" w:w="3888"/>
            <w:shd w:fill="17324D"/>
            <w:tcMar>
              <w:top w:w="90" w:type="dxa"/>
              <w:start w:w="120" w:type="dxa"/>
              <w:bottom w:w="90" w:type="dxa"/>
              <w:end w:w="120" w:type="dxa"/>
            </w:tcMar>
          </w:tcPr>
          <w:p>
            <w:pPr>
              <w:spacing w:after="0"/>
            </w:pPr>
            <w:r>
              <w:rPr>
                <w:rFonts w:ascii="Aptos" w:hAnsi="Aptos"/>
                <w:b/>
                <w:color w:val="FFFFFF"/>
                <w:sz w:val="16"/>
              </w:rPr>
              <w:t>Required outcome</w:t>
            </w:r>
          </w:p>
        </w:tc>
      </w:tr>
      <w:tr>
        <w:trPr>
          <w:cantSplit/>
        </w:trPr>
        <w:tc>
          <w:tcPr>
            <w:tcW w:type="dxa" w:w="1512"/>
            <w:vAlign w:val="center"/>
            <w:tcMar>
              <w:top w:w="90" w:type="dxa"/>
              <w:start w:w="120" w:type="dxa"/>
              <w:bottom w:w="90" w:type="dxa"/>
              <w:end w:w="120" w:type="dxa"/>
            </w:tcMar>
          </w:tcPr>
          <w:p>
            <w:pPr>
              <w:spacing w:after="0"/>
            </w:pPr>
            <w:r>
              <w:rPr>
                <w:rFonts w:ascii="Aptos" w:hAnsi="Aptos"/>
                <w:color w:val="17212B"/>
                <w:sz w:val="16"/>
              </w:rPr>
              <w:t>Pricing</w:t>
            </w:r>
          </w:p>
        </w:tc>
        <w:tc>
          <w:tcPr>
            <w:tcW w:type="dxa" w:w="3960"/>
            <w:vAlign w:val="center"/>
            <w:tcMar>
              <w:top w:w="90" w:type="dxa"/>
              <w:start w:w="120" w:type="dxa"/>
              <w:bottom w:w="90" w:type="dxa"/>
              <w:end w:w="120" w:type="dxa"/>
            </w:tcMar>
          </w:tcPr>
          <w:p>
            <w:pPr>
              <w:spacing w:after="0"/>
            </w:pPr>
            <w:r>
              <w:rPr>
                <w:rFonts w:ascii="Aptos" w:hAnsi="Aptos"/>
                <w:color w:val="17212B"/>
                <w:sz w:val="16"/>
              </w:rPr>
              <w:t>floor price; max discount; occupancy bands; tax rules</w:t>
            </w:r>
          </w:p>
        </w:tc>
        <w:tc>
          <w:tcPr>
            <w:tcW w:type="dxa" w:w="3888"/>
            <w:vAlign w:val="center"/>
            <w:tcMar>
              <w:top w:w="90" w:type="dxa"/>
              <w:start w:w="120" w:type="dxa"/>
              <w:bottom w:w="90" w:type="dxa"/>
              <w:end w:w="120" w:type="dxa"/>
            </w:tcMar>
          </w:tcPr>
          <w:p>
            <w:pPr>
              <w:spacing w:after="0"/>
            </w:pPr>
            <w:r>
              <w:rPr>
                <w:rFonts w:ascii="Aptos" w:hAnsi="Aptos"/>
                <w:color w:val="17212B"/>
                <w:sz w:val="16"/>
              </w:rPr>
              <w:t>No offer below floor or outside configured band</w:t>
            </w:r>
          </w:p>
        </w:tc>
      </w:tr>
      <w:tr>
        <w:trPr>
          <w:cantSplit/>
        </w:trPr>
        <w:tc>
          <w:tcPr>
            <w:tcW w:type="dxa" w:w="1512"/>
            <w:vAlign w:val="center"/>
            <w:tcMar>
              <w:top w:w="90" w:type="dxa"/>
              <w:start w:w="120" w:type="dxa"/>
              <w:bottom w:w="90" w:type="dxa"/>
              <w:end w:w="120" w:type="dxa"/>
            </w:tcMar>
            <w:shd w:fill="F8FAFB"/>
          </w:tcPr>
          <w:p>
            <w:pPr>
              <w:spacing w:after="0"/>
            </w:pPr>
            <w:r>
              <w:rPr>
                <w:rFonts w:ascii="Aptos" w:hAnsi="Aptos"/>
                <w:color w:val="17212B"/>
                <w:sz w:val="16"/>
              </w:rPr>
              <w:t>Inventory</w:t>
            </w:r>
          </w:p>
        </w:tc>
        <w:tc>
          <w:tcPr>
            <w:tcW w:type="dxa" w:w="3960"/>
            <w:vAlign w:val="center"/>
            <w:tcMar>
              <w:top w:w="90" w:type="dxa"/>
              <w:start w:w="120" w:type="dxa"/>
              <w:bottom w:w="90" w:type="dxa"/>
              <w:end w:w="120" w:type="dxa"/>
            </w:tcMar>
            <w:shd w:fill="F8FAFB"/>
          </w:tcPr>
          <w:p>
            <w:pPr>
              <w:spacing w:after="0"/>
            </w:pPr>
            <w:r>
              <w:rPr>
                <w:rFonts w:ascii="Aptos" w:hAnsi="Aptos"/>
                <w:color w:val="17212B"/>
                <w:sz w:val="16"/>
              </w:rPr>
              <w:t>lot/covered/EV capacity; date availability</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6"/>
              </w:rPr>
              <w:t>No offer without reservable simulated capacity</w:t>
            </w:r>
          </w:p>
        </w:tc>
      </w:tr>
      <w:tr>
        <w:trPr>
          <w:cantSplit/>
        </w:trPr>
        <w:tc>
          <w:tcPr>
            <w:tcW w:type="dxa" w:w="1512"/>
            <w:vAlign w:val="center"/>
            <w:tcMar>
              <w:top w:w="90" w:type="dxa"/>
              <w:start w:w="120" w:type="dxa"/>
              <w:bottom w:w="90" w:type="dxa"/>
              <w:end w:w="120" w:type="dxa"/>
            </w:tcMar>
          </w:tcPr>
          <w:p>
            <w:pPr>
              <w:spacing w:after="0"/>
            </w:pPr>
            <w:r>
              <w:rPr>
                <w:rFonts w:ascii="Aptos" w:hAnsi="Aptos"/>
                <w:color w:val="17212B"/>
                <w:sz w:val="16"/>
              </w:rPr>
              <w:t>Terms</w:t>
            </w:r>
          </w:p>
        </w:tc>
        <w:tc>
          <w:tcPr>
            <w:tcW w:type="dxa" w:w="3960"/>
            <w:vAlign w:val="center"/>
            <w:tcMar>
              <w:top w:w="90" w:type="dxa"/>
              <w:start w:w="120" w:type="dxa"/>
              <w:bottom w:w="90" w:type="dxa"/>
              <w:end w:w="120" w:type="dxa"/>
            </w:tcMar>
          </w:tcPr>
          <w:p>
            <w:pPr>
              <w:spacing w:after="0"/>
            </w:pPr>
            <w:r>
              <w:rPr>
                <w:rFonts w:ascii="Aptos" w:hAnsi="Aptos"/>
                <w:color w:val="17212B"/>
                <w:sz w:val="16"/>
              </w:rPr>
              <w:t>minimum cancellation, refund conditions, maximum validity</w:t>
            </w:r>
          </w:p>
        </w:tc>
        <w:tc>
          <w:tcPr>
            <w:tcW w:type="dxa" w:w="3888"/>
            <w:vAlign w:val="center"/>
            <w:tcMar>
              <w:top w:w="90" w:type="dxa"/>
              <w:start w:w="120" w:type="dxa"/>
              <w:bottom w:w="90" w:type="dxa"/>
              <w:end w:w="120" w:type="dxa"/>
            </w:tcMar>
          </w:tcPr>
          <w:p>
            <w:pPr>
              <w:spacing w:after="0"/>
            </w:pPr>
            <w:r>
              <w:rPr>
                <w:rFonts w:ascii="Aptos" w:hAnsi="Aptos"/>
                <w:color w:val="17212B"/>
                <w:sz w:val="16"/>
              </w:rPr>
              <w:t>Complete, unambiguous material terms</w:t>
            </w:r>
          </w:p>
        </w:tc>
      </w:tr>
      <w:tr>
        <w:trPr>
          <w:cantSplit/>
        </w:trPr>
        <w:tc>
          <w:tcPr>
            <w:tcW w:type="dxa" w:w="1512"/>
            <w:vAlign w:val="center"/>
            <w:tcMar>
              <w:top w:w="90" w:type="dxa"/>
              <w:start w:w="120" w:type="dxa"/>
              <w:bottom w:w="90" w:type="dxa"/>
              <w:end w:w="120" w:type="dxa"/>
            </w:tcMar>
            <w:shd w:fill="F8FAFB"/>
          </w:tcPr>
          <w:p>
            <w:pPr>
              <w:spacing w:after="0"/>
            </w:pPr>
            <w:r>
              <w:rPr>
                <w:rFonts w:ascii="Aptos" w:hAnsi="Aptos"/>
                <w:color w:val="17212B"/>
                <w:sz w:val="16"/>
              </w:rPr>
              <w:t>Bundles</w:t>
            </w:r>
          </w:p>
        </w:tc>
        <w:tc>
          <w:tcPr>
            <w:tcW w:type="dxa" w:w="3960"/>
            <w:vAlign w:val="center"/>
            <w:tcMar>
              <w:top w:w="90" w:type="dxa"/>
              <w:start w:w="120" w:type="dxa"/>
              <w:bottom w:w="90" w:type="dxa"/>
              <w:end w:w="120" w:type="dxa"/>
            </w:tcMar>
            <w:shd w:fill="F8FAFB"/>
          </w:tcPr>
          <w:p>
            <w:pPr>
              <w:spacing w:after="0"/>
            </w:pPr>
            <w:r>
              <w:rPr>
                <w:rFonts w:ascii="Aptos" w:hAnsi="Aptos"/>
                <w:color w:val="17212B"/>
                <w:sz w:val="16"/>
              </w:rPr>
              <w:t>allowed add-ons, caps, eligibility</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6"/>
              </w:rPr>
              <w:t>Bundle components priced and optionality explicit</w:t>
            </w:r>
          </w:p>
        </w:tc>
      </w:tr>
      <w:tr>
        <w:trPr>
          <w:cantSplit/>
        </w:trPr>
        <w:tc>
          <w:tcPr>
            <w:tcW w:type="dxa" w:w="1512"/>
            <w:vAlign w:val="center"/>
            <w:tcMar>
              <w:top w:w="90" w:type="dxa"/>
              <w:start w:w="120" w:type="dxa"/>
              <w:bottom w:w="90" w:type="dxa"/>
              <w:end w:w="120" w:type="dxa"/>
            </w:tcMar>
          </w:tcPr>
          <w:p>
            <w:pPr>
              <w:spacing w:after="0"/>
            </w:pPr>
            <w:r>
              <w:rPr>
                <w:rFonts w:ascii="Aptos" w:hAnsi="Aptos"/>
                <w:color w:val="17212B"/>
                <w:sz w:val="16"/>
              </w:rPr>
              <w:t>Negotiation</w:t>
            </w:r>
          </w:p>
        </w:tc>
        <w:tc>
          <w:tcPr>
            <w:tcW w:type="dxa" w:w="3960"/>
            <w:vAlign w:val="center"/>
            <w:tcMar>
              <w:top w:w="90" w:type="dxa"/>
              <w:start w:w="120" w:type="dxa"/>
              <w:bottom w:w="90" w:type="dxa"/>
              <w:end w:w="120" w:type="dxa"/>
            </w:tcMar>
          </w:tcPr>
          <w:p>
            <w:pPr>
              <w:spacing w:after="0"/>
            </w:pPr>
            <w:r>
              <w:rPr>
                <w:rFonts w:ascii="Aptos" w:hAnsi="Aptos"/>
                <w:color w:val="17212B"/>
                <w:sz w:val="16"/>
              </w:rPr>
              <w:t>counter floor, rounds, expiry</w:t>
            </w:r>
          </w:p>
        </w:tc>
        <w:tc>
          <w:tcPr>
            <w:tcW w:type="dxa" w:w="3888"/>
            <w:vAlign w:val="center"/>
            <w:tcMar>
              <w:top w:w="90" w:type="dxa"/>
              <w:start w:w="120" w:type="dxa"/>
              <w:bottom w:w="90" w:type="dxa"/>
              <w:end w:w="120" w:type="dxa"/>
            </w:tcMar>
          </w:tcPr>
          <w:p>
            <w:pPr>
              <w:spacing w:after="0"/>
            </w:pPr>
            <w:r>
              <w:rPr>
                <w:rFonts w:ascii="Aptos" w:hAnsi="Aptos"/>
                <w:color w:val="17212B"/>
                <w:sz w:val="16"/>
              </w:rPr>
              <w:t>No unbounded bargaining or hidden term degradation</w:t>
            </w:r>
          </w:p>
        </w:tc>
      </w:tr>
      <w:tr>
        <w:trPr>
          <w:cantSplit/>
        </w:trPr>
        <w:tc>
          <w:tcPr>
            <w:tcW w:type="dxa" w:w="1512"/>
            <w:vAlign w:val="center"/>
            <w:tcMar>
              <w:top w:w="90" w:type="dxa"/>
              <w:start w:w="120" w:type="dxa"/>
              <w:bottom w:w="90" w:type="dxa"/>
              <w:end w:w="120" w:type="dxa"/>
            </w:tcMar>
            <w:shd w:fill="F8FAFB"/>
          </w:tcPr>
          <w:p>
            <w:pPr>
              <w:spacing w:after="0"/>
            </w:pPr>
            <w:r>
              <w:rPr>
                <w:rFonts w:ascii="Aptos" w:hAnsi="Aptos"/>
                <w:color w:val="17212B"/>
                <w:sz w:val="16"/>
              </w:rPr>
              <w:t>Compliance</w:t>
            </w:r>
          </w:p>
        </w:tc>
        <w:tc>
          <w:tcPr>
            <w:tcW w:type="dxa" w:w="3960"/>
            <w:vAlign w:val="center"/>
            <w:tcMar>
              <w:top w:w="90" w:type="dxa"/>
              <w:start w:w="120" w:type="dxa"/>
              <w:bottom w:w="90" w:type="dxa"/>
              <w:end w:w="120" w:type="dxa"/>
            </w:tcMar>
            <w:shd w:fill="F8FAFB"/>
          </w:tcPr>
          <w:p>
            <w:pPr>
              <w:spacing w:after="0"/>
            </w:pPr>
            <w:r>
              <w:rPr>
                <w:rFonts w:ascii="Aptos" w:hAnsi="Aptos"/>
                <w:color w:val="17212B"/>
                <w:sz w:val="16"/>
              </w:rPr>
              <w:t>currency, fee transparency, prohibited claims</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6"/>
              </w:rPr>
              <w:t>Offer rejected or corrected before dispatch</w:t>
            </w:r>
          </w:p>
        </w:tc>
      </w:tr>
    </w:tbl>
    <w:p>
      <w:pPr>
        <w:spacing w:after="20"/>
      </w:pPr>
    </w:p>
    <w:p>
      <w:pPr>
        <w:pStyle w:val="Heading2"/>
      </w:pPr>
      <w:r>
        <w:t>6.3 Privacy firewall algorithm</w:t>
      </w:r>
    </w:p>
    <w:p>
      <w:pPr>
        <w:pStyle w:val="ListNumber"/>
      </w:pPr>
      <w:r>
        <w:t>Start from the confirmed Requirement, never raw source content.</w:t>
      </w:r>
    </w:p>
    <w:p>
      <w:pPr>
        <w:pStyle w:val="ListNumber"/>
      </w:pPr>
      <w:r>
        <w:t>Select fields permitted by the domain disclosure profile.</w:t>
      </w:r>
    </w:p>
    <w:p>
      <w:pPr>
        <w:pStyle w:val="ListNumber"/>
      </w:pPr>
      <w:r>
        <w:t>Apply purpose and supplier-capability filtering; omit fields not needed to quote. Never include preferences, preference history, parent Intent, conversation, Plan, or sibling tasks.</w:t>
      </w:r>
    </w:p>
    <w:p>
      <w:pPr>
        <w:pStyle w:val="ListNumber"/>
      </w:pPr>
      <w:r>
        <w:t>Tokenize buyer and intent identifiers independently per supplier.</w:t>
      </w:r>
    </w:p>
    <w:p>
      <w:pPr>
        <w:pStyle w:val="ListNumber"/>
      </w:pPr>
      <w:r>
        <w:t>Run deterministic sensitive-field and free-text checks; free text is disallowed by default.</w:t>
      </w:r>
    </w:p>
    <w:p>
      <w:pPr>
        <w:pStyle w:val="ListNumber"/>
      </w:pPr>
      <w:r>
        <w:t>Generate a human-readable disclosure preview and machine payload hash.</w:t>
      </w:r>
    </w:p>
    <w:p>
      <w:pPr>
        <w:pStyle w:val="ListNumber"/>
      </w:pPr>
      <w:r>
        <w:t>Bind approval to the hash, version, recipients/count, purpose, and expiry.</w:t>
      </w:r>
    </w:p>
    <w:p>
      <w:pPr>
        <w:pStyle w:val="ListNumber"/>
      </w:pPr>
      <w:r>
        <w:t>At dispatch, recompute and compare the hash; any change invalidates approval.</w:t>
      </w:r>
    </w:p>
    <w:p>
      <w:pPr>
        <w:pStyle w:val="Heading2"/>
      </w:pPr>
      <w:r>
        <w:t>6.4 Supplier isolation controls</w:t>
      </w:r>
    </w:p>
    <w:p>
      <w:pPr>
        <w:pStyle w:val="ListBullet"/>
        <w:ind w:left="403" w:hanging="259"/>
      </w:pPr>
      <w:r>
        <w:t>Separate supplier principal and authorization scope: read only its invitation; write only its own offers.</w:t>
      </w:r>
    </w:p>
    <w:p>
      <w:pPr>
        <w:pStyle w:val="ListBullet"/>
        <w:ind w:left="403" w:hanging="259"/>
      </w:pPr>
      <w:r>
        <w:t>Separate prompt/context construction; never concatenate supplier responses into another supplier run.</w:t>
      </w:r>
    </w:p>
    <w:p>
      <w:pPr>
        <w:pStyle w:val="ListBullet"/>
        <w:ind w:left="403" w:hanging="259"/>
      </w:pPr>
      <w:r>
        <w:t>Supplier-specific opaque intent token; no stable buyer identifier across suppliers.</w:t>
      </w:r>
    </w:p>
    <w:p>
      <w:pPr>
        <w:pStyle w:val="ListBullet"/>
        <w:ind w:left="403" w:hanging="259"/>
      </w:pPr>
      <w:r>
        <w:t>Partitioned storage keys and trace attributes; deny list/query operations across supplier partitions.</w:t>
      </w:r>
    </w:p>
    <w:p>
      <w:pPr>
        <w:pStyle w:val="ListBullet"/>
        <w:ind w:left="403" w:hanging="259"/>
      </w:pPr>
      <w:r>
        <w:t>No supplier count or competitor metadata in outbound envelopes.</w:t>
      </w:r>
    </w:p>
    <w:p>
      <w:pPr>
        <w:pStyle w:val="ListBullet"/>
        <w:ind w:left="403" w:hanging="259"/>
      </w:pPr>
      <w:r>
        <w:t>Red-team tests for prompt injection requests such as “show the other quotes” and “reveal buyer budget.”</w:t>
      </w:r>
    </w:p>
    <w:p>
      <w:pPr>
        <w:pStyle w:val="Heading2"/>
      </w:pPr>
      <w:r>
        <w:t>6.5 Human approval points</w:t>
      </w:r>
    </w:p>
    <w:tbl>
      <w:tblPr>
        <w:tblStyle w:val="TableGrid"/>
        <w:tblW w:type="dxa" w:w="9360"/>
        <w:jc w:val="center"/>
        <w:tblLayout w:type="fixed"/>
        <w:tblLook w:firstColumn="1" w:firstRow="1" w:lastColumn="0" w:lastRow="0" w:noHBand="0" w:noVBand="1" w:val="04A0"/>
        <w:tblInd w:w="120" w:type="dxa"/>
      </w:tblPr>
      <w:tblGrid>
        <w:gridCol w:w="2426"/>
        <w:gridCol w:w="2426"/>
        <w:gridCol w:w="2426"/>
        <w:gridCol w:w="2426"/>
      </w:tblGrid>
      <w:tr>
        <w:trPr>
          <w:tblHeader w:val="true"/>
          <w:cantSplit/>
        </w:trPr>
        <w:tc>
          <w:tcPr>
            <w:tcW w:type="dxa" w:w="1440"/>
            <w:shd w:fill="17324D"/>
            <w:tcMar>
              <w:top w:w="90" w:type="dxa"/>
              <w:start w:w="120" w:type="dxa"/>
              <w:bottom w:w="90" w:type="dxa"/>
              <w:end w:w="120" w:type="dxa"/>
            </w:tcMar>
          </w:tcPr>
          <w:p>
            <w:pPr>
              <w:spacing w:after="0"/>
            </w:pPr>
            <w:r>
              <w:rPr>
                <w:rFonts w:ascii="Aptos" w:hAnsi="Aptos"/>
                <w:b/>
                <w:color w:val="FFFFFF"/>
                <w:sz w:val="15"/>
              </w:rPr>
              <w:t>Approval</w:t>
            </w:r>
          </w:p>
        </w:tc>
        <w:tc>
          <w:tcPr>
            <w:tcW w:type="dxa" w:w="2232"/>
            <w:shd w:fill="17324D"/>
            <w:tcMar>
              <w:top w:w="90" w:type="dxa"/>
              <w:start w:w="120" w:type="dxa"/>
              <w:bottom w:w="90" w:type="dxa"/>
              <w:end w:w="120" w:type="dxa"/>
            </w:tcMar>
          </w:tcPr>
          <w:p>
            <w:pPr>
              <w:spacing w:after="0"/>
            </w:pPr>
            <w:r>
              <w:rPr>
                <w:rFonts w:ascii="Aptos" w:hAnsi="Aptos"/>
                <w:b/>
                <w:color w:val="FFFFFF"/>
                <w:sz w:val="15"/>
              </w:rPr>
              <w:t>Why it is consequential</w:t>
            </w:r>
          </w:p>
        </w:tc>
        <w:tc>
          <w:tcPr>
            <w:tcW w:type="dxa" w:w="3456"/>
            <w:shd w:fill="17324D"/>
            <w:tcMar>
              <w:top w:w="90" w:type="dxa"/>
              <w:start w:w="120" w:type="dxa"/>
              <w:bottom w:w="90" w:type="dxa"/>
              <w:end w:w="120" w:type="dxa"/>
            </w:tcMar>
          </w:tcPr>
          <w:p>
            <w:pPr>
              <w:spacing w:after="0"/>
            </w:pPr>
            <w:r>
              <w:rPr>
                <w:rFonts w:ascii="Aptos" w:hAnsi="Aptos"/>
                <w:b/>
                <w:color w:val="FFFFFF"/>
                <w:sz w:val="15"/>
              </w:rPr>
              <w:t>Screen must show</w:t>
            </w:r>
          </w:p>
        </w:tc>
        <w:tc>
          <w:tcPr>
            <w:tcW w:type="dxa" w:w="2232"/>
            <w:shd w:fill="17324D"/>
            <w:tcMar>
              <w:top w:w="90" w:type="dxa"/>
              <w:start w:w="120" w:type="dxa"/>
              <w:bottom w:w="90" w:type="dxa"/>
              <w:end w:w="120" w:type="dxa"/>
            </w:tcMar>
          </w:tcPr>
          <w:p>
            <w:pPr>
              <w:spacing w:after="0"/>
            </w:pPr>
            <w:r>
              <w:rPr>
                <w:rFonts w:ascii="Aptos" w:hAnsi="Aptos"/>
                <w:b/>
                <w:color w:val="FFFFFF"/>
                <w:sz w:val="15"/>
              </w:rPr>
              <w:t>Invalidated by</w:t>
            </w:r>
          </w:p>
        </w:tc>
      </w:tr>
      <w:tr>
        <w:trPr>
          <w:cantSplit/>
        </w:trPr>
        <w:tc>
          <w:tcPr>
            <w:tcW w:type="dxa" w:w="1440"/>
            <w:vAlign w:val="center"/>
            <w:tcMar>
              <w:top w:w="90" w:type="dxa"/>
              <w:start w:w="120" w:type="dxa"/>
              <w:bottom w:w="90" w:type="dxa"/>
              <w:end w:w="120" w:type="dxa"/>
            </w:tcMar>
          </w:tcPr>
          <w:p>
            <w:pPr>
              <w:spacing w:after="0"/>
            </w:pPr>
            <w:r>
              <w:rPr>
                <w:rFonts w:ascii="Aptos" w:hAnsi="Aptos"/>
                <w:color w:val="17212B"/>
                <w:sz w:val="15"/>
              </w:rPr>
              <w:t>A1 Requirement confirmation</w:t>
            </w:r>
          </w:p>
        </w:tc>
        <w:tc>
          <w:tcPr>
            <w:tcW w:type="dxa" w:w="2232"/>
            <w:vAlign w:val="center"/>
            <w:tcMar>
              <w:top w:w="90" w:type="dxa"/>
              <w:start w:w="120" w:type="dxa"/>
              <w:bottom w:w="90" w:type="dxa"/>
              <w:end w:w="120" w:type="dxa"/>
            </w:tcMar>
          </w:tcPr>
          <w:p>
            <w:pPr>
              <w:spacing w:after="0"/>
            </w:pPr>
            <w:r>
              <w:rPr>
                <w:rFonts w:ascii="Aptos" w:hAnsi="Aptos"/>
                <w:color w:val="17212B"/>
                <w:sz w:val="15"/>
              </w:rPr>
              <w:t>Inference may be wrong</w:t>
            </w:r>
          </w:p>
        </w:tc>
        <w:tc>
          <w:tcPr>
            <w:tcW w:type="dxa" w:w="3456"/>
            <w:vAlign w:val="center"/>
            <w:tcMar>
              <w:top w:w="90" w:type="dxa"/>
              <w:start w:w="120" w:type="dxa"/>
              <w:bottom w:w="90" w:type="dxa"/>
              <w:end w:w="120" w:type="dxa"/>
            </w:tcMar>
          </w:tcPr>
          <w:p>
            <w:pPr>
              <w:spacing w:after="0"/>
            </w:pPr>
            <w:r>
              <w:rPr>
                <w:rFonts w:ascii="Aptos" w:hAnsi="Aptos"/>
                <w:color w:val="17212B"/>
                <w:sz w:val="15"/>
              </w:rPr>
              <w:t>Extracted fields, evidence, uncertainty</w:t>
            </w:r>
          </w:p>
        </w:tc>
        <w:tc>
          <w:tcPr>
            <w:tcW w:type="dxa" w:w="2232"/>
            <w:vAlign w:val="center"/>
            <w:tcMar>
              <w:top w:w="90" w:type="dxa"/>
              <w:start w:w="120" w:type="dxa"/>
              <w:bottom w:w="90" w:type="dxa"/>
              <w:end w:w="120" w:type="dxa"/>
            </w:tcMar>
          </w:tcPr>
          <w:p>
            <w:pPr>
              <w:spacing w:after="0"/>
            </w:pPr>
            <w:r>
              <w:rPr>
                <w:rFonts w:ascii="Aptos" w:hAnsi="Aptos"/>
                <w:color w:val="17212B"/>
                <w:sz w:val="15"/>
              </w:rPr>
              <w:t>Material requirement edit</w:t>
            </w:r>
          </w:p>
        </w:tc>
      </w:tr>
      <w:tr>
        <w:trPr>
          <w:cantSplit/>
        </w:trPr>
        <w:tc>
          <w:tcPr>
            <w:tcW w:type="dxa" w:w="1440"/>
            <w:vAlign w:val="center"/>
            <w:tcMar>
              <w:top w:w="90" w:type="dxa"/>
              <w:start w:w="120" w:type="dxa"/>
              <w:bottom w:w="90" w:type="dxa"/>
              <w:end w:w="120" w:type="dxa"/>
            </w:tcMar>
            <w:shd w:fill="F8FAFB"/>
          </w:tcPr>
          <w:p>
            <w:pPr>
              <w:spacing w:after="0"/>
            </w:pPr>
            <w:r>
              <w:rPr>
                <w:rFonts w:ascii="Aptos" w:hAnsi="Aptos"/>
                <w:color w:val="17212B"/>
                <w:sz w:val="15"/>
              </w:rPr>
              <w:t>A2 Purchase Intent dispatch</w:t>
            </w:r>
          </w:p>
        </w:tc>
        <w:tc>
          <w:tcPr>
            <w:tcW w:type="dxa" w:w="2232"/>
            <w:vAlign w:val="center"/>
            <w:tcMar>
              <w:top w:w="90" w:type="dxa"/>
              <w:start w:w="120" w:type="dxa"/>
              <w:bottom w:w="90" w:type="dxa"/>
              <w:end w:w="120" w:type="dxa"/>
            </w:tcMar>
            <w:shd w:fill="F8FAFB"/>
          </w:tcPr>
          <w:p>
            <w:pPr>
              <w:spacing w:after="0"/>
            </w:pPr>
            <w:r>
              <w:rPr>
                <w:rFonts w:ascii="Aptos" w:hAnsi="Aptos"/>
                <w:color w:val="17212B"/>
                <w:sz w:val="15"/>
              </w:rPr>
              <w:t>Data leaves buyer domain</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Exact disclosed/withheld fields; supplier count; expiry</w:t>
            </w:r>
          </w:p>
        </w:tc>
        <w:tc>
          <w:tcPr>
            <w:tcW w:type="dxa" w:w="2232"/>
            <w:vAlign w:val="center"/>
            <w:tcMar>
              <w:top w:w="90" w:type="dxa"/>
              <w:start w:w="120" w:type="dxa"/>
              <w:bottom w:w="90" w:type="dxa"/>
              <w:end w:w="120" w:type="dxa"/>
            </w:tcMar>
            <w:shd w:fill="F8FAFB"/>
          </w:tcPr>
          <w:p>
            <w:pPr>
              <w:spacing w:after="0"/>
            </w:pPr>
            <w:r>
              <w:rPr>
                <w:rFonts w:ascii="Aptos" w:hAnsi="Aptos"/>
                <w:color w:val="17212B"/>
                <w:sz w:val="15"/>
              </w:rPr>
              <w:t>Payload/recipient/purpose/version change</w:t>
            </w:r>
          </w:p>
        </w:tc>
      </w:tr>
      <w:tr>
        <w:trPr>
          <w:cantSplit/>
        </w:trPr>
        <w:tc>
          <w:tcPr>
            <w:tcW w:type="dxa" w:w="1440"/>
            <w:vAlign w:val="center"/>
            <w:tcMar>
              <w:top w:w="90" w:type="dxa"/>
              <w:start w:w="120" w:type="dxa"/>
              <w:bottom w:w="90" w:type="dxa"/>
              <w:end w:w="120" w:type="dxa"/>
            </w:tcMar>
          </w:tcPr>
          <w:p>
            <w:pPr>
              <w:spacing w:after="0"/>
            </w:pPr>
            <w:r>
              <w:rPr>
                <w:rFonts w:ascii="Aptos" w:hAnsi="Aptos"/>
                <w:color w:val="17212B"/>
                <w:sz w:val="15"/>
              </w:rPr>
              <w:t>A3 Offer acceptance</w:t>
            </w:r>
          </w:p>
        </w:tc>
        <w:tc>
          <w:tcPr>
            <w:tcW w:type="dxa" w:w="2232"/>
            <w:vAlign w:val="center"/>
            <w:tcMar>
              <w:top w:w="90" w:type="dxa"/>
              <w:start w:w="120" w:type="dxa"/>
              <w:bottom w:w="90" w:type="dxa"/>
              <w:end w:w="120" w:type="dxa"/>
            </w:tcMar>
          </w:tcPr>
          <w:p>
            <w:pPr>
              <w:spacing w:after="0"/>
            </w:pPr>
            <w:r>
              <w:rPr>
                <w:rFonts w:ascii="Aptos" w:hAnsi="Aptos"/>
                <w:color w:val="17212B"/>
                <w:sz w:val="15"/>
              </w:rPr>
              <w:t>Commercial terms selected</w:t>
            </w:r>
          </w:p>
        </w:tc>
        <w:tc>
          <w:tcPr>
            <w:tcW w:type="dxa" w:w="3456"/>
            <w:vAlign w:val="center"/>
            <w:tcMar>
              <w:top w:w="90" w:type="dxa"/>
              <w:start w:w="120" w:type="dxa"/>
              <w:bottom w:w="90" w:type="dxa"/>
              <w:end w:w="120" w:type="dxa"/>
            </w:tcMar>
          </w:tcPr>
          <w:p>
            <w:pPr>
              <w:spacing w:after="0"/>
            </w:pPr>
            <w:r>
              <w:rPr>
                <w:rFonts w:ascii="Aptos" w:hAnsi="Aptos"/>
                <w:color w:val="17212B"/>
                <w:sz w:val="15"/>
              </w:rPr>
              <w:t>Total price, terms, expiry, tradeoffs</w:t>
            </w:r>
          </w:p>
        </w:tc>
        <w:tc>
          <w:tcPr>
            <w:tcW w:type="dxa" w:w="2232"/>
            <w:vAlign w:val="center"/>
            <w:tcMar>
              <w:top w:w="90" w:type="dxa"/>
              <w:start w:w="120" w:type="dxa"/>
              <w:bottom w:w="90" w:type="dxa"/>
              <w:end w:w="120" w:type="dxa"/>
            </w:tcMar>
          </w:tcPr>
          <w:p>
            <w:pPr>
              <w:spacing w:after="0"/>
            </w:pPr>
            <w:r>
              <w:rPr>
                <w:rFonts w:ascii="Aptos" w:hAnsi="Aptos"/>
                <w:color w:val="17212B"/>
                <w:sz w:val="15"/>
              </w:rPr>
              <w:t>Offer expiry or material revision</w:t>
            </w:r>
          </w:p>
        </w:tc>
      </w:tr>
      <w:tr>
        <w:trPr>
          <w:cantSplit/>
        </w:trPr>
        <w:tc>
          <w:tcPr>
            <w:tcW w:type="dxa" w:w="1440"/>
            <w:vAlign w:val="center"/>
            <w:tcMar>
              <w:top w:w="90" w:type="dxa"/>
              <w:start w:w="120" w:type="dxa"/>
              <w:bottom w:w="90" w:type="dxa"/>
              <w:end w:w="120" w:type="dxa"/>
            </w:tcMar>
            <w:shd w:fill="F8FAFB"/>
          </w:tcPr>
          <w:p>
            <w:pPr>
              <w:spacing w:after="0"/>
            </w:pPr>
            <w:r>
              <w:rPr>
                <w:rFonts w:ascii="Aptos" w:hAnsi="Aptos"/>
                <w:color w:val="17212B"/>
                <w:sz w:val="15"/>
              </w:rPr>
              <w:t>A4 Transaction authorization</w:t>
            </w:r>
          </w:p>
        </w:tc>
        <w:tc>
          <w:tcPr>
            <w:tcW w:type="dxa" w:w="2232"/>
            <w:vAlign w:val="center"/>
            <w:tcMar>
              <w:top w:w="90" w:type="dxa"/>
              <w:start w:w="120" w:type="dxa"/>
              <w:bottom w:w="90" w:type="dxa"/>
              <w:end w:w="120" w:type="dxa"/>
            </w:tcMar>
            <w:shd w:fill="F8FAFB"/>
          </w:tcPr>
          <w:p>
            <w:pPr>
              <w:spacing w:after="0"/>
            </w:pPr>
            <w:r>
              <w:rPr>
                <w:rFonts w:ascii="Aptos" w:hAnsi="Aptos"/>
                <w:color w:val="17212B"/>
                <w:sz w:val="15"/>
              </w:rPr>
              <w:t>Would cause external effect</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Merchant, amount, currency, action, simulation/real status</w:t>
            </w:r>
          </w:p>
        </w:tc>
        <w:tc>
          <w:tcPr>
            <w:tcW w:type="dxa" w:w="2232"/>
            <w:vAlign w:val="center"/>
            <w:tcMar>
              <w:top w:w="90" w:type="dxa"/>
              <w:start w:w="120" w:type="dxa"/>
              <w:bottom w:w="90" w:type="dxa"/>
              <w:end w:w="120" w:type="dxa"/>
            </w:tcMar>
            <w:shd w:fill="F8FAFB"/>
          </w:tcPr>
          <w:p>
            <w:pPr>
              <w:spacing w:after="0"/>
            </w:pPr>
            <w:r>
              <w:rPr>
                <w:rFonts w:ascii="Aptos" w:hAnsi="Aptos"/>
                <w:color w:val="17212B"/>
                <w:sz w:val="15"/>
              </w:rPr>
              <w:t>Any term change, timeout, duplicate attempt</w:t>
            </w:r>
          </w:p>
        </w:tc>
      </w:tr>
    </w:tbl>
    <w:p>
      <w:pPr>
        <w:spacing w:after="20"/>
      </w:pPr>
    </w:p>
    <w:p>
      <w:r>
        <w:br w:type="page"/>
      </w:r>
    </w:p>
    <w:p>
      <w:pPr>
        <w:pStyle w:val="Heading1"/>
      </w:pPr>
      <w:r>
        <w:t>7. Canonical contracts and state machines</w:t>
      </w:r>
    </w:p>
    <w:p>
      <w:pPr>
        <w:pStyle w:val="Heading2"/>
      </w:pPr>
      <w:r>
        <w:t>7.1 Contract rules</w:t>
      </w:r>
    </w:p>
    <w:p>
      <w:r>
        <w:t>Canonical contracts are JSON Schema 2020-12 compatible, versioned with semantic schema identifiers, serialized in UTC ISO 8601, and validated at every boundary. Money uses integer minor units plus ISO 4217 currency. IDs are opaque UUID/ULID values. Unknown fields are rejected on write for signed/approved payloads.</w:t>
      </w:r>
    </w:p>
    <w:p>
      <w:pPr>
        <w:pStyle w:val="Heading2"/>
      </w:pPr>
      <w:r>
        <w:t>7.2 PurchaseIntent — task-level canonical shape</w:t>
      </w:r>
    </w:p>
    <w:p>
      <w:pPr>
        <w:pStyle w:val="CodeBlock"/>
        <w:shd w:fill="EEF3F6"/>
      </w:pPr>
      <w:r>
        <w:rPr>
          <w:rFonts w:ascii="Aptos Mono" w:hAnsi="Aptos Mono"/>
          <w:color w:val="17212B"/>
          <w:sz w:val="15"/>
        </w:rPr>
        <w:t>{</w:t>
        <w:br/>
        <w:t xml:space="preserve">  "schemaVersion":"1.0", "intentId":"pi_...", "buyerToken":"bs_...",</w:t>
        <w:br/>
        <w:t xml:space="preserve">  "category":"airport_parking", "location":{"airportCode":"JFK"},</w:t>
        <w:br/>
        <w:t xml:space="preserve">  "serviceWindow":{"start":"2026-09-03T13:00:00Z","end":"2026-09-08T22:00:00Z"},</w:t>
        <w:br/>
        <w:t xml:space="preserve">  "requirements":{"vehicleClass":"standard","covered":"preferred","shuttleMaxMinutes":20},</w:t>
        <w:br/>
        <w:t xml:space="preserve">  "constraints":{"currency":"USD","accessibility":[]},</w:t>
        <w:br/>
        <w:t xml:space="preserve">  "disclosure":{"profile":"parking_v1","approvedPayloadHash":"sha256:..."},</w:t>
        <w:br/>
        <w:t xml:space="preserve">  "solicitation":{"responseDeadline":"...","counteroffersAllowed":true},</w:t>
        <w:br/>
        <w:t xml:space="preserve">  "createdAt":"...", "expiresAt":"..."</w:t>
        <w:br/>
        <w:t>}</w:t>
      </w:r>
    </w:p>
    <w:p>
      <w:pPr>
        <w:pStyle w:val="Heading2"/>
      </w:pPr>
      <w:r>
        <w:t>7.3 Offer — canonical shape</w:t>
      </w:r>
    </w:p>
    <w:p>
      <w:pPr>
        <w:spacing w:after="240"/>
      </w:pPr>
      <w:r>
        <w:rPr>
          <w:rFonts w:ascii="Aptos" w:hAnsi="Aptos"/>
          <w:b/>
          <w:color w:val="1C8C84"/>
          <w:sz w:val="20"/>
        </w:rPr>
        <w:t>Aggregator rates, public market references, and direct private/curated supplier quotes normalize through one Offer boundary. Curated or private status does not automatically determine recommendation. Buyer-facing offers carry authoritative source/class, price/terms, version, provenance/evidence, completeness, and validity. Optional inventoryHeldUntil is present only when authoritative and is omitted in simulation.</w:t>
      </w:r>
    </w:p>
    <w:p>
      <w:pPr>
        <w:pStyle w:val="CodeBlock"/>
        <w:shd w:fill="EEF3F6"/>
      </w:pPr>
      <w:r>
        <w:rPr>
          <w:rFonts w:ascii="Aptos Mono" w:hAnsi="Aptos Mono"/>
          <w:color w:val="17212B"/>
          <w:sz w:val="15"/>
        </w:rPr>
        <w:t>{</w:t>
        <w:br/>
        <w:t xml:space="preserve">  "schemaVersion":"1.0", "offerId":"of_...", "intentId":"pi_...",</w:t>
        <w:br/>
        <w:t xml:space="preserve">  "supplierToken":"sp_...", "version":1, "status":"submitted",</w:t>
        <w:br/>
        <w:t xml:space="preserve">  "price":{"subtotalMinor":11900,"feesMinor":1800,"taxMinor":1100,</w:t>
        <w:br/>
        <w:t xml:space="preserve">           "totalMinor":13800,"currency":"USD"},</w:t>
        <w:br/>
        <w:t xml:space="preserve">  "service":{"lotType":"covered","shuttleMinutes":8,"distanceMiles":1.8,</w:t>
        <w:br/>
        <w:t xml:space="preserve">             "availability":"confirmed_simulated","addOns":["ev_charging"]},</w:t>
        <w:br/>
        <w:t xml:space="preserve">  "terms":{"cancellation":"free_until_24h","refund":"original_method"},</w:t>
        <w:br/>
        <w:t xml:space="preserve">  "validFrom":"...", "validUntil":"...",</w:t>
        <w:br/>
        <w:t xml:space="preserve">  "evidence":[{"type":"supplier_policy","ref":"policy:skyshield:v3"}],</w:t>
        <w:br/>
        <w:t xml:space="preserve">  "simulation":true, "signature":"..."</w:t>
        <w:br/>
        <w:t>}</w:t>
      </w:r>
    </w:p>
    <w:p>
      <w:pPr>
        <w:pStyle w:val="Heading2"/>
      </w:pPr>
      <w:r>
        <w:t>7.4 CounterOffer, Acceptance, Transaction Authorization</w:t>
      </w:r>
    </w:p>
    <w:p>
      <w:pPr>
        <w:pStyle w:val="CodeBlock"/>
        <w:shd w:fill="EEF3F6"/>
      </w:pPr>
      <w:r>
        <w:rPr>
          <w:rFonts w:ascii="Aptos Mono" w:hAnsi="Aptos Mono"/>
          <w:color w:val="17212B"/>
          <w:sz w:val="15"/>
        </w:rPr>
        <w:t>CounterOffer { counterOfferId, intentId, parentOfferId, proposedChanges[],</w:t>
        <w:br/>
        <w:t xml:space="preserve">  initiatedBy, rationaleCode?, createdAt, expiresAt, status, signature }</w:t>
        <w:br/>
        <w:br/>
        <w:t>Acceptance { acceptanceId, intentId, offerId, offerVersion, acceptedTermsHash,</w:t>
        <w:br/>
        <w:t xml:space="preserve">  buyerApprovalId, createdAt, expiresAt, status }</w:t>
        <w:br/>
        <w:br/>
        <w:t>TransactionAuthorization { authorizationId, acceptanceId, action:"reserve_parking",</w:t>
        <w:br/>
        <w:t xml:space="preserve">  amountMinor, currency, supplierToken, mode:"SIMULATED", idempotencyKey,</w:t>
        <w:br/>
        <w:t xml:space="preserve">  userApprovalId, authorizedAt, expiresAt, receiptSignature }</w:t>
      </w:r>
    </w:p>
    <w:p>
      <w:pPr>
        <w:pStyle w:val="Heading2"/>
      </w:pPr>
      <w:r>
        <w:t>7.5 Core entities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800"/>
            <w:shd w:fill="17324D"/>
            <w:tcMar>
              <w:top w:w="90" w:type="dxa"/>
              <w:start w:w="120" w:type="dxa"/>
              <w:bottom w:w="90" w:type="dxa"/>
              <w:end w:w="120" w:type="dxa"/>
            </w:tcMar>
          </w:tcPr>
          <w:p>
            <w:pPr>
              <w:spacing w:after="0"/>
            </w:pPr>
            <w:r>
              <w:rPr>
                <w:rFonts w:ascii="Aptos" w:hAnsi="Aptos"/>
                <w:b/>
                <w:color w:val="FFFFFF"/>
                <w:sz w:val="15"/>
              </w:rPr>
              <w:t>Entity</w:t>
            </w:r>
          </w:p>
        </w:tc>
        <w:tc>
          <w:tcPr>
            <w:tcW w:type="dxa" w:w="3528"/>
            <w:shd w:fill="17324D"/>
            <w:tcMar>
              <w:top w:w="90" w:type="dxa"/>
              <w:start w:w="120" w:type="dxa"/>
              <w:bottom w:w="90" w:type="dxa"/>
              <w:end w:w="120" w:type="dxa"/>
            </w:tcMar>
          </w:tcPr>
          <w:p>
            <w:pPr>
              <w:spacing w:after="0"/>
            </w:pPr>
            <w:r>
              <w:rPr>
                <w:rFonts w:ascii="Aptos" w:hAnsi="Aptos"/>
                <w:b/>
                <w:color w:val="FFFFFF"/>
                <w:sz w:val="15"/>
              </w:rPr>
              <w:t>Key relationships</w:t>
            </w:r>
          </w:p>
        </w:tc>
        <w:tc>
          <w:tcPr>
            <w:tcW w:type="dxa" w:w="4032"/>
            <w:shd w:fill="17324D"/>
            <w:tcMar>
              <w:top w:w="90" w:type="dxa"/>
              <w:start w:w="120" w:type="dxa"/>
              <w:bottom w:w="90" w:type="dxa"/>
              <w:end w:w="120" w:type="dxa"/>
            </w:tcMar>
          </w:tcPr>
          <w:p>
            <w:pPr>
              <w:spacing w:after="0"/>
            </w:pPr>
            <w:r>
              <w:rPr>
                <w:rFonts w:ascii="Aptos" w:hAnsi="Aptos"/>
                <w:b/>
                <w:color w:val="FFFFFF"/>
                <w:sz w:val="15"/>
              </w:rPr>
              <w:t>Ownership / retention</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Ingestion</w:t>
            </w:r>
          </w:p>
        </w:tc>
        <w:tc>
          <w:tcPr>
            <w:tcW w:type="dxa" w:w="3528"/>
            <w:vAlign w:val="center"/>
            <w:tcMar>
              <w:top w:w="90" w:type="dxa"/>
              <w:start w:w="120" w:type="dxa"/>
              <w:bottom w:w="90" w:type="dxa"/>
              <w:end w:w="120" w:type="dxa"/>
            </w:tcMar>
          </w:tcPr>
          <w:p>
            <w:pPr>
              <w:spacing w:after="0"/>
            </w:pPr>
            <w:r>
              <w:rPr>
                <w:rFonts w:ascii="Aptos" w:hAnsi="Aptos"/>
                <w:color w:val="17212B"/>
                <w:sz w:val="15"/>
              </w:rPr>
              <w:t>creates RequirementDraft; references Artifact</w:t>
            </w:r>
          </w:p>
        </w:tc>
        <w:tc>
          <w:tcPr>
            <w:tcW w:type="dxa" w:w="4032"/>
            <w:vAlign w:val="center"/>
            <w:tcMar>
              <w:top w:w="90" w:type="dxa"/>
              <w:start w:w="120" w:type="dxa"/>
              <w:bottom w:w="90" w:type="dxa"/>
              <w:end w:w="120" w:type="dxa"/>
            </w:tcMar>
          </w:tcPr>
          <w:p>
            <w:pPr>
              <w:spacing w:after="0"/>
            </w:pPr>
            <w:r>
              <w:rPr>
                <w:rFonts w:ascii="Aptos" w:hAnsi="Aptos"/>
                <w:color w:val="17212B"/>
                <w:sz w:val="15"/>
              </w:rPr>
              <w:t>Buyer domain; raw artifact short-lived by default</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Requirement</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versions into PurchaseIntent</w:t>
            </w:r>
          </w:p>
        </w:tc>
        <w:tc>
          <w:tcPr>
            <w:tcW w:type="dxa" w:w="4032"/>
            <w:vAlign w:val="center"/>
            <w:tcMar>
              <w:top w:w="90" w:type="dxa"/>
              <w:start w:w="120" w:type="dxa"/>
              <w:bottom w:w="90" w:type="dxa"/>
              <w:end w:w="120" w:type="dxa"/>
            </w:tcMar>
            <w:shd w:fill="F8FAFB"/>
          </w:tcPr>
          <w:p>
            <w:pPr>
              <w:spacing w:after="0"/>
            </w:pPr>
            <w:r>
              <w:rPr>
                <w:rFonts w:ascii="Aptos" w:hAnsi="Aptos"/>
                <w:color w:val="17212B"/>
                <w:sz w:val="15"/>
              </w:rPr>
              <w:t>Buyer domain; user-editable</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PreferenceEvidence</w:t>
            </w:r>
          </w:p>
        </w:tc>
        <w:tc>
          <w:tcPr>
            <w:tcW w:type="dxa" w:w="3528"/>
            <w:vAlign w:val="center"/>
            <w:tcMar>
              <w:top w:w="90" w:type="dxa"/>
              <w:start w:w="120" w:type="dxa"/>
              <w:bottom w:w="90" w:type="dxa"/>
              <w:end w:w="120" w:type="dxa"/>
            </w:tcMar>
          </w:tcPr>
          <w:p>
            <w:pPr>
              <w:spacing w:after="0"/>
            </w:pPr>
            <w:r>
              <w:rPr>
                <w:rFonts w:ascii="Aptos" w:hAnsi="Aptos"/>
                <w:color w:val="17212B"/>
                <w:sz w:val="15"/>
              </w:rPr>
              <w:t>supports PreferenceAssertion</w:t>
            </w:r>
          </w:p>
        </w:tc>
        <w:tc>
          <w:tcPr>
            <w:tcW w:type="dxa" w:w="4032"/>
            <w:vAlign w:val="center"/>
            <w:tcMar>
              <w:top w:w="90" w:type="dxa"/>
              <w:start w:w="120" w:type="dxa"/>
              <w:bottom w:w="90" w:type="dxa"/>
              <w:end w:w="120" w:type="dxa"/>
            </w:tcMar>
          </w:tcPr>
          <w:p>
            <w:pPr>
              <w:spacing w:after="0"/>
            </w:pPr>
            <w:r>
              <w:rPr>
                <w:rFonts w:ascii="Aptos" w:hAnsi="Aptos"/>
                <w:color w:val="17212B"/>
                <w:sz w:val="15"/>
              </w:rPr>
              <w:t>Buyer domain; deletable/decaying</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ResearchFact</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belongs to ResearchRun; cites Source</w:t>
            </w:r>
          </w:p>
        </w:tc>
        <w:tc>
          <w:tcPr>
            <w:tcW w:type="dxa" w:w="4032"/>
            <w:vAlign w:val="center"/>
            <w:tcMar>
              <w:top w:w="90" w:type="dxa"/>
              <w:start w:w="120" w:type="dxa"/>
              <w:bottom w:w="90" w:type="dxa"/>
              <w:end w:w="120" w:type="dxa"/>
            </w:tcMar>
            <w:shd w:fill="F8FAFB"/>
          </w:tcPr>
          <w:p>
            <w:pPr>
              <w:spacing w:after="0"/>
            </w:pPr>
            <w:r>
              <w:rPr>
                <w:rFonts w:ascii="Aptos" w:hAnsi="Aptos"/>
                <w:color w:val="17212B"/>
                <w:sz w:val="15"/>
              </w:rPr>
              <w:t>Buyer domain; time-bounded cache</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PurchaseIntent</w:t>
            </w:r>
          </w:p>
        </w:tc>
        <w:tc>
          <w:tcPr>
            <w:tcW w:type="dxa" w:w="3528"/>
            <w:vAlign w:val="center"/>
            <w:tcMar>
              <w:top w:w="90" w:type="dxa"/>
              <w:start w:w="120" w:type="dxa"/>
              <w:bottom w:w="90" w:type="dxa"/>
              <w:end w:w="120" w:type="dxa"/>
            </w:tcMar>
          </w:tcPr>
          <w:p>
            <w:pPr>
              <w:spacing w:after="0"/>
            </w:pPr>
            <w:r>
              <w:rPr>
                <w:rFonts w:ascii="Aptos" w:hAnsi="Aptos"/>
                <w:color w:val="17212B"/>
                <w:sz w:val="15"/>
              </w:rPr>
              <w:t>approved DisclosureSnapshot; invitations</w:t>
            </w:r>
          </w:p>
        </w:tc>
        <w:tc>
          <w:tcPr>
            <w:tcW w:type="dxa" w:w="4032"/>
            <w:vAlign w:val="center"/>
            <w:tcMar>
              <w:top w:w="90" w:type="dxa"/>
              <w:start w:w="120" w:type="dxa"/>
              <w:bottom w:w="90" w:type="dxa"/>
              <w:end w:w="120" w:type="dxa"/>
            </w:tcMar>
          </w:tcPr>
          <w:p>
            <w:pPr>
              <w:spacing w:after="0"/>
            </w:pPr>
            <w:r>
              <w:rPr>
                <w:rFonts w:ascii="Aptos" w:hAnsi="Aptos"/>
                <w:color w:val="17212B"/>
                <w:sz w:val="15"/>
              </w:rPr>
              <w:t>Exchange receives minimized copy</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SupplierInvitation</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one supplier + one intent envelope</w:t>
            </w:r>
          </w:p>
        </w:tc>
        <w:tc>
          <w:tcPr>
            <w:tcW w:type="dxa" w:w="4032"/>
            <w:vAlign w:val="center"/>
            <w:tcMar>
              <w:top w:w="90" w:type="dxa"/>
              <w:start w:w="120" w:type="dxa"/>
              <w:bottom w:w="90" w:type="dxa"/>
              <w:end w:w="120" w:type="dxa"/>
            </w:tcMar>
            <w:shd w:fill="F8FAFB"/>
          </w:tcPr>
          <w:p>
            <w:pPr>
              <w:spacing w:after="0"/>
            </w:pPr>
            <w:r>
              <w:rPr>
                <w:rFonts w:ascii="Aptos" w:hAnsi="Aptos"/>
                <w:color w:val="17212B"/>
                <w:sz w:val="15"/>
              </w:rPr>
              <w:t>Exchange partitioned by supplier</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Offer</w:t>
            </w:r>
          </w:p>
        </w:tc>
        <w:tc>
          <w:tcPr>
            <w:tcW w:type="dxa" w:w="3528"/>
            <w:vAlign w:val="center"/>
            <w:tcMar>
              <w:top w:w="90" w:type="dxa"/>
              <w:start w:w="120" w:type="dxa"/>
              <w:bottom w:w="90" w:type="dxa"/>
              <w:end w:w="120" w:type="dxa"/>
            </w:tcMar>
          </w:tcPr>
          <w:p>
            <w:pPr>
              <w:spacing w:after="0"/>
            </w:pPr>
            <w:r>
              <w:rPr>
                <w:rFonts w:ascii="Aptos" w:hAnsi="Aptos"/>
                <w:color w:val="17212B"/>
                <w:sz w:val="15"/>
              </w:rPr>
              <w:t>supplier + intent; versions and evidence</w:t>
            </w:r>
          </w:p>
        </w:tc>
        <w:tc>
          <w:tcPr>
            <w:tcW w:type="dxa" w:w="4032"/>
            <w:vAlign w:val="center"/>
            <w:tcMar>
              <w:top w:w="90" w:type="dxa"/>
              <w:start w:w="120" w:type="dxa"/>
              <w:bottom w:w="90" w:type="dxa"/>
              <w:end w:w="120" w:type="dxa"/>
            </w:tcMar>
          </w:tcPr>
          <w:p>
            <w:pPr>
              <w:spacing w:after="0"/>
            </w:pPr>
            <w:r>
              <w:rPr>
                <w:rFonts w:ascii="Aptos" w:hAnsi="Aptos"/>
                <w:color w:val="17212B"/>
                <w:sz w:val="15"/>
              </w:rPr>
              <w:t>Supplier partition; buyer receives normalized copy</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RankingRun</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offer set + weights + algorithm version</w:t>
            </w:r>
          </w:p>
        </w:tc>
        <w:tc>
          <w:tcPr>
            <w:tcW w:type="dxa" w:w="4032"/>
            <w:vAlign w:val="center"/>
            <w:tcMar>
              <w:top w:w="90" w:type="dxa"/>
              <w:start w:w="120" w:type="dxa"/>
              <w:bottom w:w="90" w:type="dxa"/>
              <w:end w:w="120" w:type="dxa"/>
            </w:tcMar>
            <w:shd w:fill="F8FAFB"/>
          </w:tcPr>
          <w:p>
            <w:pPr>
              <w:spacing w:after="0"/>
            </w:pPr>
            <w:r>
              <w:rPr>
                <w:rFonts w:ascii="Aptos" w:hAnsi="Aptos"/>
                <w:color w:val="17212B"/>
                <w:sz w:val="15"/>
              </w:rPr>
              <w:t>Buyer domain; immutable audit input</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Approval</w:t>
            </w:r>
          </w:p>
        </w:tc>
        <w:tc>
          <w:tcPr>
            <w:tcW w:type="dxa" w:w="3528"/>
            <w:vAlign w:val="center"/>
            <w:tcMar>
              <w:top w:w="90" w:type="dxa"/>
              <w:start w:w="120" w:type="dxa"/>
              <w:bottom w:w="90" w:type="dxa"/>
              <w:end w:w="120" w:type="dxa"/>
            </w:tcMar>
          </w:tcPr>
          <w:p>
            <w:pPr>
              <w:spacing w:after="0"/>
            </w:pPr>
            <w:r>
              <w:rPr>
                <w:rFonts w:ascii="Aptos" w:hAnsi="Aptos"/>
                <w:color w:val="17212B"/>
                <w:sz w:val="15"/>
              </w:rPr>
              <w:t>actor + payload hash + scope + expiry</w:t>
            </w:r>
          </w:p>
        </w:tc>
        <w:tc>
          <w:tcPr>
            <w:tcW w:type="dxa" w:w="4032"/>
            <w:vAlign w:val="center"/>
            <w:tcMar>
              <w:top w:w="90" w:type="dxa"/>
              <w:start w:w="120" w:type="dxa"/>
              <w:bottom w:w="90" w:type="dxa"/>
              <w:end w:w="120" w:type="dxa"/>
            </w:tcMar>
          </w:tcPr>
          <w:p>
            <w:pPr>
              <w:spacing w:after="0"/>
            </w:pPr>
            <w:r>
              <w:rPr>
                <w:rFonts w:ascii="Aptos" w:hAnsi="Aptos"/>
                <w:color w:val="17212B"/>
                <w:sz w:val="15"/>
              </w:rPr>
              <w:t>Append-only audit store</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AuthorizationReceipt</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acceptance + idempotency result</w:t>
            </w:r>
          </w:p>
        </w:tc>
        <w:tc>
          <w:tcPr>
            <w:tcW w:type="dxa" w:w="4032"/>
            <w:vAlign w:val="center"/>
            <w:tcMar>
              <w:top w:w="90" w:type="dxa"/>
              <w:start w:w="120" w:type="dxa"/>
              <w:bottom w:w="90" w:type="dxa"/>
              <w:end w:w="120" w:type="dxa"/>
            </w:tcMar>
            <w:shd w:fill="F8FAFB"/>
          </w:tcPr>
          <w:p>
            <w:pPr>
              <w:spacing w:after="0"/>
            </w:pPr>
            <w:r>
              <w:rPr>
                <w:rFonts w:ascii="Aptos" w:hAnsi="Aptos"/>
                <w:color w:val="17212B"/>
                <w:sz w:val="15"/>
              </w:rPr>
              <w:t>Append-only; SIMULATED in MVP</w:t>
            </w:r>
          </w:p>
        </w:tc>
      </w:tr>
    </w:tbl>
    <w:p>
      <w:pPr>
        <w:spacing w:after="20"/>
      </w:pPr>
    </w:p>
    <w:p>
      <w:pPr>
        <w:pStyle w:val="Heading2"/>
      </w:pPr>
      <w:r>
        <w:t>7.6 State machines</w:t>
      </w:r>
    </w:p>
    <w:p>
      <w:pPr>
        <w:pStyle w:val="CodeBlock"/>
        <w:shd w:fill="EEF3F6"/>
      </w:pPr>
      <w:r>
        <w:rPr>
          <w:rFonts w:ascii="Aptos Mono" w:hAnsi="Aptos Mono"/>
          <w:color w:val="17212B"/>
          <w:sz w:val="15"/>
        </w:rPr>
        <w:t>PurchaseIntent</w:t>
        <w:br/>
        <w:t>DRAFT → CONFIRMED → DISCLOSURE_PREVIEWED → APPROVED → DISPATCHED</w:t>
        <w:br/>
        <w:t xml:space="preserve">      ↘ CANCELLED     APPROVED → EXPIRED     DISPATCHED → CLOSED</w:t>
        <w:br/>
        <w:br/>
        <w:t>Offer</w:t>
        <w:br/>
        <w:t>INVITED → DRAFT → SUBMITTED → VALIDATED → ELIGIBLE → RECOMMENDED</w:t>
        <w:br/>
        <w:t xml:space="preserve">                    ↘ REJECTED    ↘ EXPIRED     ↘ ACCEPTED / DECLINED</w:t>
        <w:br/>
        <w:t>SUBMITTED ↔ COUNTERED  (one round in v1)</w:t>
        <w:br/>
        <w:br/>
        <w:t>Transaction</w:t>
        <w:br/>
        <w:t>NOT_REQUESTED → ACCEPTANCE_PENDING → APPROVAL_REQUIRED → AUTHORIZED_SIMULATED</w:t>
        <w:br/>
        <w:t xml:space="preserve">                                      ↘ DECLINED / EXPIRED / FAILED</w:t>
      </w:r>
    </w:p>
    <w:p>
      <w:r>
        <w:t>Every transition requires: current-state check, actor authorization, invariant validation, idempotency key where applicable, timestamp, reason/event, and audit append. Invalid transitions return 409 with the current state and permitted actions.</w:t>
      </w:r>
    </w:p>
    <w:p>
      <w:pPr>
        <w:pStyle w:val="Heading2"/>
      </w:pPr>
      <w:r>
        <w:t>7.7 Intent, Booking Task, and Cost Ledger (v1.1)</w:t>
      </w:r>
    </w:p>
    <w:p>
      <w:pPr>
        <w:spacing w:after="240"/>
      </w:pPr>
      <w:r>
        <w:rPr>
          <w:rFonts w:ascii="Aptos" w:hAnsi="Aptos"/>
          <w:b/>
          <w:color w:val="1C8C84"/>
          <w:sz w:val="20"/>
        </w:rPr>
        <w:t>Intent states include draft, clarifying, planning, deleted (pre-A2), attention, in_progress, offers_ready, partially_authorized_simulated, partially_authorized_live, partially_booked, completed_simulated, completed, paused, cancelled, and failed. Booking Task states include proposed, missing_details, a1_review, a1_blocked, public_research, a2_required, researching, supplier_timeout, no_offer, offers_ready, offers_expiring, offers_expired, superseded, a3_review, a3_ineligible, a4_required, a4_failed, authorized_simulated, authorized_live, booking_pending, confirmed_booking, booking_failed, paused, cancelled, failed, and offline_readonly. Material change on task T invalidates only T’s affected A2/offers/A3/A4.</w:t>
      </w:r>
    </w:p>
    <w:p>
      <w:pPr>
        <w:pStyle w:val="CodeBlock"/>
        <w:shd w:fill="EEF3F6"/>
      </w:pPr>
      <w:r>
        <w:rPr>
          <w:rFonts w:ascii="Aptos Mono" w:hAnsi="Aptos Mono"/>
          <w:color w:val="17212B"/>
          <w:sz w:val="15"/>
        </w:rPr>
        <w:t>Simulation: a4_required → authorized_simulated</w:t>
        <w:br/>
      </w:r>
      <w:r>
        <w:t>Live/future: a4_required → authorized_live → booking_pending → confirmed_booking | booking_failed</w:t>
      </w:r>
    </w:p>
    <w:p>
      <w:pPr>
        <w:spacing w:after="240"/>
      </w:pPr>
      <w:r>
        <w:rPr>
          <w:rFonts w:ascii="Aptos" w:hAnsi="Aptos"/>
          <w:b/>
          <w:color w:val="1C8C84"/>
          <w:sz w:val="20"/>
        </w:rPr>
        <w:t>Validity (valid / expiring / expired / superseded), inventory (not_held / subject_to_availability / held_until), and transaction result are separate axes. Simulation inventory is always not_held. Never infer a hold from validUntil.</w:t>
      </w:r>
    </w:p>
    <w:p>
      <w:pPr>
        <w:pStyle w:val="Heading1"/>
      </w:pPr>
      <w:r>
        <w:t>8. Agent boundaries and provider abstraction</w:t>
      </w:r>
    </w:p>
    <w:p>
      <w:pPr>
        <w:pStyle w:val="Heading2"/>
      </w:pPr>
      <w:r>
        <w:t>8.1 Agents and deterministic services</w:t>
      </w:r>
    </w:p>
    <w:tbl>
      <w:tblPr>
        <w:tblStyle w:val="TableGrid"/>
        <w:tblW w:type="dxa" w:w="9360"/>
        <w:jc w:val="center"/>
        <w:tblLayout w:type="fixed"/>
        <w:tblLook w:firstColumn="1" w:firstRow="1" w:lastColumn="0" w:lastRow="0" w:noHBand="0" w:noVBand="1" w:val="04A0"/>
        <w:tblInd w:w="120" w:type="dxa"/>
      </w:tblPr>
      <w:tblGrid>
        <w:gridCol w:w="2426"/>
        <w:gridCol w:w="2426"/>
        <w:gridCol w:w="2426"/>
        <w:gridCol w:w="2426"/>
      </w:tblGrid>
      <w:tr>
        <w:trPr>
          <w:tblHeader w:val="true"/>
          <w:cantSplit/>
        </w:trPr>
        <w:tc>
          <w:tcPr>
            <w:tcW w:type="dxa" w:w="1800"/>
            <w:shd w:fill="17324D"/>
            <w:tcMar>
              <w:top w:w="90" w:type="dxa"/>
              <w:start w:w="120" w:type="dxa"/>
              <w:bottom w:w="90" w:type="dxa"/>
              <w:end w:w="120" w:type="dxa"/>
            </w:tcMar>
          </w:tcPr>
          <w:p>
            <w:pPr>
              <w:spacing w:after="0"/>
            </w:pPr>
            <w:r>
              <w:rPr>
                <w:rFonts w:ascii="Aptos" w:hAnsi="Aptos"/>
                <w:b/>
                <w:color w:val="FFFFFF"/>
                <w:sz w:val="15"/>
              </w:rPr>
              <w:t>Component</w:t>
            </w:r>
          </w:p>
        </w:tc>
        <w:tc>
          <w:tcPr>
            <w:tcW w:type="dxa" w:w="2520"/>
            <w:shd w:fill="17324D"/>
            <w:tcMar>
              <w:top w:w="90" w:type="dxa"/>
              <w:start w:w="120" w:type="dxa"/>
              <w:bottom w:w="90" w:type="dxa"/>
              <w:end w:w="120" w:type="dxa"/>
            </w:tcMar>
          </w:tcPr>
          <w:p>
            <w:pPr>
              <w:spacing w:after="0"/>
            </w:pPr>
            <w:r>
              <w:rPr>
                <w:rFonts w:ascii="Aptos" w:hAnsi="Aptos"/>
                <w:b/>
                <w:color w:val="FFFFFF"/>
                <w:sz w:val="15"/>
              </w:rPr>
              <w:t>Responsibility</w:t>
            </w:r>
          </w:p>
        </w:tc>
        <w:tc>
          <w:tcPr>
            <w:tcW w:type="dxa" w:w="2376"/>
            <w:shd w:fill="17324D"/>
            <w:tcMar>
              <w:top w:w="90" w:type="dxa"/>
              <w:start w:w="120" w:type="dxa"/>
              <w:bottom w:w="90" w:type="dxa"/>
              <w:end w:w="120" w:type="dxa"/>
            </w:tcMar>
          </w:tcPr>
          <w:p>
            <w:pPr>
              <w:spacing w:after="0"/>
            </w:pPr>
            <w:r>
              <w:rPr>
                <w:rFonts w:ascii="Aptos" w:hAnsi="Aptos"/>
                <w:b/>
                <w:color w:val="FFFFFF"/>
                <w:sz w:val="15"/>
              </w:rPr>
              <w:t>Allowed inputs</w:t>
            </w:r>
          </w:p>
        </w:tc>
        <w:tc>
          <w:tcPr>
            <w:tcW w:type="dxa" w:w="2664"/>
            <w:shd w:fill="17324D"/>
            <w:tcMar>
              <w:top w:w="90" w:type="dxa"/>
              <w:start w:w="120" w:type="dxa"/>
              <w:bottom w:w="90" w:type="dxa"/>
              <w:end w:w="120" w:type="dxa"/>
            </w:tcMar>
          </w:tcPr>
          <w:p>
            <w:pPr>
              <w:spacing w:after="0"/>
            </w:pPr>
            <w:r>
              <w:rPr>
                <w:rFonts w:ascii="Aptos" w:hAnsi="Aptos"/>
                <w:b/>
                <w:color w:val="FFFFFF"/>
                <w:sz w:val="15"/>
              </w:rPr>
              <w:t>Forbidden behavior</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Intent Interpreter</w:t>
            </w:r>
          </w:p>
        </w:tc>
        <w:tc>
          <w:tcPr>
            <w:tcW w:type="dxa" w:w="2520"/>
            <w:vAlign w:val="center"/>
            <w:tcMar>
              <w:top w:w="90" w:type="dxa"/>
              <w:start w:w="120" w:type="dxa"/>
              <w:bottom w:w="90" w:type="dxa"/>
              <w:end w:w="120" w:type="dxa"/>
            </w:tcMar>
          </w:tcPr>
          <w:p>
            <w:pPr>
              <w:spacing w:after="0"/>
            </w:pPr>
            <w:r>
              <w:rPr>
                <w:rFonts w:ascii="Aptos" w:hAnsi="Aptos"/>
                <w:color w:val="17212B"/>
                <w:sz w:val="15"/>
              </w:rPr>
              <w:t>Extract candidate requirements and uncertainty</w:t>
            </w:r>
          </w:p>
        </w:tc>
        <w:tc>
          <w:tcPr>
            <w:tcW w:type="dxa" w:w="2376"/>
            <w:vAlign w:val="center"/>
            <w:tcMar>
              <w:top w:w="90" w:type="dxa"/>
              <w:start w:w="120" w:type="dxa"/>
              <w:bottom w:w="90" w:type="dxa"/>
              <w:end w:w="120" w:type="dxa"/>
            </w:tcMar>
          </w:tcPr>
          <w:p>
            <w:pPr>
              <w:spacing w:after="0"/>
            </w:pPr>
            <w:r>
              <w:rPr>
                <w:rFonts w:ascii="Aptos" w:hAnsi="Aptos"/>
                <w:color w:val="17212B"/>
                <w:sz w:val="15"/>
              </w:rPr>
              <w:t>User-shared artifact, domain extraction schema</w:t>
            </w:r>
          </w:p>
        </w:tc>
        <w:tc>
          <w:tcPr>
            <w:tcW w:type="dxa" w:w="2664"/>
            <w:vAlign w:val="center"/>
            <w:tcMar>
              <w:top w:w="90" w:type="dxa"/>
              <w:start w:w="120" w:type="dxa"/>
              <w:bottom w:w="90" w:type="dxa"/>
              <w:end w:w="120" w:type="dxa"/>
            </w:tcMar>
          </w:tcPr>
          <w:p>
            <w:pPr>
              <w:spacing w:after="0"/>
            </w:pPr>
            <w:r>
              <w:rPr>
                <w:rFonts w:ascii="Aptos" w:hAnsi="Aptos"/>
                <w:color w:val="17212B"/>
                <w:sz w:val="15"/>
              </w:rPr>
              <w:t>Supplier contact; policy changes</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Clarification Planner</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5"/>
              </w:rPr>
              <w:t>Select smallest set of blocking questions</w:t>
            </w:r>
          </w:p>
        </w:tc>
        <w:tc>
          <w:tcPr>
            <w:tcW w:type="dxa" w:w="2376"/>
            <w:vAlign w:val="center"/>
            <w:tcMar>
              <w:top w:w="90" w:type="dxa"/>
              <w:start w:w="120" w:type="dxa"/>
              <w:bottom w:w="90" w:type="dxa"/>
              <w:end w:w="120" w:type="dxa"/>
            </w:tcMar>
            <w:shd w:fill="F8FAFB"/>
          </w:tcPr>
          <w:p>
            <w:pPr>
              <w:spacing w:after="0"/>
            </w:pPr>
            <w:r>
              <w:rPr>
                <w:rFonts w:ascii="Aptos" w:hAnsi="Aptos"/>
                <w:color w:val="17212B"/>
                <w:sz w:val="15"/>
              </w:rPr>
              <w:t>Requirement draft, confidence thresholds</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Request optional sensitive data</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Market Research Agent</w:t>
            </w:r>
          </w:p>
        </w:tc>
        <w:tc>
          <w:tcPr>
            <w:tcW w:type="dxa" w:w="2520"/>
            <w:vAlign w:val="center"/>
            <w:tcMar>
              <w:top w:w="90" w:type="dxa"/>
              <w:start w:w="120" w:type="dxa"/>
              <w:bottom w:w="90" w:type="dxa"/>
              <w:end w:w="120" w:type="dxa"/>
            </w:tcMar>
          </w:tcPr>
          <w:p>
            <w:pPr>
              <w:spacing w:after="0"/>
            </w:pPr>
            <w:r>
              <w:rPr>
                <w:rFonts w:ascii="Aptos" w:hAnsi="Aptos"/>
                <w:color w:val="17212B"/>
                <w:sz w:val="15"/>
              </w:rPr>
              <w:t>Plan searches and synthesize cited options</w:t>
            </w:r>
          </w:p>
        </w:tc>
        <w:tc>
          <w:tcPr>
            <w:tcW w:type="dxa" w:w="2376"/>
            <w:vAlign w:val="center"/>
            <w:tcMar>
              <w:top w:w="90" w:type="dxa"/>
              <w:start w:w="120" w:type="dxa"/>
              <w:bottom w:w="90" w:type="dxa"/>
              <w:end w:w="120" w:type="dxa"/>
            </w:tcMar>
          </w:tcPr>
          <w:p>
            <w:pPr>
              <w:spacing w:after="0"/>
            </w:pPr>
            <w:r>
              <w:rPr>
                <w:rFonts w:ascii="Aptos" w:hAnsi="Aptos"/>
                <w:color w:val="17212B"/>
                <w:sz w:val="15"/>
              </w:rPr>
              <w:t>Minimized search query, trusted tools</w:t>
            </w:r>
          </w:p>
        </w:tc>
        <w:tc>
          <w:tcPr>
            <w:tcW w:type="dxa" w:w="2664"/>
            <w:vAlign w:val="center"/>
            <w:tcMar>
              <w:top w:w="90" w:type="dxa"/>
              <w:start w:w="120" w:type="dxa"/>
              <w:bottom w:w="90" w:type="dxa"/>
              <w:end w:w="120" w:type="dxa"/>
            </w:tcMar>
          </w:tcPr>
          <w:p>
            <w:pPr>
              <w:spacing w:after="0"/>
            </w:pPr>
            <w:r>
              <w:rPr>
                <w:rFonts w:ascii="Aptos" w:hAnsi="Aptos"/>
                <w:color w:val="17212B"/>
                <w:sz w:val="15"/>
              </w:rPr>
              <w:t>Invent uncited price/availability</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Buyer Decision Agent</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5"/>
              </w:rPr>
              <w:t>Explain deterministic rank and tradeoffs</w:t>
            </w:r>
          </w:p>
        </w:tc>
        <w:tc>
          <w:tcPr>
            <w:tcW w:type="dxa" w:w="2376"/>
            <w:vAlign w:val="center"/>
            <w:tcMar>
              <w:top w:w="90" w:type="dxa"/>
              <w:start w:w="120" w:type="dxa"/>
              <w:bottom w:w="90" w:type="dxa"/>
              <w:end w:w="120" w:type="dxa"/>
            </w:tcMar>
            <w:shd w:fill="F8FAFB"/>
          </w:tcPr>
          <w:p>
            <w:pPr>
              <w:spacing w:after="0"/>
            </w:pPr>
            <w:r>
              <w:rPr>
                <w:rFonts w:ascii="Aptos" w:hAnsi="Aptos"/>
                <w:color w:val="17212B"/>
                <w:sz w:val="15"/>
              </w:rPr>
              <w:t>Validated offers, score breakdown, preferences</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Change score or eligibility</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Supplier Agent</w:t>
            </w:r>
          </w:p>
        </w:tc>
        <w:tc>
          <w:tcPr>
            <w:tcW w:type="dxa" w:w="2520"/>
            <w:vAlign w:val="center"/>
            <w:tcMar>
              <w:top w:w="90" w:type="dxa"/>
              <w:start w:w="120" w:type="dxa"/>
              <w:bottom w:w="90" w:type="dxa"/>
              <w:end w:w="120" w:type="dxa"/>
            </w:tcMar>
          </w:tcPr>
          <w:p>
            <w:pPr>
              <w:spacing w:after="0"/>
            </w:pPr>
            <w:r>
              <w:rPr>
                <w:rFonts w:ascii="Aptos" w:hAnsi="Aptos"/>
                <w:color w:val="17212B"/>
                <w:sz w:val="15"/>
              </w:rPr>
              <w:t>Generate one compliant offer</w:t>
            </w:r>
          </w:p>
        </w:tc>
        <w:tc>
          <w:tcPr>
            <w:tcW w:type="dxa" w:w="2376"/>
            <w:vAlign w:val="center"/>
            <w:tcMar>
              <w:top w:w="90" w:type="dxa"/>
              <w:start w:w="120" w:type="dxa"/>
              <w:bottom w:w="90" w:type="dxa"/>
              <w:end w:w="120" w:type="dxa"/>
            </w:tcMar>
          </w:tcPr>
          <w:p>
            <w:pPr>
              <w:spacing w:after="0"/>
            </w:pPr>
            <w:r>
              <w:rPr>
                <w:rFonts w:ascii="Aptos" w:hAnsi="Aptos"/>
                <w:color w:val="17212B"/>
                <w:sz w:val="15"/>
              </w:rPr>
              <w:t>Supplier policy, simulated inventory, minimized intent</w:t>
            </w:r>
          </w:p>
        </w:tc>
        <w:tc>
          <w:tcPr>
            <w:tcW w:type="dxa" w:w="2664"/>
            <w:vAlign w:val="center"/>
            <w:tcMar>
              <w:top w:w="90" w:type="dxa"/>
              <w:start w:w="120" w:type="dxa"/>
              <w:bottom w:w="90" w:type="dxa"/>
              <w:end w:w="120" w:type="dxa"/>
            </w:tcMar>
          </w:tcPr>
          <w:p>
            <w:pPr>
              <w:spacing w:after="0"/>
            </w:pPr>
            <w:r>
              <w:rPr>
                <w:rFonts w:ascii="Aptos" w:hAnsi="Aptos"/>
                <w:color w:val="17212B"/>
                <w:sz w:val="15"/>
              </w:rPr>
              <w:t>Access buyer profile or competitor data</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Action Agent</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5"/>
              </w:rPr>
              <w:t>Prepare/execute authorized adapter call</w:t>
            </w:r>
          </w:p>
        </w:tc>
        <w:tc>
          <w:tcPr>
            <w:tcW w:type="dxa" w:w="2376"/>
            <w:vAlign w:val="center"/>
            <w:tcMar>
              <w:top w:w="90" w:type="dxa"/>
              <w:start w:w="120" w:type="dxa"/>
              <w:bottom w:w="90" w:type="dxa"/>
              <w:end w:w="120" w:type="dxa"/>
            </w:tcMar>
            <w:shd w:fill="F8FAFB"/>
          </w:tcPr>
          <w:p>
            <w:pPr>
              <w:spacing w:after="0"/>
            </w:pPr>
            <w:r>
              <w:rPr>
                <w:rFonts w:ascii="Aptos" w:hAnsi="Aptos"/>
                <w:color w:val="17212B"/>
                <w:sz w:val="15"/>
              </w:rPr>
              <w:t>Accepted terms, approval, idempotency key</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Change amount/merchant/action</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Policy Engine (deterministic)</w:t>
            </w:r>
          </w:p>
        </w:tc>
        <w:tc>
          <w:tcPr>
            <w:tcW w:type="dxa" w:w="2520"/>
            <w:vAlign w:val="center"/>
            <w:tcMar>
              <w:top w:w="90" w:type="dxa"/>
              <w:start w:w="120" w:type="dxa"/>
              <w:bottom w:w="90" w:type="dxa"/>
              <w:end w:w="120" w:type="dxa"/>
            </w:tcMar>
          </w:tcPr>
          <w:p>
            <w:pPr>
              <w:spacing w:after="0"/>
            </w:pPr>
            <w:r>
              <w:rPr>
                <w:rFonts w:ascii="Aptos" w:hAnsi="Aptos"/>
                <w:color w:val="17212B"/>
                <w:sz w:val="15"/>
              </w:rPr>
              <w:t>Disclosure, eligibility, transition, limit checks</w:t>
            </w:r>
          </w:p>
        </w:tc>
        <w:tc>
          <w:tcPr>
            <w:tcW w:type="dxa" w:w="2376"/>
            <w:vAlign w:val="center"/>
            <w:tcMar>
              <w:top w:w="90" w:type="dxa"/>
              <w:start w:w="120" w:type="dxa"/>
              <w:bottom w:w="90" w:type="dxa"/>
              <w:end w:w="120" w:type="dxa"/>
            </w:tcMar>
          </w:tcPr>
          <w:p>
            <w:pPr>
              <w:spacing w:after="0"/>
            </w:pPr>
            <w:r>
              <w:rPr>
                <w:rFonts w:ascii="Aptos" w:hAnsi="Aptos"/>
                <w:color w:val="17212B"/>
                <w:sz w:val="15"/>
              </w:rPr>
              <w:t>Typed domain objects</w:t>
            </w:r>
          </w:p>
        </w:tc>
        <w:tc>
          <w:tcPr>
            <w:tcW w:type="dxa" w:w="2664"/>
            <w:vAlign w:val="center"/>
            <w:tcMar>
              <w:top w:w="90" w:type="dxa"/>
              <w:start w:w="120" w:type="dxa"/>
              <w:bottom w:w="90" w:type="dxa"/>
              <w:end w:w="120" w:type="dxa"/>
            </w:tcMar>
          </w:tcPr>
          <w:p>
            <w:pPr>
              <w:spacing w:after="0"/>
            </w:pPr>
            <w:r>
              <w:rPr>
                <w:rFonts w:ascii="Aptos" w:hAnsi="Aptos"/>
                <w:color w:val="17212B"/>
                <w:sz w:val="15"/>
              </w:rPr>
              <w:t>Delegate hard authorization to model</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Ranking Engine (deterministic)</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5"/>
              </w:rPr>
              <w:t>Normalize and score offers</w:t>
            </w:r>
          </w:p>
        </w:tc>
        <w:tc>
          <w:tcPr>
            <w:tcW w:type="dxa" w:w="2376"/>
            <w:vAlign w:val="center"/>
            <w:tcMar>
              <w:top w:w="90" w:type="dxa"/>
              <w:start w:w="120" w:type="dxa"/>
              <w:bottom w:w="90" w:type="dxa"/>
              <w:end w:w="120" w:type="dxa"/>
            </w:tcMar>
            <w:shd w:fill="F8FAFB"/>
          </w:tcPr>
          <w:p>
            <w:pPr>
              <w:spacing w:after="0"/>
            </w:pPr>
            <w:r>
              <w:rPr>
                <w:rFonts w:ascii="Aptos" w:hAnsi="Aptos"/>
                <w:color w:val="17212B"/>
                <w:sz w:val="15"/>
              </w:rPr>
              <w:t>Validated attributes, weights, algorithm version</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Use hidden model judgment</w:t>
            </w:r>
          </w:p>
        </w:tc>
      </w:tr>
    </w:tbl>
    <w:p>
      <w:pPr>
        <w:spacing w:after="20"/>
      </w:pPr>
    </w:p>
    <w:p>
      <w:pPr>
        <w:pStyle w:val="Heading2"/>
      </w:pPr>
      <w:r>
        <w:t>8.2 Ports and adapters</w:t>
      </w:r>
    </w:p>
    <w:p>
      <w:pPr>
        <w:pStyle w:val="CodeBlock"/>
        <w:shd w:fill="EEF3F6"/>
      </w:pPr>
      <w:r>
        <w:rPr>
          <w:rFonts w:ascii="Aptos Mono" w:hAnsi="Aptos Mono"/>
          <w:color w:val="17212B"/>
          <w:sz w:val="15"/>
        </w:rPr>
        <w:t>Core ports</w:t>
        <w:br/>
        <w:t>ModelPort.generateStructured()       ResearchPort.search/fetch()</w:t>
        <w:br/>
        <w:t>SupplierPort.solicit/counter()        TransactionPort.authorize()</w:t>
        <w:br/>
        <w:t>PreferenceRepository                 IntentRepository / OfferRepository</w:t>
        <w:br/>
        <w:t>EventBus.publish/subscribe            AuditSink.append()</w:t>
        <w:br/>
        <w:t>Clock / IdGenerator / CryptoSigner    EntitlementPort.getCustomerAccess()</w:t>
        <w:br/>
        <w:br/>
        <w:t>Adapters</w:t>
        <w:br/>
        <w:t>local-sim | google-adk-gemini | aws-strands-bedrock-agentcore</w:t>
        <w:br/>
        <w:t>postgres | firestore | dynamodb | web-search-provider | revenuecat | push</w:t>
      </w:r>
    </w:p>
    <w:p>
      <w:pPr>
        <w:pStyle w:val="Heading2"/>
      </w:pPr>
      <w:r>
        <w:t>8.3 Tool/provider policy</w:t>
      </w:r>
    </w:p>
    <w:p>
      <w:pPr>
        <w:pStyle w:val="ListBullet"/>
        <w:ind w:left="403" w:hanging="259"/>
      </w:pPr>
      <w:r>
        <w:t>All tools have typed request/response contracts, timeouts, bounded retries, cancellation, cost tags, and provenance metadata.</w:t>
      </w:r>
    </w:p>
    <w:p>
      <w:pPr>
        <w:pStyle w:val="ListBullet"/>
        <w:ind w:left="403" w:hanging="259"/>
      </w:pPr>
      <w:r>
        <w:t>Tool results are untrusted data and are schema-validated before entering agent context.</w:t>
      </w:r>
    </w:p>
    <w:p>
      <w:pPr>
        <w:pStyle w:val="ListBullet"/>
        <w:ind w:left="403" w:hanging="259"/>
      </w:pPr>
      <w:r>
        <w:t>Provider capability differences are normalized by the adapter; the core requests capabilities, not model names.</w:t>
      </w:r>
    </w:p>
    <w:p>
      <w:pPr>
        <w:pStyle w:val="ListBullet"/>
        <w:ind w:left="403" w:hanging="259"/>
      </w:pPr>
      <w:r>
        <w:t>A provider adapter exposes health, model/version, region, token/cost, safety outcome, and trace identifiers.</w:t>
      </w:r>
    </w:p>
    <w:p>
      <w:pPr>
        <w:pStyle w:val="ListBullet"/>
        <w:ind w:left="403" w:hanging="259"/>
      </w:pPr>
      <w:r>
        <w:t>Fallback may change provider only before a consequential approval; after approval, payload semantics and hashes cannot change.</w:t>
      </w:r>
    </w:p>
    <w:p>
      <w:pPr>
        <w:pStyle w:val="Heading1"/>
      </w:pPr>
      <w:r>
        <w:t>9. Ranking, preference learning, research, and economics</w:t>
      </w:r>
    </w:p>
    <w:p>
      <w:pPr>
        <w:pStyle w:val="Heading2"/>
      </w:pPr>
      <w:r>
        <w:t>9.1 Preference model</w:t>
      </w:r>
    </w:p>
    <w:p>
      <w:pPr>
        <w:pStyle w:val="CodeBlock"/>
        <w:shd w:fill="EEF3F6"/>
      </w:pPr>
      <w:r>
        <w:rPr>
          <w:rFonts w:ascii="Aptos Mono" w:hAnsi="Aptos Mono"/>
          <w:color w:val="17212B"/>
          <w:sz w:val="15"/>
        </w:rPr>
        <w:t>PreferenceAssertion {</w:t>
        <w:br/>
        <w:t xml:space="preserve">  key:"parking.covered_preference", value:"prefer", context:{category:"airport_parking"},</w:t>
        <w:br/>
        <w:t xml:space="preserve">  evidence:[{type:"explicit_confirmation",ref:"approval_...",observedAt:"..."}],</w:t>
        <w:br/>
        <w:t xml:space="preserve">  confidence:0.92, status:"active", validFrom:"...", reviewAfter:"...",</w:t>
        <w:br/>
        <w:t xml:space="preserve">  decay:{halfLifeDays:180}, userConfirmed:true, provenance:"buyer_interaction"</w:t>
        <w:br/>
        <w:t>}</w:t>
      </w:r>
    </w:p>
    <w:p>
      <w:r>
        <w:t>Inference rules: explicit statements outrank observed choices; recent repeated choices outrank a single choice; context mismatch blocks application; confidence below 0.60 is explanation-only; below 0.40 is ignored. A single override does not erase an explicit preference. Users can pin or delete an assertion.</w:t>
      </w:r>
    </w:p>
    <w:p>
      <w:pPr>
        <w:pStyle w:val="Heading2"/>
      </w:pPr>
      <w:r>
        <w:t>9.2 Market research and provenance</w:t>
      </w:r>
    </w:p>
    <w:p>
      <w:pPr>
        <w:pStyle w:val="ListBullet"/>
        <w:ind w:left="403" w:hanging="259"/>
      </w:pPr>
      <w:r>
        <w:t>Research plan states the question, required attributes, source classes, freshness thresholds, and stop condition.</w:t>
      </w:r>
    </w:p>
    <w:p>
      <w:pPr>
        <w:pStyle w:val="ListBullet"/>
        <w:ind w:left="403" w:hanging="259"/>
      </w:pPr>
      <w:r>
        <w:t>Every fact retains source URL/provider, retrieved timestamp, parsing method, raw evidence reference/checksum, confidence, and expiration.</w:t>
      </w:r>
    </w:p>
    <w:p>
      <w:pPr>
        <w:pStyle w:val="ListBullet"/>
        <w:ind w:left="403" w:hanging="259"/>
      </w:pPr>
      <w:r>
        <w:t>Prices are normalized to the same duration, taxes/fees, currency, and inclusion assumptions.</w:t>
      </w:r>
    </w:p>
    <w:p>
      <w:pPr>
        <w:pStyle w:val="ListBullet"/>
        <w:ind w:left="403" w:hanging="259"/>
      </w:pPr>
      <w:r>
        <w:t>Supplier-agent offers are not represented as public market facts. Normal market options and private offers remain visibly distinct.</w:t>
      </w:r>
    </w:p>
    <w:p>
      <w:pPr>
        <w:pStyle w:val="ListBullet"/>
        <w:ind w:left="403" w:hanging="259"/>
      </w:pPr>
      <w:r>
        <w:t>If availability cannot be verified, display “not verified,” reduce coverage confidence, and do not convert it to “available.” Never infer an inventory hold from offer validity. Do not display simulated reservations, holds, payments, or supplier contact.</w:t>
      </w:r>
    </w:p>
    <w:p>
      <w:pPr>
        <w:pStyle w:val="Heading2"/>
      </w:pPr>
      <w:r>
        <w:t>9.3 Offer normalization and ranking</w:t>
      </w:r>
    </w:p>
    <w:p>
      <w:r>
        <w:t>First apply hard eligibility: correct window/location/currency, price completeness, non-expired, policy compliance, and required service attributes. Then normalize eligible attributes to [0,1]. Lower-is-better metrics are inverted. Unknown values use an explicit missing-data penalty, never an optimistic default.</w:t>
      </w:r>
    </w:p>
    <w:p>
      <w:pPr>
        <w:pStyle w:val="CodeBlock"/>
        <w:shd w:fill="EEF3F6"/>
      </w:pPr>
      <w:r>
        <w:rPr>
          <w:rFonts w:ascii="Aptos Mono" w:hAnsi="Aptos Mono"/>
          <w:color w:val="17212B"/>
          <w:sz w:val="15"/>
        </w:rPr>
        <w:t>score = 0.35 price_value</w:t>
        <w:br/>
        <w:t xml:space="preserve">      + 0.20 reliability_trust</w:t>
        <w:br/>
        <w:t xml:space="preserve">      + 0.15 cancellation_flexibility</w:t>
        <w:br/>
        <w:t xml:space="preserve">      + 0.12 shuttle_convenience</w:t>
        <w:br/>
        <w:t xml:space="preserve">      + 0.08 distance_value</w:t>
        <w:br/>
        <w:t xml:space="preserve">      + 0.06 coverage_fit</w:t>
        <w:br/>
        <w:t xml:space="preserve">      + 0.04 add_on_fit</w:t>
        <w:br/>
        <w:t xml:space="preserve">      - missing_data_penalty - policy_risk_penalty</w:t>
      </w:r>
    </w:p>
    <w:p>
      <w:r>
        <w:t>Weights are defaults for airport parking and are versioned. Contextual preferences may shift weights within configured bounds; the resulting weights and reasons are stored. Tie-breakers: higher evidence coverage, then longer validity, then lower total price, then stable offer ID. Internal scoreMicros remains the ranking unit. Buyer-facing surfaces show qualitative fit and factual reasons, never a numerical fit score.</w:t>
      </w:r>
    </w:p>
    <w:p>
      <w:pPr>
        <w:pStyle w:val="Heading2"/>
      </w:pPr>
      <w:r>
        <w:t>9.4 Supplier economics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656"/>
            <w:shd w:fill="17324D"/>
            <w:tcMar>
              <w:top w:w="90" w:type="dxa"/>
              <w:start w:w="120" w:type="dxa"/>
              <w:bottom w:w="90" w:type="dxa"/>
              <w:end w:w="120" w:type="dxa"/>
            </w:tcMar>
          </w:tcPr>
          <w:p>
            <w:pPr>
              <w:spacing w:after="0"/>
            </w:pPr>
            <w:r>
              <w:rPr>
                <w:rFonts w:ascii="Aptos" w:hAnsi="Aptos"/>
                <w:b/>
                <w:color w:val="FFFFFF"/>
                <w:sz w:val="16"/>
              </w:rPr>
              <w:t>Control</w:t>
            </w:r>
          </w:p>
        </w:tc>
        <w:tc>
          <w:tcPr>
            <w:tcW w:type="dxa" w:w="3096"/>
            <w:shd w:fill="17324D"/>
            <w:tcMar>
              <w:top w:w="90" w:type="dxa"/>
              <w:start w:w="120" w:type="dxa"/>
              <w:bottom w:w="90" w:type="dxa"/>
              <w:end w:w="120" w:type="dxa"/>
            </w:tcMar>
          </w:tcPr>
          <w:p>
            <w:pPr>
              <w:spacing w:after="0"/>
            </w:pPr>
            <w:r>
              <w:rPr>
                <w:rFonts w:ascii="Aptos" w:hAnsi="Aptos"/>
                <w:b/>
                <w:color w:val="FFFFFF"/>
                <w:sz w:val="16"/>
              </w:rPr>
              <w:t>Purpose</w:t>
            </w:r>
          </w:p>
        </w:tc>
        <w:tc>
          <w:tcPr>
            <w:tcW w:type="dxa" w:w="4608"/>
            <w:shd w:fill="17324D"/>
            <w:tcMar>
              <w:top w:w="90" w:type="dxa"/>
              <w:start w:w="120" w:type="dxa"/>
              <w:bottom w:w="90" w:type="dxa"/>
              <w:end w:w="120" w:type="dxa"/>
            </w:tcMar>
          </w:tcPr>
          <w:p>
            <w:pPr>
              <w:spacing w:after="0"/>
            </w:pPr>
            <w:r>
              <w:rPr>
                <w:rFonts w:ascii="Aptos" w:hAnsi="Aptos"/>
                <w:b/>
                <w:color w:val="FFFFFF"/>
                <w:sz w:val="16"/>
              </w:rPr>
              <w:t>Example</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6"/>
              </w:rPr>
              <w:t>Price floor</w:t>
            </w:r>
          </w:p>
        </w:tc>
        <w:tc>
          <w:tcPr>
            <w:tcW w:type="dxa" w:w="3096"/>
            <w:vAlign w:val="center"/>
            <w:tcMar>
              <w:top w:w="90" w:type="dxa"/>
              <w:start w:w="120" w:type="dxa"/>
              <w:bottom w:w="90" w:type="dxa"/>
              <w:end w:w="120" w:type="dxa"/>
            </w:tcMar>
          </w:tcPr>
          <w:p>
            <w:pPr>
              <w:spacing w:after="0"/>
            </w:pPr>
            <w:r>
              <w:rPr>
                <w:rFonts w:ascii="Aptos" w:hAnsi="Aptos"/>
                <w:color w:val="17212B"/>
                <w:sz w:val="16"/>
              </w:rPr>
              <w:t>Protect margin</w:t>
            </w:r>
          </w:p>
        </w:tc>
        <w:tc>
          <w:tcPr>
            <w:tcW w:type="dxa" w:w="4608"/>
            <w:vAlign w:val="center"/>
            <w:tcMar>
              <w:top w:w="90" w:type="dxa"/>
              <w:start w:w="120" w:type="dxa"/>
              <w:bottom w:w="90" w:type="dxa"/>
              <w:end w:w="120" w:type="dxa"/>
            </w:tcMar>
          </w:tcPr>
          <w:p>
            <w:pPr>
              <w:spacing w:after="0"/>
            </w:pPr>
            <w:r>
              <w:rPr>
                <w:rFonts w:ascii="Aptos" w:hAnsi="Aptos"/>
                <w:color w:val="17212B"/>
                <w:sz w:val="16"/>
              </w:rPr>
              <w:t>$17/day equivalent after discounts</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6"/>
              </w:rPr>
              <w:t>Demand factor</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6"/>
              </w:rPr>
              <w:t>Reflect simulated occupancy</w:t>
            </w:r>
          </w:p>
        </w:tc>
        <w:tc>
          <w:tcPr>
            <w:tcW w:type="dxa" w:w="4608"/>
            <w:vAlign w:val="center"/>
            <w:tcMar>
              <w:top w:w="90" w:type="dxa"/>
              <w:start w:w="120" w:type="dxa"/>
              <w:bottom w:w="90" w:type="dxa"/>
              <w:end w:w="120" w:type="dxa"/>
            </w:tcMar>
            <w:shd w:fill="F8FAFB"/>
          </w:tcPr>
          <w:p>
            <w:pPr>
              <w:spacing w:after="0"/>
            </w:pPr>
            <w:r>
              <w:rPr>
                <w:rFonts w:ascii="Aptos" w:hAnsi="Aptos"/>
                <w:color w:val="17212B"/>
                <w:sz w:val="16"/>
              </w:rPr>
              <w:t>1.00 off-peak; 1.20 high occupancy</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6"/>
              </w:rPr>
              <w:t>Acquisition budget</w:t>
            </w:r>
          </w:p>
        </w:tc>
        <w:tc>
          <w:tcPr>
            <w:tcW w:type="dxa" w:w="3096"/>
            <w:vAlign w:val="center"/>
            <w:tcMar>
              <w:top w:w="90" w:type="dxa"/>
              <w:start w:w="120" w:type="dxa"/>
              <w:bottom w:w="90" w:type="dxa"/>
              <w:end w:w="120" w:type="dxa"/>
            </w:tcMar>
          </w:tcPr>
          <w:p>
            <w:pPr>
              <w:spacing w:after="0"/>
            </w:pPr>
            <w:r>
              <w:rPr>
                <w:rFonts w:ascii="Aptos" w:hAnsi="Aptos"/>
                <w:color w:val="17212B"/>
                <w:sz w:val="16"/>
              </w:rPr>
              <w:t>Cap incentive cost</w:t>
            </w:r>
          </w:p>
        </w:tc>
        <w:tc>
          <w:tcPr>
            <w:tcW w:type="dxa" w:w="4608"/>
            <w:vAlign w:val="center"/>
            <w:tcMar>
              <w:top w:w="90" w:type="dxa"/>
              <w:start w:w="120" w:type="dxa"/>
              <w:bottom w:w="90" w:type="dxa"/>
              <w:end w:w="120" w:type="dxa"/>
            </w:tcMar>
          </w:tcPr>
          <w:p>
            <w:pPr>
              <w:spacing w:after="0"/>
            </w:pPr>
            <w:r>
              <w:rPr>
                <w:rFonts w:ascii="Aptos" w:hAnsi="Aptos"/>
                <w:color w:val="17212B"/>
                <w:sz w:val="16"/>
              </w:rPr>
              <w:t>Max $18 incentive per new buyer</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6"/>
              </w:rPr>
              <w:t>Bundle economics</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6"/>
              </w:rPr>
              <w:t>Keep add-on contribution positive</w:t>
            </w:r>
          </w:p>
        </w:tc>
        <w:tc>
          <w:tcPr>
            <w:tcW w:type="dxa" w:w="4608"/>
            <w:vAlign w:val="center"/>
            <w:tcMar>
              <w:top w:w="90" w:type="dxa"/>
              <w:start w:w="120" w:type="dxa"/>
              <w:bottom w:w="90" w:type="dxa"/>
              <w:end w:w="120" w:type="dxa"/>
            </w:tcMar>
            <w:shd w:fill="F8FAFB"/>
          </w:tcPr>
          <w:p>
            <w:pPr>
              <w:spacing w:after="0"/>
            </w:pPr>
            <w:r>
              <w:rPr>
                <w:rFonts w:ascii="Aptos" w:hAnsi="Aptos"/>
                <w:color w:val="17212B"/>
                <w:sz w:val="16"/>
              </w:rPr>
              <w:t>EV charge $12; covered upgrade $7/day</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6"/>
              </w:rPr>
              <w:t>Validity</w:t>
            </w:r>
          </w:p>
        </w:tc>
        <w:tc>
          <w:tcPr>
            <w:tcW w:type="dxa" w:w="3096"/>
            <w:vAlign w:val="center"/>
            <w:tcMar>
              <w:top w:w="90" w:type="dxa"/>
              <w:start w:w="120" w:type="dxa"/>
              <w:bottom w:w="90" w:type="dxa"/>
              <w:end w:w="120" w:type="dxa"/>
            </w:tcMar>
          </w:tcPr>
          <w:p>
            <w:pPr>
              <w:spacing w:after="0"/>
            </w:pPr>
            <w:r>
              <w:rPr>
                <w:rFonts w:ascii="Aptos" w:hAnsi="Aptos"/>
                <w:color w:val="17212B"/>
                <w:sz w:val="16"/>
              </w:rPr>
              <w:t>Limit exposure to price/capacity movement</w:t>
            </w:r>
          </w:p>
        </w:tc>
        <w:tc>
          <w:tcPr>
            <w:tcW w:type="dxa" w:w="4608"/>
            <w:vAlign w:val="center"/>
            <w:tcMar>
              <w:top w:w="90" w:type="dxa"/>
              <w:start w:w="120" w:type="dxa"/>
              <w:bottom w:w="90" w:type="dxa"/>
              <w:end w:w="120" w:type="dxa"/>
            </w:tcMar>
          </w:tcPr>
          <w:p>
            <w:pPr>
              <w:spacing w:after="0"/>
            </w:pPr>
            <w:r>
              <w:rPr>
                <w:rFonts w:ascii="Aptos" w:hAnsi="Aptos"/>
                <w:color w:val="17212B"/>
                <w:sz w:val="16"/>
              </w:rPr>
              <w:t>15–30 minutes</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6"/>
              </w:rPr>
              <w:t>Counter policy</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6"/>
              </w:rPr>
              <w:t>Bound negotiation</w:t>
            </w:r>
          </w:p>
        </w:tc>
        <w:tc>
          <w:tcPr>
            <w:tcW w:type="dxa" w:w="4608"/>
            <w:vAlign w:val="center"/>
            <w:tcMar>
              <w:top w:w="90" w:type="dxa"/>
              <w:start w:w="120" w:type="dxa"/>
              <w:bottom w:w="90" w:type="dxa"/>
              <w:end w:w="120" w:type="dxa"/>
            </w:tcMar>
            <w:shd w:fill="F8FAFB"/>
          </w:tcPr>
          <w:p>
            <w:pPr>
              <w:spacing w:after="0"/>
            </w:pPr>
            <w:r>
              <w:rPr>
                <w:rFonts w:ascii="Aptos" w:hAnsi="Aptos"/>
                <w:color w:val="17212B"/>
                <w:sz w:val="16"/>
              </w:rPr>
              <w:t>One round; total not below floor; no worse cancellation</w:t>
            </w:r>
          </w:p>
        </w:tc>
      </w:tr>
    </w:tbl>
    <w:p>
      <w:pPr>
        <w:spacing w:after="20"/>
      </w:pPr>
    </w:p>
    <w:p>
      <w:r>
        <w:br w:type="page"/>
      </w:r>
    </w:p>
    <w:p>
      <w:pPr>
        <w:pStyle w:val="Heading1"/>
      </w:pPr>
      <w:r>
        <w:t>10. API and storage design</w:t>
      </w:r>
    </w:p>
    <w:p>
      <w:pPr>
        <w:pStyle w:val="Heading2"/>
      </w:pPr>
      <w:r>
        <w:t>10.1 API conventions</w:t>
      </w:r>
    </w:p>
    <w:p>
      <w:r>
        <w:t>REST/JSON externally; internal events for long-running work. OAuth/OIDC bearer authentication. `Idempotency-Key` required on create, accept, and authorize. `If-Match`/entity version protects material updates. Errors use RFC 9457 problem details. Long-running jobs expose status plus server-sent events or push notifications.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2592"/>
            <w:shd w:fill="17324D"/>
            <w:tcMar>
              <w:top w:w="90" w:type="dxa"/>
              <w:start w:w="120" w:type="dxa"/>
              <w:bottom w:w="90" w:type="dxa"/>
              <w:end w:w="120" w:type="dxa"/>
            </w:tcMar>
          </w:tcPr>
          <w:p>
            <w:pPr>
              <w:spacing w:after="0"/>
            </w:pPr>
            <w:r>
              <w:rPr>
                <w:rFonts w:ascii="Aptos" w:hAnsi="Aptos"/>
                <w:b/>
                <w:color w:val="FFFFFF"/>
                <w:sz w:val="15"/>
              </w:rPr>
              <w:t>Method + path</w:t>
            </w:r>
          </w:p>
        </w:tc>
        <w:tc>
          <w:tcPr>
            <w:tcW w:type="dxa" w:w="3312"/>
            <w:shd w:fill="17324D"/>
            <w:tcMar>
              <w:top w:w="90" w:type="dxa"/>
              <w:start w:w="120" w:type="dxa"/>
              <w:bottom w:w="90" w:type="dxa"/>
              <w:end w:w="120" w:type="dxa"/>
            </w:tcMar>
          </w:tcPr>
          <w:p>
            <w:pPr>
              <w:spacing w:after="0"/>
            </w:pPr>
            <w:r>
              <w:rPr>
                <w:rFonts w:ascii="Aptos" w:hAnsi="Aptos"/>
                <w:b/>
                <w:color w:val="FFFFFF"/>
                <w:sz w:val="15"/>
              </w:rPr>
              <w:t>Purpose</w:t>
            </w:r>
          </w:p>
        </w:tc>
        <w:tc>
          <w:tcPr>
            <w:tcW w:type="dxa" w:w="3456"/>
            <w:shd w:fill="17324D"/>
            <w:tcMar>
              <w:top w:w="90" w:type="dxa"/>
              <w:start w:w="120" w:type="dxa"/>
              <w:bottom w:w="90" w:type="dxa"/>
              <w:end w:w="120" w:type="dxa"/>
            </w:tcMar>
          </w:tcPr>
          <w:p>
            <w:pPr>
              <w:spacing w:after="0"/>
            </w:pPr>
            <w:r>
              <w:rPr>
                <w:rFonts w:ascii="Aptos" w:hAnsi="Aptos"/>
                <w:b/>
                <w:color w:val="FFFFFF"/>
                <w:sz w:val="15"/>
              </w:rPr>
              <w:t>Key response / rule</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POST /v1/ingestions</w:t>
            </w:r>
          </w:p>
        </w:tc>
        <w:tc>
          <w:tcPr>
            <w:tcW w:type="dxa" w:w="3312"/>
            <w:vAlign w:val="center"/>
            <w:tcMar>
              <w:top w:w="90" w:type="dxa"/>
              <w:start w:w="120" w:type="dxa"/>
              <w:bottom w:w="90" w:type="dxa"/>
              <w:end w:w="120" w:type="dxa"/>
            </w:tcMar>
          </w:tcPr>
          <w:p>
            <w:pPr>
              <w:spacing w:after="0"/>
            </w:pPr>
            <w:r>
              <w:rPr>
                <w:rFonts w:ascii="Aptos" w:hAnsi="Aptos"/>
                <w:color w:val="17212B"/>
                <w:sz w:val="15"/>
              </w:rPr>
              <w:t>Create typed/share ingestion</w:t>
            </w:r>
          </w:p>
        </w:tc>
        <w:tc>
          <w:tcPr>
            <w:tcW w:type="dxa" w:w="3456"/>
            <w:vAlign w:val="center"/>
            <w:tcMar>
              <w:top w:w="90" w:type="dxa"/>
              <w:start w:w="120" w:type="dxa"/>
              <w:bottom w:w="90" w:type="dxa"/>
              <w:end w:w="120" w:type="dxa"/>
            </w:tcMar>
          </w:tcPr>
          <w:p>
            <w:pPr>
              <w:spacing w:after="0"/>
            </w:pPr>
            <w:r>
              <w:rPr>
                <w:rFonts w:ascii="Aptos" w:hAnsi="Aptos"/>
                <w:color w:val="17212B"/>
                <w:sz w:val="15"/>
              </w:rPr>
              <w:t>202 + ingestionId; content quarantined</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GET /v1/ingestions/{id}</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Progress and extraction</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status, requirementDraft, evidence</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POST /v1/intents</w:t>
            </w:r>
          </w:p>
        </w:tc>
        <w:tc>
          <w:tcPr>
            <w:tcW w:type="dxa" w:w="3312"/>
            <w:vAlign w:val="center"/>
            <w:tcMar>
              <w:top w:w="90" w:type="dxa"/>
              <w:start w:w="120" w:type="dxa"/>
              <w:bottom w:w="90" w:type="dxa"/>
              <w:end w:w="120" w:type="dxa"/>
            </w:tcMar>
          </w:tcPr>
          <w:p>
            <w:pPr>
              <w:spacing w:after="0"/>
            </w:pPr>
            <w:r>
              <w:rPr>
                <w:rFonts w:ascii="Aptos" w:hAnsi="Aptos"/>
                <w:color w:val="17212B"/>
                <w:sz w:val="15"/>
              </w:rPr>
              <w:t>Create confirmed intent</w:t>
            </w:r>
          </w:p>
        </w:tc>
        <w:tc>
          <w:tcPr>
            <w:tcW w:type="dxa" w:w="3456"/>
            <w:vAlign w:val="center"/>
            <w:tcMar>
              <w:top w:w="90" w:type="dxa"/>
              <w:start w:w="120" w:type="dxa"/>
              <w:bottom w:w="90" w:type="dxa"/>
              <w:end w:w="120" w:type="dxa"/>
            </w:tcMar>
          </w:tcPr>
          <w:p>
            <w:pPr>
              <w:spacing w:after="0"/>
            </w:pPr>
            <w:r>
              <w:rPr>
                <w:rFonts w:ascii="Aptos" w:hAnsi="Aptos"/>
                <w:color w:val="17212B"/>
                <w:sz w:val="15"/>
              </w:rPr>
              <w:t>201 + intent version</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GET /v1/intents/{id}</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Intent, timeline, permitted actions</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buyer-authorized view</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POST /v1/intents/{id}/disclosure-preview</w:t>
            </w:r>
          </w:p>
        </w:tc>
        <w:tc>
          <w:tcPr>
            <w:tcW w:type="dxa" w:w="3312"/>
            <w:vAlign w:val="center"/>
            <w:tcMar>
              <w:top w:w="90" w:type="dxa"/>
              <w:start w:w="120" w:type="dxa"/>
              <w:bottom w:w="90" w:type="dxa"/>
              <w:end w:w="120" w:type="dxa"/>
            </w:tcMar>
          </w:tcPr>
          <w:p>
            <w:pPr>
              <w:spacing w:after="0"/>
            </w:pPr>
            <w:r>
              <w:rPr>
                <w:rFonts w:ascii="Aptos" w:hAnsi="Aptos"/>
                <w:color w:val="17212B"/>
                <w:sz w:val="15"/>
              </w:rPr>
              <w:t>Build minimized payload</w:t>
            </w:r>
          </w:p>
        </w:tc>
        <w:tc>
          <w:tcPr>
            <w:tcW w:type="dxa" w:w="3456"/>
            <w:vAlign w:val="center"/>
            <w:tcMar>
              <w:top w:w="90" w:type="dxa"/>
              <w:start w:w="120" w:type="dxa"/>
              <w:bottom w:w="90" w:type="dxa"/>
              <w:end w:w="120" w:type="dxa"/>
            </w:tcMar>
          </w:tcPr>
          <w:p>
            <w:pPr>
              <w:spacing w:after="0"/>
            </w:pPr>
            <w:r>
              <w:rPr>
                <w:rFonts w:ascii="Aptos" w:hAnsi="Aptos"/>
                <w:color w:val="17212B"/>
                <w:sz w:val="15"/>
              </w:rPr>
              <w:t>preview + payload hash</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POST /v1/intents/{id}/approvals</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Approve exact disclosure</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approval receipt; step-up if required</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POST /v1/intents/{id}/solicitations</w:t>
            </w:r>
          </w:p>
        </w:tc>
        <w:tc>
          <w:tcPr>
            <w:tcW w:type="dxa" w:w="3312"/>
            <w:vAlign w:val="center"/>
            <w:tcMar>
              <w:top w:w="90" w:type="dxa"/>
              <w:start w:w="120" w:type="dxa"/>
              <w:bottom w:w="90" w:type="dxa"/>
              <w:end w:w="120" w:type="dxa"/>
            </w:tcMar>
          </w:tcPr>
          <w:p>
            <w:pPr>
              <w:spacing w:after="0"/>
            </w:pPr>
            <w:r>
              <w:rPr>
                <w:rFonts w:ascii="Aptos" w:hAnsi="Aptos"/>
                <w:color w:val="17212B"/>
                <w:sz w:val="15"/>
              </w:rPr>
              <w:t>Dispatch approved intent</w:t>
            </w:r>
          </w:p>
        </w:tc>
        <w:tc>
          <w:tcPr>
            <w:tcW w:type="dxa" w:w="3456"/>
            <w:vAlign w:val="center"/>
            <w:tcMar>
              <w:top w:w="90" w:type="dxa"/>
              <w:start w:w="120" w:type="dxa"/>
              <w:bottom w:w="90" w:type="dxa"/>
              <w:end w:w="120" w:type="dxa"/>
            </w:tcMar>
          </w:tcPr>
          <w:p>
            <w:pPr>
              <w:spacing w:after="0"/>
            </w:pPr>
            <w:r>
              <w:rPr>
                <w:rFonts w:ascii="Aptos" w:hAnsi="Aptos"/>
                <w:color w:val="17212B"/>
                <w:sz w:val="15"/>
              </w:rPr>
              <w:t>202 + solicitationId</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GET /v1/intents/{id}/offers</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Eligible/invalid offers</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supplier-blinded buyer view</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POST /v1/offers/{id}/counteroffers</w:t>
            </w:r>
          </w:p>
        </w:tc>
        <w:tc>
          <w:tcPr>
            <w:tcW w:type="dxa" w:w="3312"/>
            <w:vAlign w:val="center"/>
            <w:tcMar>
              <w:top w:w="90" w:type="dxa"/>
              <w:start w:w="120" w:type="dxa"/>
              <w:bottom w:w="90" w:type="dxa"/>
              <w:end w:w="120" w:type="dxa"/>
            </w:tcMar>
          </w:tcPr>
          <w:p>
            <w:pPr>
              <w:spacing w:after="0"/>
            </w:pPr>
            <w:r>
              <w:rPr>
                <w:rFonts w:ascii="Aptos" w:hAnsi="Aptos"/>
                <w:color w:val="17212B"/>
                <w:sz w:val="15"/>
              </w:rPr>
              <w:t>One bounded counter</w:t>
            </w:r>
          </w:p>
        </w:tc>
        <w:tc>
          <w:tcPr>
            <w:tcW w:type="dxa" w:w="3456"/>
            <w:vAlign w:val="center"/>
            <w:tcMar>
              <w:top w:w="90" w:type="dxa"/>
              <w:start w:w="120" w:type="dxa"/>
              <w:bottom w:w="90" w:type="dxa"/>
              <w:end w:w="120" w:type="dxa"/>
            </w:tcMar>
          </w:tcPr>
          <w:p>
            <w:pPr>
              <w:spacing w:after="0"/>
            </w:pPr>
            <w:r>
              <w:rPr>
                <w:rFonts w:ascii="Aptos" w:hAnsi="Aptos"/>
                <w:color w:val="17212B"/>
                <w:sz w:val="15"/>
              </w:rPr>
              <w:t>202 + counterOfferId</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POST /v1/offers/{id}/acceptances</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Accept versioned offer</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201 + acceptance</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POST /v1/acceptances/{id}/authorizations</w:t>
            </w:r>
          </w:p>
        </w:tc>
        <w:tc>
          <w:tcPr>
            <w:tcW w:type="dxa" w:w="3312"/>
            <w:vAlign w:val="center"/>
            <w:tcMar>
              <w:top w:w="90" w:type="dxa"/>
              <w:start w:w="120" w:type="dxa"/>
              <w:bottom w:w="90" w:type="dxa"/>
              <w:end w:w="120" w:type="dxa"/>
            </w:tcMar>
          </w:tcPr>
          <w:p>
            <w:pPr>
              <w:spacing w:after="0"/>
            </w:pPr>
            <w:r>
              <w:rPr>
                <w:rFonts w:ascii="Aptos" w:hAnsi="Aptos"/>
                <w:color w:val="17212B"/>
                <w:sz w:val="15"/>
              </w:rPr>
              <w:t>Authorize simulated action</w:t>
            </w:r>
          </w:p>
        </w:tc>
        <w:tc>
          <w:tcPr>
            <w:tcW w:type="dxa" w:w="3456"/>
            <w:vAlign w:val="center"/>
            <w:tcMar>
              <w:top w:w="90" w:type="dxa"/>
              <w:start w:w="120" w:type="dxa"/>
              <w:bottom w:w="90" w:type="dxa"/>
              <w:end w:w="120" w:type="dxa"/>
            </w:tcMar>
          </w:tcPr>
          <w:p>
            <w:pPr>
              <w:spacing w:after="0"/>
            </w:pPr>
            <w:r>
              <w:rPr>
                <w:rFonts w:ascii="Aptos" w:hAnsi="Aptos"/>
                <w:color w:val="17212B"/>
                <w:sz w:val="15"/>
              </w:rPr>
              <w:t>201 receipt; idempotent</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GET/PUT /v1/preferences</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Inspect/correct preference graph</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versioned changes</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DELETE /v1/preferences/{id}</w:t>
            </w:r>
          </w:p>
        </w:tc>
        <w:tc>
          <w:tcPr>
            <w:tcW w:type="dxa" w:w="3312"/>
            <w:vAlign w:val="center"/>
            <w:tcMar>
              <w:top w:w="90" w:type="dxa"/>
              <w:start w:w="120" w:type="dxa"/>
              <w:bottom w:w="90" w:type="dxa"/>
              <w:end w:w="120" w:type="dxa"/>
            </w:tcMar>
          </w:tcPr>
          <w:p>
            <w:pPr>
              <w:spacing w:after="0"/>
            </w:pPr>
            <w:r>
              <w:rPr>
                <w:rFonts w:ascii="Aptos" w:hAnsi="Aptos"/>
                <w:color w:val="17212B"/>
                <w:sz w:val="15"/>
              </w:rPr>
              <w:t>Delete assertion</w:t>
            </w:r>
          </w:p>
        </w:tc>
        <w:tc>
          <w:tcPr>
            <w:tcW w:type="dxa" w:w="3456"/>
            <w:vAlign w:val="center"/>
            <w:tcMar>
              <w:top w:w="90" w:type="dxa"/>
              <w:start w:w="120" w:type="dxa"/>
              <w:bottom w:w="90" w:type="dxa"/>
              <w:end w:w="120" w:type="dxa"/>
            </w:tcMar>
          </w:tcPr>
          <w:p>
            <w:pPr>
              <w:spacing w:after="0"/>
            </w:pPr>
            <w:r>
              <w:rPr>
                <w:rFonts w:ascii="Aptos" w:hAnsi="Aptos"/>
                <w:color w:val="17212B"/>
                <w:sz w:val="15"/>
              </w:rPr>
              <w:t>204 + audit tombstone</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GET /v1/research-runs/{id}</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Facts and provenance</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sources, freshness, gaps</w:t>
            </w:r>
          </w:p>
        </w:tc>
      </w:tr>
      <w:tr>
        <w:trPr>
          <w:cantSplit/>
        </w:trPr>
        <w:tc>
          <w:tcPr>
            <w:tcW w:type="dxa" w:w="2592"/>
            <w:vAlign w:val="center"/>
            <w:tcMar>
              <w:top w:w="90" w:type="dxa"/>
              <w:start w:w="120" w:type="dxa"/>
              <w:bottom w:w="90" w:type="dxa"/>
              <w:end w:w="120" w:type="dxa"/>
            </w:tcMar>
          </w:tcPr>
          <w:p>
            <w:pPr>
              <w:spacing w:after="0"/>
            </w:pPr>
            <w:r>
              <w:rPr>
                <w:rFonts w:ascii="Aptos" w:hAnsi="Aptos"/>
                <w:color w:val="17212B"/>
                <w:sz w:val="15"/>
              </w:rPr>
              <w:t>GET /v1/audit-events</w:t>
            </w:r>
          </w:p>
        </w:tc>
        <w:tc>
          <w:tcPr>
            <w:tcW w:type="dxa" w:w="3312"/>
            <w:vAlign w:val="center"/>
            <w:tcMar>
              <w:top w:w="90" w:type="dxa"/>
              <w:start w:w="120" w:type="dxa"/>
              <w:bottom w:w="90" w:type="dxa"/>
              <w:end w:w="120" w:type="dxa"/>
            </w:tcMar>
          </w:tcPr>
          <w:p>
            <w:pPr>
              <w:spacing w:after="0"/>
            </w:pPr>
            <w:r>
              <w:rPr>
                <w:rFonts w:ascii="Aptos" w:hAnsi="Aptos"/>
                <w:color w:val="17212B"/>
                <w:sz w:val="15"/>
              </w:rPr>
              <w:t>User-visible audit history</w:t>
            </w:r>
          </w:p>
        </w:tc>
        <w:tc>
          <w:tcPr>
            <w:tcW w:type="dxa" w:w="3456"/>
            <w:vAlign w:val="center"/>
            <w:tcMar>
              <w:top w:w="90" w:type="dxa"/>
              <w:start w:w="120" w:type="dxa"/>
              <w:bottom w:w="90" w:type="dxa"/>
              <w:end w:w="120" w:type="dxa"/>
            </w:tcMar>
          </w:tcPr>
          <w:p>
            <w:pPr>
              <w:spacing w:after="0"/>
            </w:pPr>
            <w:r>
              <w:rPr>
                <w:rFonts w:ascii="Aptos" w:hAnsi="Aptos"/>
                <w:color w:val="17212B"/>
                <w:sz w:val="15"/>
              </w:rPr>
              <w:t>redacted, paginated</w:t>
            </w:r>
          </w:p>
        </w:tc>
      </w:tr>
      <w:tr>
        <w:trPr>
          <w:cantSplit/>
        </w:trPr>
        <w:tc>
          <w:tcPr>
            <w:tcW w:type="dxa" w:w="2592"/>
            <w:vAlign w:val="center"/>
            <w:tcMar>
              <w:top w:w="90" w:type="dxa"/>
              <w:start w:w="120" w:type="dxa"/>
              <w:bottom w:w="90" w:type="dxa"/>
              <w:end w:w="120" w:type="dxa"/>
            </w:tcMar>
            <w:shd w:fill="F8FAFB"/>
          </w:tcPr>
          <w:p>
            <w:pPr>
              <w:spacing w:after="0"/>
            </w:pPr>
            <w:r>
              <w:rPr>
                <w:rFonts w:ascii="Aptos" w:hAnsi="Aptos"/>
                <w:color w:val="17212B"/>
                <w:sz w:val="15"/>
              </w:rPr>
              <w:t>GET /v1/entitlements</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Server-verified product access</w:t>
            </w:r>
          </w:p>
        </w:tc>
        <w:tc>
          <w:tcPr>
            <w:tcW w:type="dxa" w:w="3456"/>
            <w:vAlign w:val="center"/>
            <w:tcMar>
              <w:top w:w="90" w:type="dxa"/>
              <w:start w:w="120" w:type="dxa"/>
              <w:bottom w:w="90" w:type="dxa"/>
              <w:end w:w="120" w:type="dxa"/>
            </w:tcMar>
            <w:shd w:fill="F8FAFB"/>
          </w:tcPr>
          <w:p>
            <w:pPr>
              <w:spacing w:after="0"/>
            </w:pPr>
            <w:r>
              <w:rPr>
                <w:rFonts w:ascii="Aptos" w:hAnsi="Aptos"/>
                <w:color w:val="17212B"/>
                <w:sz w:val="15"/>
              </w:rPr>
              <w:t>RevenueCat-derived state</w:t>
            </w:r>
          </w:p>
        </w:tc>
      </w:tr>
    </w:tbl>
    <w:p>
      <w:pPr>
        <w:spacing w:after="20"/>
      </w:pPr>
    </w:p>
    <w:p>
      <w:pPr>
        <w:pStyle w:val="Heading2"/>
      </w:pPr>
      <w:r>
        <w:t>10.2 Internal supplier endpoints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3888"/>
            <w:shd w:fill="17324D"/>
            <w:tcMar>
              <w:top w:w="90" w:type="dxa"/>
              <w:start w:w="120" w:type="dxa"/>
              <w:bottom w:w="90" w:type="dxa"/>
              <w:end w:w="120" w:type="dxa"/>
            </w:tcMar>
          </w:tcPr>
          <w:p>
            <w:pPr>
              <w:spacing w:after="0"/>
            </w:pPr>
            <w:r>
              <w:rPr>
                <w:rFonts w:ascii="Aptos" w:hAnsi="Aptos"/>
                <w:b/>
                <w:color w:val="FFFFFF"/>
                <w:sz w:val="15"/>
              </w:rPr>
              <w:t>Endpoint</w:t>
            </w:r>
          </w:p>
        </w:tc>
        <w:tc>
          <w:tcPr>
            <w:tcW w:type="dxa" w:w="2376"/>
            <w:shd w:fill="17324D"/>
            <w:tcMar>
              <w:top w:w="90" w:type="dxa"/>
              <w:start w:w="120" w:type="dxa"/>
              <w:bottom w:w="90" w:type="dxa"/>
              <w:end w:w="120" w:type="dxa"/>
            </w:tcMar>
          </w:tcPr>
          <w:p>
            <w:pPr>
              <w:spacing w:after="0"/>
            </w:pPr>
            <w:r>
              <w:rPr>
                <w:rFonts w:ascii="Aptos" w:hAnsi="Aptos"/>
                <w:b/>
                <w:color w:val="FFFFFF"/>
                <w:sz w:val="15"/>
              </w:rPr>
              <w:t>Auth scope</w:t>
            </w:r>
          </w:p>
        </w:tc>
        <w:tc>
          <w:tcPr>
            <w:tcW w:type="dxa" w:w="3096"/>
            <w:shd w:fill="17324D"/>
            <w:tcMar>
              <w:top w:w="90" w:type="dxa"/>
              <w:start w:w="120" w:type="dxa"/>
              <w:bottom w:w="90" w:type="dxa"/>
              <w:end w:w="120" w:type="dxa"/>
            </w:tcMar>
          </w:tcPr>
          <w:p>
            <w:pPr>
              <w:spacing w:after="0"/>
            </w:pPr>
            <w:r>
              <w:rPr>
                <w:rFonts w:ascii="Aptos" w:hAnsi="Aptos"/>
                <w:b/>
                <w:color w:val="FFFFFF"/>
                <w:sz w:val="15"/>
              </w:rPr>
              <w:t>Rule</w:t>
            </w:r>
          </w:p>
        </w:tc>
      </w:tr>
      <w:tr>
        <w:trPr>
          <w:cantSplit/>
        </w:trPr>
        <w:tc>
          <w:tcPr>
            <w:tcW w:type="dxa" w:w="3888"/>
            <w:vAlign w:val="center"/>
            <w:tcMar>
              <w:top w:w="90" w:type="dxa"/>
              <w:start w:w="120" w:type="dxa"/>
              <w:bottom w:w="90" w:type="dxa"/>
              <w:end w:w="120" w:type="dxa"/>
            </w:tcMar>
          </w:tcPr>
          <w:p>
            <w:pPr>
              <w:spacing w:after="0"/>
            </w:pPr>
            <w:r>
              <w:rPr>
                <w:rFonts w:ascii="Aptos" w:hAnsi="Aptos"/>
                <w:color w:val="17212B"/>
                <w:sz w:val="15"/>
              </w:rPr>
              <w:t>POST /internal/v1/supplier-invitations/{token}/offers</w:t>
            </w:r>
          </w:p>
        </w:tc>
        <w:tc>
          <w:tcPr>
            <w:tcW w:type="dxa" w:w="2376"/>
            <w:vAlign w:val="center"/>
            <w:tcMar>
              <w:top w:w="90" w:type="dxa"/>
              <w:start w:w="120" w:type="dxa"/>
              <w:bottom w:w="90" w:type="dxa"/>
              <w:end w:w="120" w:type="dxa"/>
            </w:tcMar>
          </w:tcPr>
          <w:p>
            <w:pPr>
              <w:spacing w:after="0"/>
            </w:pPr>
            <w:r>
              <w:rPr>
                <w:rFonts w:ascii="Aptos" w:hAnsi="Aptos"/>
                <w:color w:val="17212B"/>
                <w:sz w:val="15"/>
              </w:rPr>
              <w:t>supplier:{id}:offer.write</w:t>
            </w:r>
          </w:p>
        </w:tc>
        <w:tc>
          <w:tcPr>
            <w:tcW w:type="dxa" w:w="3096"/>
            <w:vAlign w:val="center"/>
            <w:tcMar>
              <w:top w:w="90" w:type="dxa"/>
              <w:start w:w="120" w:type="dxa"/>
              <w:bottom w:w="90" w:type="dxa"/>
              <w:end w:w="120" w:type="dxa"/>
            </w:tcMar>
          </w:tcPr>
          <w:p>
            <w:pPr>
              <w:spacing w:after="0"/>
            </w:pPr>
            <w:r>
              <w:rPr>
                <w:rFonts w:ascii="Aptos" w:hAnsi="Aptos"/>
                <w:color w:val="17212B"/>
                <w:sz w:val="15"/>
              </w:rPr>
              <w:t>Token is one intent, one supplier, short-lived</w:t>
            </w:r>
          </w:p>
        </w:tc>
      </w:tr>
      <w:tr>
        <w:trPr>
          <w:cantSplit/>
        </w:trPr>
        <w:tc>
          <w:tcPr>
            <w:tcW w:type="dxa" w:w="3888"/>
            <w:vAlign w:val="center"/>
            <w:tcMar>
              <w:top w:w="90" w:type="dxa"/>
              <w:start w:w="120" w:type="dxa"/>
              <w:bottom w:w="90" w:type="dxa"/>
              <w:end w:w="120" w:type="dxa"/>
            </w:tcMar>
            <w:shd w:fill="F8FAFB"/>
          </w:tcPr>
          <w:p>
            <w:pPr>
              <w:spacing w:after="0"/>
            </w:pPr>
            <w:r>
              <w:rPr>
                <w:rFonts w:ascii="Aptos" w:hAnsi="Aptos"/>
                <w:color w:val="17212B"/>
                <w:sz w:val="15"/>
              </w:rPr>
              <w:t>POST /internal/v1/supplier-invitations/{token}/counteroffers</w:t>
            </w:r>
          </w:p>
        </w:tc>
        <w:tc>
          <w:tcPr>
            <w:tcW w:type="dxa" w:w="2376"/>
            <w:vAlign w:val="center"/>
            <w:tcMar>
              <w:top w:w="90" w:type="dxa"/>
              <w:start w:w="120" w:type="dxa"/>
              <w:bottom w:w="90" w:type="dxa"/>
              <w:end w:w="120" w:type="dxa"/>
            </w:tcMar>
            <w:shd w:fill="F8FAFB"/>
          </w:tcPr>
          <w:p>
            <w:pPr>
              <w:spacing w:after="0"/>
            </w:pPr>
            <w:r>
              <w:rPr>
                <w:rFonts w:ascii="Aptos" w:hAnsi="Aptos"/>
                <w:color w:val="17212B"/>
                <w:sz w:val="15"/>
              </w:rPr>
              <w:t>supplier:{id}:counter.write</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5"/>
              </w:rPr>
              <w:t>One round; parent version required</w:t>
            </w:r>
          </w:p>
        </w:tc>
      </w:tr>
      <w:tr>
        <w:trPr>
          <w:cantSplit/>
        </w:trPr>
        <w:tc>
          <w:tcPr>
            <w:tcW w:type="dxa" w:w="3888"/>
            <w:vAlign w:val="center"/>
            <w:tcMar>
              <w:top w:w="90" w:type="dxa"/>
              <w:start w:w="120" w:type="dxa"/>
              <w:bottom w:w="90" w:type="dxa"/>
              <w:end w:w="120" w:type="dxa"/>
            </w:tcMar>
          </w:tcPr>
          <w:p>
            <w:pPr>
              <w:spacing w:after="0"/>
            </w:pPr>
            <w:r>
              <w:rPr>
                <w:rFonts w:ascii="Aptos" w:hAnsi="Aptos"/>
                <w:color w:val="17212B"/>
                <w:sz w:val="15"/>
              </w:rPr>
              <w:t>GET /internal/v1/supplier-invitations/{token}</w:t>
            </w:r>
          </w:p>
        </w:tc>
        <w:tc>
          <w:tcPr>
            <w:tcW w:type="dxa" w:w="2376"/>
            <w:vAlign w:val="center"/>
            <w:tcMar>
              <w:top w:w="90" w:type="dxa"/>
              <w:start w:w="120" w:type="dxa"/>
              <w:bottom w:w="90" w:type="dxa"/>
              <w:end w:w="120" w:type="dxa"/>
            </w:tcMar>
          </w:tcPr>
          <w:p>
            <w:pPr>
              <w:spacing w:after="0"/>
            </w:pPr>
            <w:r>
              <w:rPr>
                <w:rFonts w:ascii="Aptos" w:hAnsi="Aptos"/>
                <w:color w:val="17212B"/>
                <w:sz w:val="15"/>
              </w:rPr>
              <w:t>supplier:{id}:intent.read</w:t>
            </w:r>
          </w:p>
        </w:tc>
        <w:tc>
          <w:tcPr>
            <w:tcW w:type="dxa" w:w="3096"/>
            <w:vAlign w:val="center"/>
            <w:tcMar>
              <w:top w:w="90" w:type="dxa"/>
              <w:start w:w="120" w:type="dxa"/>
              <w:bottom w:w="90" w:type="dxa"/>
              <w:end w:w="120" w:type="dxa"/>
            </w:tcMar>
          </w:tcPr>
          <w:p>
            <w:pPr>
              <w:spacing w:after="0"/>
            </w:pPr>
            <w:r>
              <w:rPr>
                <w:rFonts w:ascii="Aptos" w:hAnsi="Aptos"/>
                <w:color w:val="17212B"/>
                <w:sz w:val="15"/>
              </w:rPr>
              <w:t>Returns minimized envelope only</w:t>
            </w:r>
          </w:p>
        </w:tc>
      </w:tr>
    </w:tbl>
    <w:p>
      <w:pPr>
        <w:spacing w:after="20"/>
      </w:pPr>
    </w:p>
    <w:p>
      <w:r>
        <w:br w:type="page"/>
      </w:r>
    </w:p>
    <w:p>
      <w:pPr>
        <w:pStyle w:val="Heading2"/>
      </w:pPr>
      <w:r>
        <w:t>10.3 Storage model</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2088"/>
            <w:shd w:fill="17324D"/>
            <w:tcMar>
              <w:top w:w="90" w:type="dxa"/>
              <w:start w:w="120" w:type="dxa"/>
              <w:bottom w:w="90" w:type="dxa"/>
              <w:end w:w="120" w:type="dxa"/>
            </w:tcMar>
          </w:tcPr>
          <w:p>
            <w:pPr>
              <w:spacing w:after="0"/>
            </w:pPr>
            <w:r>
              <w:rPr>
                <w:rFonts w:ascii="Aptos" w:hAnsi="Aptos"/>
                <w:b/>
                <w:color w:val="FFFFFF"/>
                <w:sz w:val="15"/>
              </w:rPr>
              <w:t>Store / collection</w:t>
            </w:r>
          </w:p>
        </w:tc>
        <w:tc>
          <w:tcPr>
            <w:tcW w:type="dxa" w:w="2736"/>
            <w:shd w:fill="17324D"/>
            <w:tcMar>
              <w:top w:w="90" w:type="dxa"/>
              <w:start w:w="120" w:type="dxa"/>
              <w:bottom w:w="90" w:type="dxa"/>
              <w:end w:w="120" w:type="dxa"/>
            </w:tcMar>
          </w:tcPr>
          <w:p>
            <w:pPr>
              <w:spacing w:after="0"/>
            </w:pPr>
            <w:r>
              <w:rPr>
                <w:rFonts w:ascii="Aptos" w:hAnsi="Aptos"/>
                <w:b/>
                <w:color w:val="FFFFFF"/>
                <w:sz w:val="15"/>
              </w:rPr>
              <w:t>Key / partition</w:t>
            </w:r>
          </w:p>
        </w:tc>
        <w:tc>
          <w:tcPr>
            <w:tcW w:type="dxa" w:w="4536"/>
            <w:shd w:fill="17324D"/>
            <w:tcMar>
              <w:top w:w="90" w:type="dxa"/>
              <w:start w:w="120" w:type="dxa"/>
              <w:bottom w:w="90" w:type="dxa"/>
              <w:end w:w="120" w:type="dxa"/>
            </w:tcMar>
          </w:tcPr>
          <w:p>
            <w:pPr>
              <w:spacing w:after="0"/>
            </w:pPr>
            <w:r>
              <w:rPr>
                <w:rFonts w:ascii="Aptos" w:hAnsi="Aptos"/>
                <w:b/>
                <w:color w:val="FFFFFF"/>
                <w:sz w:val="15"/>
              </w:rPr>
              <w:t>Notes</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5"/>
              </w:rPr>
              <w:t>buyers</w:t>
            </w:r>
          </w:p>
        </w:tc>
        <w:tc>
          <w:tcPr>
            <w:tcW w:type="dxa" w:w="2736"/>
            <w:vAlign w:val="center"/>
            <w:tcMar>
              <w:top w:w="90" w:type="dxa"/>
              <w:start w:w="120" w:type="dxa"/>
              <w:bottom w:w="90" w:type="dxa"/>
              <w:end w:w="120" w:type="dxa"/>
            </w:tcMar>
          </w:tcPr>
          <w:p>
            <w:pPr>
              <w:spacing w:after="0"/>
            </w:pPr>
            <w:r>
              <w:rPr>
                <w:rFonts w:ascii="Aptos" w:hAnsi="Aptos"/>
                <w:color w:val="17212B"/>
                <w:sz w:val="15"/>
              </w:rPr>
              <w:t>buyer_id</w:t>
            </w:r>
          </w:p>
        </w:tc>
        <w:tc>
          <w:tcPr>
            <w:tcW w:type="dxa" w:w="4536"/>
            <w:vAlign w:val="center"/>
            <w:tcMar>
              <w:top w:w="90" w:type="dxa"/>
              <w:start w:w="120" w:type="dxa"/>
              <w:bottom w:w="90" w:type="dxa"/>
              <w:end w:w="120" w:type="dxa"/>
            </w:tcMar>
          </w:tcPr>
          <w:p>
            <w:pPr>
              <w:spacing w:after="0"/>
            </w:pPr>
            <w:r>
              <w:rPr>
                <w:rFonts w:ascii="Aptos" w:hAnsi="Aptos"/>
                <w:color w:val="17212B"/>
                <w:sz w:val="15"/>
              </w:rPr>
              <w:t>Identity and consent metadata; encrypted</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5"/>
              </w:rPr>
              <w:t>artifacts</w:t>
            </w:r>
          </w:p>
        </w:tc>
        <w:tc>
          <w:tcPr>
            <w:tcW w:type="dxa" w:w="2736"/>
            <w:vAlign w:val="center"/>
            <w:tcMar>
              <w:top w:w="90" w:type="dxa"/>
              <w:start w:w="120" w:type="dxa"/>
              <w:bottom w:w="90" w:type="dxa"/>
              <w:end w:w="120" w:type="dxa"/>
            </w:tcMar>
            <w:shd w:fill="F8FAFB"/>
          </w:tcPr>
          <w:p>
            <w:pPr>
              <w:spacing w:after="0"/>
            </w:pPr>
            <w:r>
              <w:rPr>
                <w:rFonts w:ascii="Aptos" w:hAnsi="Aptos"/>
                <w:color w:val="17212B"/>
                <w:sz w:val="15"/>
              </w:rPr>
              <w:t>buyer_id/artifact_id</w:t>
            </w:r>
          </w:p>
        </w:tc>
        <w:tc>
          <w:tcPr>
            <w:tcW w:type="dxa" w:w="4536"/>
            <w:vAlign w:val="center"/>
            <w:tcMar>
              <w:top w:w="90" w:type="dxa"/>
              <w:start w:w="120" w:type="dxa"/>
              <w:bottom w:w="90" w:type="dxa"/>
              <w:end w:w="120" w:type="dxa"/>
            </w:tcMar>
            <w:shd w:fill="F8FAFB"/>
          </w:tcPr>
          <w:p>
            <w:pPr>
              <w:spacing w:after="0"/>
            </w:pPr>
            <w:r>
              <w:rPr>
                <w:rFonts w:ascii="Aptos" w:hAnsi="Aptos"/>
                <w:color w:val="17212B"/>
                <w:sz w:val="15"/>
              </w:rPr>
              <w:t>Object store; malware scan; short retention</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5"/>
              </w:rPr>
              <w:t>requirements</w:t>
            </w:r>
          </w:p>
        </w:tc>
        <w:tc>
          <w:tcPr>
            <w:tcW w:type="dxa" w:w="2736"/>
            <w:vAlign w:val="center"/>
            <w:tcMar>
              <w:top w:w="90" w:type="dxa"/>
              <w:start w:w="120" w:type="dxa"/>
              <w:bottom w:w="90" w:type="dxa"/>
              <w:end w:w="120" w:type="dxa"/>
            </w:tcMar>
          </w:tcPr>
          <w:p>
            <w:pPr>
              <w:spacing w:after="0"/>
            </w:pPr>
            <w:r>
              <w:rPr>
                <w:rFonts w:ascii="Aptos" w:hAnsi="Aptos"/>
                <w:color w:val="17212B"/>
                <w:sz w:val="15"/>
              </w:rPr>
              <w:t>buyer_id/requirement_id/version</w:t>
            </w:r>
          </w:p>
        </w:tc>
        <w:tc>
          <w:tcPr>
            <w:tcW w:type="dxa" w:w="4536"/>
            <w:vAlign w:val="center"/>
            <w:tcMar>
              <w:top w:w="90" w:type="dxa"/>
              <w:start w:w="120" w:type="dxa"/>
              <w:bottom w:w="90" w:type="dxa"/>
              <w:end w:w="120" w:type="dxa"/>
            </w:tcMar>
          </w:tcPr>
          <w:p>
            <w:pPr>
              <w:spacing w:after="0"/>
            </w:pPr>
            <w:r>
              <w:rPr>
                <w:rFonts w:ascii="Aptos" w:hAnsi="Aptos"/>
                <w:color w:val="17212B"/>
                <w:sz w:val="15"/>
              </w:rPr>
              <w:t>Immutable versions; latest pointer</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5"/>
              </w:rPr>
              <w:t>preferences</w:t>
            </w:r>
          </w:p>
        </w:tc>
        <w:tc>
          <w:tcPr>
            <w:tcW w:type="dxa" w:w="2736"/>
            <w:vAlign w:val="center"/>
            <w:tcMar>
              <w:top w:w="90" w:type="dxa"/>
              <w:start w:w="120" w:type="dxa"/>
              <w:bottom w:w="90" w:type="dxa"/>
              <w:end w:w="120" w:type="dxa"/>
            </w:tcMar>
            <w:shd w:fill="F8FAFB"/>
          </w:tcPr>
          <w:p>
            <w:pPr>
              <w:spacing w:after="0"/>
            </w:pPr>
            <w:r>
              <w:rPr>
                <w:rFonts w:ascii="Aptos" w:hAnsi="Aptos"/>
                <w:color w:val="17212B"/>
                <w:sz w:val="15"/>
              </w:rPr>
              <w:t>buyer_id/preference_id</w:t>
            </w:r>
          </w:p>
        </w:tc>
        <w:tc>
          <w:tcPr>
            <w:tcW w:type="dxa" w:w="4536"/>
            <w:vAlign w:val="center"/>
            <w:tcMar>
              <w:top w:w="90" w:type="dxa"/>
              <w:start w:w="120" w:type="dxa"/>
              <w:bottom w:w="90" w:type="dxa"/>
              <w:end w:w="120" w:type="dxa"/>
            </w:tcMar>
            <w:shd w:fill="F8FAFB"/>
          </w:tcPr>
          <w:p>
            <w:pPr>
              <w:spacing w:after="0"/>
            </w:pPr>
            <w:r>
              <w:rPr>
                <w:rFonts w:ascii="Aptos" w:hAnsi="Aptos"/>
                <w:color w:val="17212B"/>
                <w:sz w:val="15"/>
              </w:rPr>
              <w:t>Evidence edges, confidence, user controls</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5"/>
              </w:rPr>
              <w:t>purchase_intents</w:t>
            </w:r>
          </w:p>
        </w:tc>
        <w:tc>
          <w:tcPr>
            <w:tcW w:type="dxa" w:w="2736"/>
            <w:vAlign w:val="center"/>
            <w:tcMar>
              <w:top w:w="90" w:type="dxa"/>
              <w:start w:w="120" w:type="dxa"/>
              <w:bottom w:w="90" w:type="dxa"/>
              <w:end w:w="120" w:type="dxa"/>
            </w:tcMar>
          </w:tcPr>
          <w:p>
            <w:pPr>
              <w:spacing w:after="0"/>
            </w:pPr>
            <w:r>
              <w:rPr>
                <w:rFonts w:ascii="Aptos" w:hAnsi="Aptos"/>
                <w:color w:val="17212B"/>
                <w:sz w:val="15"/>
              </w:rPr>
              <w:t>buyer_id/intent_id</w:t>
            </w:r>
          </w:p>
        </w:tc>
        <w:tc>
          <w:tcPr>
            <w:tcW w:type="dxa" w:w="4536"/>
            <w:vAlign w:val="center"/>
            <w:tcMar>
              <w:top w:w="90" w:type="dxa"/>
              <w:start w:w="120" w:type="dxa"/>
              <w:bottom w:w="90" w:type="dxa"/>
              <w:end w:w="120" w:type="dxa"/>
            </w:tcMar>
          </w:tcPr>
          <w:p>
            <w:pPr>
              <w:spacing w:after="0"/>
            </w:pPr>
            <w:r>
              <w:rPr>
                <w:rFonts w:ascii="Aptos" w:hAnsi="Aptos"/>
                <w:color w:val="17212B"/>
                <w:sz w:val="15"/>
              </w:rPr>
              <w:t>Canonical buyer copy and state</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5"/>
              </w:rPr>
              <w:t>exchange_intents</w:t>
            </w:r>
          </w:p>
        </w:tc>
        <w:tc>
          <w:tcPr>
            <w:tcW w:type="dxa" w:w="2736"/>
            <w:vAlign w:val="center"/>
            <w:tcMar>
              <w:top w:w="90" w:type="dxa"/>
              <w:start w:w="120" w:type="dxa"/>
              <w:bottom w:w="90" w:type="dxa"/>
              <w:end w:w="120" w:type="dxa"/>
            </w:tcMar>
            <w:shd w:fill="F8FAFB"/>
          </w:tcPr>
          <w:p>
            <w:pPr>
              <w:spacing w:after="0"/>
            </w:pPr>
            <w:r>
              <w:rPr>
                <w:rFonts w:ascii="Aptos" w:hAnsi="Aptos"/>
                <w:color w:val="17212B"/>
                <w:sz w:val="15"/>
              </w:rPr>
              <w:t>exchange_intent_id</w:t>
            </w:r>
          </w:p>
        </w:tc>
        <w:tc>
          <w:tcPr>
            <w:tcW w:type="dxa" w:w="4536"/>
            <w:vAlign w:val="center"/>
            <w:tcMar>
              <w:top w:w="90" w:type="dxa"/>
              <w:start w:w="120" w:type="dxa"/>
              <w:bottom w:w="90" w:type="dxa"/>
              <w:end w:w="120" w:type="dxa"/>
            </w:tcMar>
            <w:shd w:fill="F8FAFB"/>
          </w:tcPr>
          <w:p>
            <w:pPr>
              <w:spacing w:after="0"/>
            </w:pPr>
            <w:r>
              <w:rPr>
                <w:rFonts w:ascii="Aptos" w:hAnsi="Aptos"/>
                <w:color w:val="17212B"/>
                <w:sz w:val="15"/>
              </w:rPr>
              <w:t>Minimized payload only; no direct identity</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5"/>
              </w:rPr>
              <w:t>supplier_invitations</w:t>
            </w:r>
          </w:p>
        </w:tc>
        <w:tc>
          <w:tcPr>
            <w:tcW w:type="dxa" w:w="2736"/>
            <w:vAlign w:val="center"/>
            <w:tcMar>
              <w:top w:w="90" w:type="dxa"/>
              <w:start w:w="120" w:type="dxa"/>
              <w:bottom w:w="90" w:type="dxa"/>
              <w:end w:w="120" w:type="dxa"/>
            </w:tcMar>
          </w:tcPr>
          <w:p>
            <w:pPr>
              <w:spacing w:after="0"/>
            </w:pPr>
            <w:r>
              <w:rPr>
                <w:rFonts w:ascii="Aptos" w:hAnsi="Aptos"/>
                <w:color w:val="17212B"/>
                <w:sz w:val="15"/>
              </w:rPr>
              <w:t>supplier_id/invitation_id</w:t>
            </w:r>
          </w:p>
        </w:tc>
        <w:tc>
          <w:tcPr>
            <w:tcW w:type="dxa" w:w="4536"/>
            <w:vAlign w:val="center"/>
            <w:tcMar>
              <w:top w:w="90" w:type="dxa"/>
              <w:start w:w="120" w:type="dxa"/>
              <w:bottom w:w="90" w:type="dxa"/>
              <w:end w:w="120" w:type="dxa"/>
            </w:tcMar>
          </w:tcPr>
          <w:p>
            <w:pPr>
              <w:spacing w:after="0"/>
            </w:pPr>
            <w:r>
              <w:rPr>
                <w:rFonts w:ascii="Aptos" w:hAnsi="Aptos"/>
                <w:color w:val="17212B"/>
                <w:sz w:val="15"/>
              </w:rPr>
              <w:t>Partition prevents cross-supplier listing</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5"/>
              </w:rPr>
              <w:t>offers</w:t>
            </w:r>
          </w:p>
        </w:tc>
        <w:tc>
          <w:tcPr>
            <w:tcW w:type="dxa" w:w="2736"/>
            <w:vAlign w:val="center"/>
            <w:tcMar>
              <w:top w:w="90" w:type="dxa"/>
              <w:start w:w="120" w:type="dxa"/>
              <w:bottom w:w="90" w:type="dxa"/>
              <w:end w:w="120" w:type="dxa"/>
            </w:tcMar>
            <w:shd w:fill="F8FAFB"/>
          </w:tcPr>
          <w:p>
            <w:pPr>
              <w:spacing w:after="0"/>
            </w:pPr>
            <w:r>
              <w:rPr>
                <w:rFonts w:ascii="Aptos" w:hAnsi="Aptos"/>
                <w:color w:val="17212B"/>
                <w:sz w:val="15"/>
              </w:rPr>
              <w:t>supplier_id/offer_id/version</w:t>
            </w:r>
          </w:p>
        </w:tc>
        <w:tc>
          <w:tcPr>
            <w:tcW w:type="dxa" w:w="4536"/>
            <w:vAlign w:val="center"/>
            <w:tcMar>
              <w:top w:w="90" w:type="dxa"/>
              <w:start w:w="120" w:type="dxa"/>
              <w:bottom w:w="90" w:type="dxa"/>
              <w:end w:w="120" w:type="dxa"/>
            </w:tcMar>
            <w:shd w:fill="F8FAFB"/>
          </w:tcPr>
          <w:p>
            <w:pPr>
              <w:spacing w:after="0"/>
            </w:pPr>
            <w:r>
              <w:rPr>
                <w:rFonts w:ascii="Aptos" w:hAnsi="Aptos"/>
                <w:color w:val="17212B"/>
                <w:sz w:val="15"/>
              </w:rPr>
              <w:t>Signed supplier source plus buyer-normalized projection</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5"/>
              </w:rPr>
              <w:t>research_facts</w:t>
            </w:r>
          </w:p>
        </w:tc>
        <w:tc>
          <w:tcPr>
            <w:tcW w:type="dxa" w:w="2736"/>
            <w:vAlign w:val="center"/>
            <w:tcMar>
              <w:top w:w="90" w:type="dxa"/>
              <w:start w:w="120" w:type="dxa"/>
              <w:bottom w:w="90" w:type="dxa"/>
              <w:end w:w="120" w:type="dxa"/>
            </w:tcMar>
          </w:tcPr>
          <w:p>
            <w:pPr>
              <w:spacing w:after="0"/>
            </w:pPr>
            <w:r>
              <w:rPr>
                <w:rFonts w:ascii="Aptos" w:hAnsi="Aptos"/>
                <w:color w:val="17212B"/>
                <w:sz w:val="15"/>
              </w:rPr>
              <w:t>research_run_id/fact_id</w:t>
            </w:r>
          </w:p>
        </w:tc>
        <w:tc>
          <w:tcPr>
            <w:tcW w:type="dxa" w:w="4536"/>
            <w:vAlign w:val="center"/>
            <w:tcMar>
              <w:top w:w="90" w:type="dxa"/>
              <w:start w:w="120" w:type="dxa"/>
              <w:bottom w:w="90" w:type="dxa"/>
              <w:end w:w="120" w:type="dxa"/>
            </w:tcMar>
          </w:tcPr>
          <w:p>
            <w:pPr>
              <w:spacing w:after="0"/>
            </w:pPr>
            <w:r>
              <w:rPr>
                <w:rFonts w:ascii="Aptos" w:hAnsi="Aptos"/>
                <w:color w:val="17212B"/>
                <w:sz w:val="15"/>
              </w:rPr>
              <w:t>Source metadata and freshness</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5"/>
              </w:rPr>
              <w:t>approvals</w:t>
            </w:r>
          </w:p>
        </w:tc>
        <w:tc>
          <w:tcPr>
            <w:tcW w:type="dxa" w:w="2736"/>
            <w:vAlign w:val="center"/>
            <w:tcMar>
              <w:top w:w="90" w:type="dxa"/>
              <w:start w:w="120" w:type="dxa"/>
              <w:bottom w:w="90" w:type="dxa"/>
              <w:end w:w="120" w:type="dxa"/>
            </w:tcMar>
            <w:shd w:fill="F8FAFB"/>
          </w:tcPr>
          <w:p>
            <w:pPr>
              <w:spacing w:after="0"/>
            </w:pPr>
            <w:r>
              <w:rPr>
                <w:rFonts w:ascii="Aptos" w:hAnsi="Aptos"/>
                <w:color w:val="17212B"/>
                <w:sz w:val="15"/>
              </w:rPr>
              <w:t>buyer_id/approval_id</w:t>
            </w:r>
          </w:p>
        </w:tc>
        <w:tc>
          <w:tcPr>
            <w:tcW w:type="dxa" w:w="4536"/>
            <w:vAlign w:val="center"/>
            <w:tcMar>
              <w:top w:w="90" w:type="dxa"/>
              <w:start w:w="120" w:type="dxa"/>
              <w:bottom w:w="90" w:type="dxa"/>
              <w:end w:w="120" w:type="dxa"/>
            </w:tcMar>
            <w:shd w:fill="F8FAFB"/>
          </w:tcPr>
          <w:p>
            <w:pPr>
              <w:spacing w:after="0"/>
            </w:pPr>
            <w:r>
              <w:rPr>
                <w:rFonts w:ascii="Aptos" w:hAnsi="Aptos"/>
                <w:color w:val="17212B"/>
                <w:sz w:val="15"/>
              </w:rPr>
              <w:t>Append-only, payload hash and expiry</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5"/>
              </w:rPr>
              <w:t>audit_events</w:t>
            </w:r>
          </w:p>
        </w:tc>
        <w:tc>
          <w:tcPr>
            <w:tcW w:type="dxa" w:w="2736"/>
            <w:vAlign w:val="center"/>
            <w:tcMar>
              <w:top w:w="90" w:type="dxa"/>
              <w:start w:w="120" w:type="dxa"/>
              <w:bottom w:w="90" w:type="dxa"/>
              <w:end w:w="120" w:type="dxa"/>
            </w:tcMar>
          </w:tcPr>
          <w:p>
            <w:pPr>
              <w:spacing w:after="0"/>
            </w:pPr>
            <w:r>
              <w:rPr>
                <w:rFonts w:ascii="Aptos" w:hAnsi="Aptos"/>
                <w:color w:val="17212B"/>
                <w:sz w:val="15"/>
              </w:rPr>
              <w:t>tenant/day/event_id</w:t>
            </w:r>
          </w:p>
        </w:tc>
        <w:tc>
          <w:tcPr>
            <w:tcW w:type="dxa" w:w="4536"/>
            <w:vAlign w:val="center"/>
            <w:tcMar>
              <w:top w:w="90" w:type="dxa"/>
              <w:start w:w="120" w:type="dxa"/>
              <w:bottom w:w="90" w:type="dxa"/>
              <w:end w:w="120" w:type="dxa"/>
            </w:tcMar>
          </w:tcPr>
          <w:p>
            <w:pPr>
              <w:spacing w:after="0"/>
            </w:pPr>
            <w:r>
              <w:rPr>
                <w:rFonts w:ascii="Aptos" w:hAnsi="Aptos"/>
                <w:color w:val="17212B"/>
                <w:sz w:val="15"/>
              </w:rPr>
              <w:t>WORM-capable sink; redacted fields</w:t>
            </w:r>
          </w:p>
        </w:tc>
      </w:tr>
      <w:tr>
        <w:trPr>
          <w:cantSplit/>
        </w:trPr>
        <w:tc>
          <w:tcPr>
            <w:tcW w:type="dxa" w:w="2088"/>
            <w:vAlign w:val="center"/>
            <w:tcMar>
              <w:top w:w="90" w:type="dxa"/>
              <w:start w:w="120" w:type="dxa"/>
              <w:bottom w:w="90" w:type="dxa"/>
              <w:end w:w="120" w:type="dxa"/>
            </w:tcMar>
            <w:shd w:fill="F8FAFB"/>
          </w:tcPr>
          <w:p>
            <w:pPr>
              <w:spacing w:after="0"/>
            </w:pPr>
            <w:r>
              <w:rPr>
                <w:rFonts w:ascii="Aptos" w:hAnsi="Aptos"/>
                <w:color w:val="17212B"/>
                <w:sz w:val="15"/>
              </w:rPr>
              <w:t>idempotency</w:t>
            </w:r>
          </w:p>
        </w:tc>
        <w:tc>
          <w:tcPr>
            <w:tcW w:type="dxa" w:w="2736"/>
            <w:vAlign w:val="center"/>
            <w:tcMar>
              <w:top w:w="90" w:type="dxa"/>
              <w:start w:w="120" w:type="dxa"/>
              <w:bottom w:w="90" w:type="dxa"/>
              <w:end w:w="120" w:type="dxa"/>
            </w:tcMar>
            <w:shd w:fill="F8FAFB"/>
          </w:tcPr>
          <w:p>
            <w:pPr>
              <w:spacing w:after="0"/>
            </w:pPr>
            <w:r>
              <w:rPr>
                <w:rFonts w:ascii="Aptos" w:hAnsi="Aptos"/>
                <w:color w:val="17212B"/>
                <w:sz w:val="15"/>
              </w:rPr>
              <w:t>actor/key</w:t>
            </w:r>
          </w:p>
        </w:tc>
        <w:tc>
          <w:tcPr>
            <w:tcW w:type="dxa" w:w="4536"/>
            <w:vAlign w:val="center"/>
            <w:tcMar>
              <w:top w:w="90" w:type="dxa"/>
              <w:start w:w="120" w:type="dxa"/>
              <w:bottom w:w="90" w:type="dxa"/>
              <w:end w:w="120" w:type="dxa"/>
            </w:tcMar>
            <w:shd w:fill="F8FAFB"/>
          </w:tcPr>
          <w:p>
            <w:pPr>
              <w:spacing w:after="0"/>
            </w:pPr>
            <w:r>
              <w:rPr>
                <w:rFonts w:ascii="Aptos" w:hAnsi="Aptos"/>
                <w:color w:val="17212B"/>
                <w:sz w:val="15"/>
              </w:rPr>
              <w:t>Request hash + response + TTL</w:t>
            </w:r>
          </w:p>
        </w:tc>
      </w:tr>
      <w:tr>
        <w:trPr>
          <w:cantSplit/>
        </w:trPr>
        <w:tc>
          <w:tcPr>
            <w:tcW w:type="dxa" w:w="2088"/>
            <w:vAlign w:val="center"/>
            <w:tcMar>
              <w:top w:w="90" w:type="dxa"/>
              <w:start w:w="120" w:type="dxa"/>
              <w:bottom w:w="90" w:type="dxa"/>
              <w:end w:w="120" w:type="dxa"/>
            </w:tcMar>
          </w:tcPr>
          <w:p>
            <w:pPr>
              <w:spacing w:after="0"/>
            </w:pPr>
            <w:r>
              <w:rPr>
                <w:rFonts w:ascii="Aptos" w:hAnsi="Aptos"/>
                <w:color w:val="17212B"/>
                <w:sz w:val="15"/>
              </w:rPr>
              <w:t>entitlement_cache</w:t>
            </w:r>
          </w:p>
        </w:tc>
        <w:tc>
          <w:tcPr>
            <w:tcW w:type="dxa" w:w="2736"/>
            <w:vAlign w:val="center"/>
            <w:tcMar>
              <w:top w:w="90" w:type="dxa"/>
              <w:start w:w="120" w:type="dxa"/>
              <w:bottom w:w="90" w:type="dxa"/>
              <w:end w:w="120" w:type="dxa"/>
            </w:tcMar>
          </w:tcPr>
          <w:p>
            <w:pPr>
              <w:spacing w:after="0"/>
            </w:pPr>
            <w:r>
              <w:rPr>
                <w:rFonts w:ascii="Aptos" w:hAnsi="Aptos"/>
                <w:color w:val="17212B"/>
                <w:sz w:val="15"/>
              </w:rPr>
              <w:t>buyer_id</w:t>
            </w:r>
          </w:p>
        </w:tc>
        <w:tc>
          <w:tcPr>
            <w:tcW w:type="dxa" w:w="4536"/>
            <w:vAlign w:val="center"/>
            <w:tcMar>
              <w:top w:w="90" w:type="dxa"/>
              <w:start w:w="120" w:type="dxa"/>
              <w:bottom w:w="90" w:type="dxa"/>
              <w:end w:w="120" w:type="dxa"/>
            </w:tcMar>
          </w:tcPr>
          <w:p>
            <w:pPr>
              <w:spacing w:after="0"/>
            </w:pPr>
            <w:r>
              <w:rPr>
                <w:rFonts w:ascii="Aptos" w:hAnsi="Aptos"/>
                <w:color w:val="17212B"/>
                <w:sz w:val="15"/>
              </w:rPr>
              <w:t>Short TTL; webhook-updated</w:t>
            </w:r>
          </w:p>
        </w:tc>
      </w:tr>
    </w:tbl>
    <w:p>
      <w:pPr>
        <w:spacing w:after="20"/>
      </w:pPr>
    </w:p>
    <w:p>
      <w:pPr>
        <w:pStyle w:val="Heading2"/>
      </w:pPr>
      <w:r>
        <w:t>10.4 Data lifecycle</w:t>
      </w:r>
    </w:p>
    <w:p>
      <w:r>
        <w:t>Current backend durability is unsupported. In-memory API state and browser session storage are caches, not the system of record. Restart yields unknown_resource. Do not promise resume across sessions, devices, or backend restarts. Proposed future defaults when durable repositories exist: raw shared artifacts 30 days (or immediate deletion after extraction); normalized requirements and decisions until user deletion; research cache by source freshness, typically 15 minutes for prices and 30 days for static terms; exchange payloads/offers 90 days for beta audit; security audit events 365 days; idempotency keys 24 hours. Final policy must be documented in-app before production.</w:t>
      </w:r>
    </w:p>
    <w:p>
      <w:r>
        <w:br w:type="page"/>
      </w:r>
    </w:p>
    <w:p>
      <w:pPr>
        <w:pStyle w:val="Heading1"/>
      </w:pPr>
      <w:r>
        <w:t>11. Security, auditability, observability, and failure handling</w:t>
      </w:r>
    </w:p>
    <w:p>
      <w:pPr>
        <w:pStyle w:val="Heading2"/>
      </w:pPr>
      <w:r>
        <w:t>11.1 Security controls</w:t>
      </w:r>
    </w:p>
    <w:p>
      <w:pPr>
        <w:pStyle w:val="ListBullet"/>
        <w:ind w:left="403" w:hanging="259"/>
      </w:pPr>
      <w:r>
        <w:t>Threat model covers prompt injection, tool-result poisoning, data exfiltration, cross-supplier authorization, forged offers, replay, confused deputy, approval spoofing, insecure mobile storage, and webhook forgery.</w:t>
      </w:r>
    </w:p>
    <w:p>
      <w:pPr>
        <w:pStyle w:val="ListBullet"/>
        <w:ind w:left="403" w:hanging="259"/>
      </w:pPr>
      <w:r>
        <w:t>Encrypt transport and storage; use managed KMS; store secrets only in provider secret managers; rotate signing keys and maintain key IDs on receipts.</w:t>
      </w:r>
    </w:p>
    <w:p>
      <w:pPr>
        <w:pStyle w:val="ListBullet"/>
        <w:ind w:left="403" w:hanging="259"/>
      </w:pPr>
      <w:r>
        <w:t>Use OIDC for users, workload identity for services, supplier-scoped credentials, and deny-by-default authorization.</w:t>
      </w:r>
    </w:p>
    <w:p>
      <w:pPr>
        <w:pStyle w:val="ListBullet"/>
        <w:ind w:left="403" w:hanging="259"/>
      </w:pPr>
      <w:r>
        <w:t>Verify supplier offer signatures and RevenueCat webhook signatures; enforce timestamp and replay windows.</w:t>
      </w:r>
    </w:p>
    <w:p>
      <w:pPr>
        <w:pStyle w:val="ListBullet"/>
        <w:ind w:left="403" w:hanging="259"/>
      </w:pPr>
      <w:r>
        <w:t>Sanitize/scan uploads; fetch URLs through an egress-controlled retriever with SSRF protection.</w:t>
      </w:r>
    </w:p>
    <w:p>
      <w:pPr>
        <w:pStyle w:val="ListBullet"/>
        <w:ind w:left="403" w:hanging="259"/>
      </w:pPr>
      <w:r>
        <w:t>Use step-up authentication for real purchases or configured thresholds; MVP simulation still requires explicit approval.</w:t>
      </w:r>
    </w:p>
    <w:p>
      <w:pPr>
        <w:pStyle w:val="ListBullet"/>
        <w:ind w:left="403" w:hanging="259"/>
      </w:pPr>
      <w:r>
        <w:t>Do not log raw artifacts, access tokens, payment details, direct identifiers, model prompts containing private context, or full supplier policy.</w:t>
      </w:r>
    </w:p>
    <w:p>
      <w:pPr>
        <w:pStyle w:val="Heading2"/>
      </w:pPr>
      <w:r>
        <w:t>11.2 Audit event contract</w:t>
      </w:r>
    </w:p>
    <w:p>
      <w:pPr>
        <w:pStyle w:val="CodeBlock"/>
        <w:shd w:fill="EEF3F6"/>
      </w:pPr>
      <w:r>
        <w:rPr>
          <w:rFonts w:ascii="Aptos Mono" w:hAnsi="Aptos Mono"/>
          <w:color w:val="17212B"/>
          <w:sz w:val="15"/>
        </w:rPr>
        <w:t>AuditEvent { eventId, occurredAt, actor:{type,id}, action, resource:{type,id,version},</w:t>
        <w:br/>
        <w:t xml:space="preserve">  decision:{result,policyId,reasonCodes[]}, payloadHash?, approvalId?, traceId,</w:t>
        <w:br/>
        <w:t xml:space="preserve">  provider?, simulation, redactionProfile, previousEventHash?, signature? }</w:t>
      </w:r>
    </w:p>
    <w:p>
      <w:r>
        <w:t>Audit events are append-only and correlated to user-visible timelines. Approval records preserve the exact reviewed payload hash. An optional hash chain improves tamper evidence. Administrative access is separately logged and periodically reviewed.</w:t>
      </w:r>
    </w:p>
    <w:p>
      <w:pPr>
        <w:pStyle w:val="Heading2"/>
      </w:pPr>
      <w:r>
        <w:t>11.3 Observability</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728"/>
            <w:shd w:fill="17324D"/>
            <w:tcMar>
              <w:top w:w="90" w:type="dxa"/>
              <w:start w:w="120" w:type="dxa"/>
              <w:bottom w:w="90" w:type="dxa"/>
              <w:end w:w="120" w:type="dxa"/>
            </w:tcMar>
          </w:tcPr>
          <w:p>
            <w:pPr>
              <w:spacing w:after="0"/>
            </w:pPr>
            <w:r>
              <w:rPr>
                <w:rFonts w:ascii="Aptos" w:hAnsi="Aptos"/>
                <w:b/>
                <w:color w:val="FFFFFF"/>
                <w:sz w:val="15"/>
              </w:rPr>
              <w:t>Signal</w:t>
            </w:r>
          </w:p>
        </w:tc>
        <w:tc>
          <w:tcPr>
            <w:tcW w:type="dxa" w:w="3744"/>
            <w:shd w:fill="17324D"/>
            <w:tcMar>
              <w:top w:w="90" w:type="dxa"/>
              <w:start w:w="120" w:type="dxa"/>
              <w:bottom w:w="90" w:type="dxa"/>
              <w:end w:w="120" w:type="dxa"/>
            </w:tcMar>
          </w:tcPr>
          <w:p>
            <w:pPr>
              <w:spacing w:after="0"/>
            </w:pPr>
            <w:r>
              <w:rPr>
                <w:rFonts w:ascii="Aptos" w:hAnsi="Aptos"/>
                <w:b/>
                <w:color w:val="FFFFFF"/>
                <w:sz w:val="15"/>
              </w:rPr>
              <w:t>Measures</w:t>
            </w:r>
          </w:p>
        </w:tc>
        <w:tc>
          <w:tcPr>
            <w:tcW w:type="dxa" w:w="3888"/>
            <w:shd w:fill="17324D"/>
            <w:tcMar>
              <w:top w:w="90" w:type="dxa"/>
              <w:start w:w="120" w:type="dxa"/>
              <w:bottom w:w="90" w:type="dxa"/>
              <w:end w:w="120" w:type="dxa"/>
            </w:tcMar>
          </w:tcPr>
          <w:p>
            <w:pPr>
              <w:spacing w:after="0"/>
            </w:pPr>
            <w:r>
              <w:rPr>
                <w:rFonts w:ascii="Aptos" w:hAnsi="Aptos"/>
                <w:b/>
                <w:color w:val="FFFFFF"/>
                <w:sz w:val="15"/>
              </w:rPr>
              <w:t>Release indicators</w:t>
            </w:r>
          </w:p>
        </w:tc>
      </w:tr>
      <w:tr>
        <w:trPr>
          <w:cantSplit/>
        </w:trPr>
        <w:tc>
          <w:tcPr>
            <w:tcW w:type="dxa" w:w="1728"/>
            <w:vAlign w:val="center"/>
            <w:tcMar>
              <w:top w:w="90" w:type="dxa"/>
              <w:start w:w="120" w:type="dxa"/>
              <w:bottom w:w="90" w:type="dxa"/>
              <w:end w:w="120" w:type="dxa"/>
            </w:tcMar>
          </w:tcPr>
          <w:p>
            <w:pPr>
              <w:spacing w:after="0"/>
            </w:pPr>
            <w:r>
              <w:rPr>
                <w:rFonts w:ascii="Aptos" w:hAnsi="Aptos"/>
                <w:color w:val="17212B"/>
                <w:sz w:val="15"/>
              </w:rPr>
              <w:t>Product funnel</w:t>
            </w:r>
          </w:p>
        </w:tc>
        <w:tc>
          <w:tcPr>
            <w:tcW w:type="dxa" w:w="3744"/>
            <w:vAlign w:val="center"/>
            <w:tcMar>
              <w:top w:w="90" w:type="dxa"/>
              <w:start w:w="120" w:type="dxa"/>
              <w:bottom w:w="90" w:type="dxa"/>
              <w:end w:w="120" w:type="dxa"/>
            </w:tcMar>
          </w:tcPr>
          <w:p>
            <w:pPr>
              <w:spacing w:after="0"/>
            </w:pPr>
            <w:r>
              <w:rPr>
                <w:rFonts w:ascii="Aptos" w:hAnsi="Aptos"/>
                <w:color w:val="17212B"/>
                <w:sz w:val="15"/>
              </w:rPr>
              <w:t>ingest→confirm→dispatch→offers→accept→authorize</w:t>
            </w:r>
          </w:p>
        </w:tc>
        <w:tc>
          <w:tcPr>
            <w:tcW w:type="dxa" w:w="3888"/>
            <w:vAlign w:val="center"/>
            <w:tcMar>
              <w:top w:w="90" w:type="dxa"/>
              <w:start w:w="120" w:type="dxa"/>
              <w:bottom w:w="90" w:type="dxa"/>
              <w:end w:w="120" w:type="dxa"/>
            </w:tcMar>
          </w:tcPr>
          <w:p>
            <w:pPr>
              <w:spacing w:after="0"/>
            </w:pPr>
            <w:r>
              <w:rPr>
                <w:rFonts w:ascii="Aptos" w:hAnsi="Aptos"/>
                <w:color w:val="17212B"/>
                <w:sz w:val="15"/>
              </w:rPr>
              <w:t>completion, drop-off, time-to-decision</w:t>
            </w:r>
          </w:p>
        </w:tc>
      </w:tr>
      <w:tr>
        <w:trPr>
          <w:cantSplit/>
        </w:trPr>
        <w:tc>
          <w:tcPr>
            <w:tcW w:type="dxa" w:w="1728"/>
            <w:vAlign w:val="center"/>
            <w:tcMar>
              <w:top w:w="90" w:type="dxa"/>
              <w:start w:w="120" w:type="dxa"/>
              <w:bottom w:w="90" w:type="dxa"/>
              <w:end w:w="120" w:type="dxa"/>
            </w:tcMar>
            <w:shd w:fill="F8FAFB"/>
          </w:tcPr>
          <w:p>
            <w:pPr>
              <w:spacing w:after="0"/>
            </w:pPr>
            <w:r>
              <w:rPr>
                <w:rFonts w:ascii="Aptos" w:hAnsi="Aptos"/>
                <w:color w:val="17212B"/>
                <w:sz w:val="15"/>
              </w:rPr>
              <w:t>Agent quality</w:t>
            </w:r>
          </w:p>
        </w:tc>
        <w:tc>
          <w:tcPr>
            <w:tcW w:type="dxa" w:w="3744"/>
            <w:vAlign w:val="center"/>
            <w:tcMar>
              <w:top w:w="90" w:type="dxa"/>
              <w:start w:w="120" w:type="dxa"/>
              <w:bottom w:w="90" w:type="dxa"/>
              <w:end w:w="120" w:type="dxa"/>
            </w:tcMar>
            <w:shd w:fill="F8FAFB"/>
          </w:tcPr>
          <w:p>
            <w:pPr>
              <w:spacing w:after="0"/>
            </w:pPr>
            <w:r>
              <w:rPr>
                <w:rFonts w:ascii="Aptos" w:hAnsi="Aptos"/>
                <w:color w:val="17212B"/>
                <w:sz w:val="15"/>
              </w:rPr>
              <w:t>schema pass, tool success, grounded fact rate, clarification rate</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per adapter/model/version</w:t>
            </w:r>
          </w:p>
        </w:tc>
      </w:tr>
      <w:tr>
        <w:trPr>
          <w:cantSplit/>
        </w:trPr>
        <w:tc>
          <w:tcPr>
            <w:tcW w:type="dxa" w:w="1728"/>
            <w:vAlign w:val="center"/>
            <w:tcMar>
              <w:top w:w="90" w:type="dxa"/>
              <w:start w:w="120" w:type="dxa"/>
              <w:bottom w:w="90" w:type="dxa"/>
              <w:end w:w="120" w:type="dxa"/>
            </w:tcMar>
          </w:tcPr>
          <w:p>
            <w:pPr>
              <w:spacing w:after="0"/>
            </w:pPr>
            <w:r>
              <w:rPr>
                <w:rFonts w:ascii="Aptos" w:hAnsi="Aptos"/>
                <w:color w:val="17212B"/>
                <w:sz w:val="15"/>
              </w:rPr>
              <w:t>Offer market</w:t>
            </w:r>
          </w:p>
        </w:tc>
        <w:tc>
          <w:tcPr>
            <w:tcW w:type="dxa" w:w="3744"/>
            <w:vAlign w:val="center"/>
            <w:tcMar>
              <w:top w:w="90" w:type="dxa"/>
              <w:start w:w="120" w:type="dxa"/>
              <w:bottom w:w="90" w:type="dxa"/>
              <w:end w:w="120" w:type="dxa"/>
            </w:tcMar>
          </w:tcPr>
          <w:p>
            <w:pPr>
              <w:spacing w:after="0"/>
            </w:pPr>
            <w:r>
              <w:rPr>
                <w:rFonts w:ascii="Aptos" w:hAnsi="Aptos"/>
                <w:color w:val="17212B"/>
                <w:sz w:val="15"/>
              </w:rPr>
              <w:t>response rate, validity, eligibility, savings vs baseline</w:t>
            </w:r>
          </w:p>
        </w:tc>
        <w:tc>
          <w:tcPr>
            <w:tcW w:type="dxa" w:w="3888"/>
            <w:vAlign w:val="center"/>
            <w:tcMar>
              <w:top w:w="90" w:type="dxa"/>
              <w:start w:w="120" w:type="dxa"/>
              <w:bottom w:w="90" w:type="dxa"/>
              <w:end w:w="120" w:type="dxa"/>
            </w:tcMar>
          </w:tcPr>
          <w:p>
            <w:pPr>
              <w:spacing w:after="0"/>
            </w:pPr>
            <w:r>
              <w:rPr>
                <w:rFonts w:ascii="Aptos" w:hAnsi="Aptos"/>
                <w:color w:val="17212B"/>
                <w:sz w:val="15"/>
              </w:rPr>
              <w:t>supplier and intent cohort</w:t>
            </w:r>
          </w:p>
        </w:tc>
      </w:tr>
      <w:tr>
        <w:trPr>
          <w:cantSplit/>
        </w:trPr>
        <w:tc>
          <w:tcPr>
            <w:tcW w:type="dxa" w:w="1728"/>
            <w:vAlign w:val="center"/>
            <w:tcMar>
              <w:top w:w="90" w:type="dxa"/>
              <w:start w:w="120" w:type="dxa"/>
              <w:bottom w:w="90" w:type="dxa"/>
              <w:end w:w="120" w:type="dxa"/>
            </w:tcMar>
            <w:shd w:fill="F8FAFB"/>
          </w:tcPr>
          <w:p>
            <w:pPr>
              <w:spacing w:after="0"/>
            </w:pPr>
            <w:r>
              <w:rPr>
                <w:rFonts w:ascii="Aptos" w:hAnsi="Aptos"/>
                <w:color w:val="17212B"/>
                <w:sz w:val="15"/>
              </w:rPr>
              <w:t>Privacy/governance</w:t>
            </w:r>
          </w:p>
        </w:tc>
        <w:tc>
          <w:tcPr>
            <w:tcW w:type="dxa" w:w="3744"/>
            <w:vAlign w:val="center"/>
            <w:tcMar>
              <w:top w:w="90" w:type="dxa"/>
              <w:start w:w="120" w:type="dxa"/>
              <w:bottom w:w="90" w:type="dxa"/>
              <w:end w:w="120" w:type="dxa"/>
            </w:tcMar>
            <w:shd w:fill="F8FAFB"/>
          </w:tcPr>
          <w:p>
            <w:pPr>
              <w:spacing w:after="0"/>
            </w:pPr>
            <w:r>
              <w:rPr>
                <w:rFonts w:ascii="Aptos" w:hAnsi="Aptos"/>
                <w:color w:val="17212B"/>
                <w:sz w:val="15"/>
              </w:rPr>
              <w:t>redaction count, policy deny, approval mismatch, isolation deny</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zero leakage SLO</w:t>
            </w:r>
          </w:p>
        </w:tc>
      </w:tr>
      <w:tr>
        <w:trPr>
          <w:cantSplit/>
        </w:trPr>
        <w:tc>
          <w:tcPr>
            <w:tcW w:type="dxa" w:w="1728"/>
            <w:vAlign w:val="center"/>
            <w:tcMar>
              <w:top w:w="90" w:type="dxa"/>
              <w:start w:w="120" w:type="dxa"/>
              <w:bottom w:w="90" w:type="dxa"/>
              <w:end w:w="120" w:type="dxa"/>
            </w:tcMar>
          </w:tcPr>
          <w:p>
            <w:pPr>
              <w:spacing w:after="0"/>
            </w:pPr>
            <w:r>
              <w:rPr>
                <w:rFonts w:ascii="Aptos" w:hAnsi="Aptos"/>
                <w:color w:val="17212B"/>
                <w:sz w:val="15"/>
              </w:rPr>
              <w:t>Reliability</w:t>
            </w:r>
          </w:p>
        </w:tc>
        <w:tc>
          <w:tcPr>
            <w:tcW w:type="dxa" w:w="3744"/>
            <w:vAlign w:val="center"/>
            <w:tcMar>
              <w:top w:w="90" w:type="dxa"/>
              <w:start w:w="120" w:type="dxa"/>
              <w:bottom w:w="90" w:type="dxa"/>
              <w:end w:w="120" w:type="dxa"/>
            </w:tcMar>
          </w:tcPr>
          <w:p>
            <w:pPr>
              <w:spacing w:after="0"/>
            </w:pPr>
            <w:r>
              <w:rPr>
                <w:rFonts w:ascii="Aptos" w:hAnsi="Aptos"/>
                <w:color w:val="17212B"/>
                <w:sz w:val="15"/>
              </w:rPr>
              <w:t>latency, errors, queue lag, retry, timeout, idempotency hit</w:t>
            </w:r>
          </w:p>
        </w:tc>
        <w:tc>
          <w:tcPr>
            <w:tcW w:type="dxa" w:w="3888"/>
            <w:vAlign w:val="center"/>
            <w:tcMar>
              <w:top w:w="90" w:type="dxa"/>
              <w:start w:w="120" w:type="dxa"/>
              <w:bottom w:w="90" w:type="dxa"/>
              <w:end w:w="120" w:type="dxa"/>
            </w:tcMar>
          </w:tcPr>
          <w:p>
            <w:pPr>
              <w:spacing w:after="0"/>
            </w:pPr>
            <w:r>
              <w:rPr>
                <w:rFonts w:ascii="Aptos" w:hAnsi="Aptos"/>
                <w:color w:val="17212B"/>
                <w:sz w:val="15"/>
              </w:rPr>
              <w:t>SLO burn alerts</w:t>
            </w:r>
          </w:p>
        </w:tc>
      </w:tr>
      <w:tr>
        <w:trPr>
          <w:cantSplit/>
        </w:trPr>
        <w:tc>
          <w:tcPr>
            <w:tcW w:type="dxa" w:w="1728"/>
            <w:vAlign w:val="center"/>
            <w:tcMar>
              <w:top w:w="90" w:type="dxa"/>
              <w:start w:w="120" w:type="dxa"/>
              <w:bottom w:w="90" w:type="dxa"/>
              <w:end w:w="120" w:type="dxa"/>
            </w:tcMar>
            <w:shd w:fill="F8FAFB"/>
          </w:tcPr>
          <w:p>
            <w:pPr>
              <w:spacing w:after="0"/>
            </w:pPr>
            <w:r>
              <w:rPr>
                <w:rFonts w:ascii="Aptos" w:hAnsi="Aptos"/>
                <w:color w:val="17212B"/>
                <w:sz w:val="15"/>
              </w:rPr>
              <w:t>Economics</w:t>
            </w:r>
          </w:p>
        </w:tc>
        <w:tc>
          <w:tcPr>
            <w:tcW w:type="dxa" w:w="3744"/>
            <w:vAlign w:val="center"/>
            <w:tcMar>
              <w:top w:w="90" w:type="dxa"/>
              <w:start w:w="120" w:type="dxa"/>
              <w:bottom w:w="90" w:type="dxa"/>
              <w:end w:w="120" w:type="dxa"/>
            </w:tcMar>
            <w:shd w:fill="F8FAFB"/>
          </w:tcPr>
          <w:p>
            <w:pPr>
              <w:spacing w:after="0"/>
            </w:pPr>
            <w:r>
              <w:rPr>
                <w:rFonts w:ascii="Aptos" w:hAnsi="Aptos"/>
                <w:color w:val="17212B"/>
                <w:sz w:val="15"/>
              </w:rPr>
              <w:t>tokens, model/tool/provider cost, revenue entitlement, conversion</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cost per completed intent</w:t>
            </w:r>
          </w:p>
        </w:tc>
      </w:tr>
    </w:tbl>
    <w:p>
      <w:pPr>
        <w:spacing w:after="20"/>
      </w:pPr>
    </w:p>
    <w:p>
      <w:pPr>
        <w:pStyle w:val="Heading2"/>
      </w:pPr>
      <w:r>
        <w:t>11.4 Failure handling</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2160"/>
            <w:shd w:fill="17324D"/>
            <w:tcMar>
              <w:top w:w="90" w:type="dxa"/>
              <w:start w:w="120" w:type="dxa"/>
              <w:bottom w:w="90" w:type="dxa"/>
              <w:end w:w="120" w:type="dxa"/>
            </w:tcMar>
          </w:tcPr>
          <w:p>
            <w:pPr>
              <w:spacing w:after="0"/>
            </w:pPr>
            <w:r>
              <w:rPr>
                <w:rFonts w:ascii="Aptos" w:hAnsi="Aptos"/>
                <w:b/>
                <w:color w:val="FFFFFF"/>
                <w:sz w:val="15"/>
              </w:rPr>
              <w:t>Failure</w:t>
            </w:r>
          </w:p>
        </w:tc>
        <w:tc>
          <w:tcPr>
            <w:tcW w:type="dxa" w:w="3672"/>
            <w:shd w:fill="17324D"/>
            <w:tcMar>
              <w:top w:w="90" w:type="dxa"/>
              <w:start w:w="120" w:type="dxa"/>
              <w:bottom w:w="90" w:type="dxa"/>
              <w:end w:w="120" w:type="dxa"/>
            </w:tcMar>
          </w:tcPr>
          <w:p>
            <w:pPr>
              <w:spacing w:after="0"/>
            </w:pPr>
            <w:r>
              <w:rPr>
                <w:rFonts w:ascii="Aptos" w:hAnsi="Aptos"/>
                <w:b/>
                <w:color w:val="FFFFFF"/>
                <w:sz w:val="15"/>
              </w:rPr>
              <w:t>System behavior</w:t>
            </w:r>
          </w:p>
        </w:tc>
        <w:tc>
          <w:tcPr>
            <w:tcW w:type="dxa" w:w="3528"/>
            <w:shd w:fill="17324D"/>
            <w:tcMar>
              <w:top w:w="90" w:type="dxa"/>
              <w:start w:w="120" w:type="dxa"/>
              <w:bottom w:w="90" w:type="dxa"/>
              <w:end w:w="120" w:type="dxa"/>
            </w:tcMar>
          </w:tcPr>
          <w:p>
            <w:pPr>
              <w:spacing w:after="0"/>
            </w:pPr>
            <w:r>
              <w:rPr>
                <w:rFonts w:ascii="Aptos" w:hAnsi="Aptos"/>
                <w:b/>
                <w:color w:val="FFFFFF"/>
                <w:sz w:val="15"/>
              </w:rPr>
              <w:t>User experience</w:t>
            </w:r>
          </w:p>
        </w:tc>
      </w:tr>
      <w:tr>
        <w:trPr>
          <w:cantSplit/>
        </w:trPr>
        <w:tc>
          <w:tcPr>
            <w:tcW w:type="dxa" w:w="2160"/>
            <w:vAlign w:val="center"/>
            <w:tcMar>
              <w:top w:w="90" w:type="dxa"/>
              <w:start w:w="120" w:type="dxa"/>
              <w:bottom w:w="90" w:type="dxa"/>
              <w:end w:w="120" w:type="dxa"/>
            </w:tcMar>
          </w:tcPr>
          <w:p>
            <w:pPr>
              <w:spacing w:after="0"/>
            </w:pPr>
            <w:r>
              <w:rPr>
                <w:rFonts w:ascii="Aptos" w:hAnsi="Aptos"/>
                <w:color w:val="17212B"/>
                <w:sz w:val="15"/>
              </w:rPr>
              <w:t>Extraction low confidence</w:t>
            </w:r>
          </w:p>
        </w:tc>
        <w:tc>
          <w:tcPr>
            <w:tcW w:type="dxa" w:w="3672"/>
            <w:vAlign w:val="center"/>
            <w:tcMar>
              <w:top w:w="90" w:type="dxa"/>
              <w:start w:w="120" w:type="dxa"/>
              <w:bottom w:w="90" w:type="dxa"/>
              <w:end w:w="120" w:type="dxa"/>
            </w:tcMar>
          </w:tcPr>
          <w:p>
            <w:pPr>
              <w:spacing w:after="0"/>
            </w:pPr>
            <w:r>
              <w:rPr>
                <w:rFonts w:ascii="Aptos" w:hAnsi="Aptos"/>
                <w:color w:val="17212B"/>
                <w:sz w:val="15"/>
              </w:rPr>
              <w:t>Preserve draft; ask one focused question</w:t>
            </w:r>
          </w:p>
        </w:tc>
        <w:tc>
          <w:tcPr>
            <w:tcW w:type="dxa" w:w="3528"/>
            <w:vAlign w:val="center"/>
            <w:tcMar>
              <w:top w:w="90" w:type="dxa"/>
              <w:start w:w="120" w:type="dxa"/>
              <w:bottom w:w="90" w:type="dxa"/>
              <w:end w:w="120" w:type="dxa"/>
            </w:tcMar>
          </w:tcPr>
          <w:p>
            <w:pPr>
              <w:spacing w:after="0"/>
            </w:pPr>
            <w:r>
              <w:rPr>
                <w:rFonts w:ascii="Aptos" w:hAnsi="Aptos"/>
                <w:color w:val="17212B"/>
                <w:sz w:val="15"/>
              </w:rPr>
              <w:t>“Confirm entry date” with source highlight</w:t>
            </w:r>
          </w:p>
        </w:tc>
      </w:tr>
      <w:tr>
        <w:trPr>
          <w:cantSplit/>
        </w:trPr>
        <w:tc>
          <w:tcPr>
            <w:tcW w:type="dxa" w:w="2160"/>
            <w:vAlign w:val="center"/>
            <w:tcMar>
              <w:top w:w="90" w:type="dxa"/>
              <w:start w:w="120" w:type="dxa"/>
              <w:bottom w:w="90" w:type="dxa"/>
              <w:end w:w="120" w:type="dxa"/>
            </w:tcMar>
            <w:shd w:fill="F8FAFB"/>
          </w:tcPr>
          <w:p>
            <w:pPr>
              <w:spacing w:after="0"/>
            </w:pPr>
            <w:r>
              <w:rPr>
                <w:rFonts w:ascii="Aptos" w:hAnsi="Aptos"/>
                <w:color w:val="17212B"/>
                <w:sz w:val="15"/>
              </w:rPr>
              <w:t>Research provider unavailable</w:t>
            </w:r>
          </w:p>
        </w:tc>
        <w:tc>
          <w:tcPr>
            <w:tcW w:type="dxa" w:w="3672"/>
            <w:vAlign w:val="center"/>
            <w:tcMar>
              <w:top w:w="90" w:type="dxa"/>
              <w:start w:w="120" w:type="dxa"/>
              <w:bottom w:w="90" w:type="dxa"/>
              <w:end w:w="120" w:type="dxa"/>
            </w:tcMar>
            <w:shd w:fill="F8FAFB"/>
          </w:tcPr>
          <w:p>
            <w:pPr>
              <w:spacing w:after="0"/>
            </w:pPr>
            <w:r>
              <w:rPr>
                <w:rFonts w:ascii="Aptos" w:hAnsi="Aptos"/>
                <w:color w:val="17212B"/>
                <w:sz w:val="15"/>
              </w:rPr>
              <w:t>Use second adapter/cached evidence if fresh; reduce coverage</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Show partial market coverage and retry option</w:t>
            </w:r>
          </w:p>
        </w:tc>
      </w:tr>
      <w:tr>
        <w:trPr>
          <w:cantSplit/>
        </w:trPr>
        <w:tc>
          <w:tcPr>
            <w:tcW w:type="dxa" w:w="2160"/>
            <w:vAlign w:val="center"/>
            <w:tcMar>
              <w:top w:w="90" w:type="dxa"/>
              <w:start w:w="120" w:type="dxa"/>
              <w:bottom w:w="90" w:type="dxa"/>
              <w:end w:w="120" w:type="dxa"/>
            </w:tcMar>
          </w:tcPr>
          <w:p>
            <w:pPr>
              <w:spacing w:after="0"/>
            </w:pPr>
            <w:r>
              <w:rPr>
                <w:rFonts w:ascii="Aptos" w:hAnsi="Aptos"/>
                <w:color w:val="17212B"/>
                <w:sz w:val="15"/>
              </w:rPr>
              <w:t>One supplier times out</w:t>
            </w:r>
          </w:p>
        </w:tc>
        <w:tc>
          <w:tcPr>
            <w:tcW w:type="dxa" w:w="3672"/>
            <w:vAlign w:val="center"/>
            <w:tcMar>
              <w:top w:w="90" w:type="dxa"/>
              <w:start w:w="120" w:type="dxa"/>
              <w:bottom w:w="90" w:type="dxa"/>
              <w:end w:w="120" w:type="dxa"/>
            </w:tcMar>
          </w:tcPr>
          <w:p>
            <w:pPr>
              <w:spacing w:after="0"/>
            </w:pPr>
            <w:r>
              <w:rPr>
                <w:rFonts w:ascii="Aptos" w:hAnsi="Aptos"/>
                <w:color w:val="17212B"/>
                <w:sz w:val="15"/>
              </w:rPr>
              <w:t>Close with two offers after deadline; no fabricated third</w:t>
            </w:r>
          </w:p>
        </w:tc>
        <w:tc>
          <w:tcPr>
            <w:tcW w:type="dxa" w:w="3528"/>
            <w:vAlign w:val="center"/>
            <w:tcMar>
              <w:top w:w="90" w:type="dxa"/>
              <w:start w:w="120" w:type="dxa"/>
              <w:bottom w:w="90" w:type="dxa"/>
              <w:end w:w="120" w:type="dxa"/>
            </w:tcMar>
          </w:tcPr>
          <w:p>
            <w:pPr>
              <w:spacing w:after="0"/>
            </w:pPr>
            <w:r>
              <w:rPr>
                <w:rFonts w:ascii="Aptos" w:hAnsi="Aptos"/>
                <w:color w:val="17212B"/>
                <w:sz w:val="15"/>
              </w:rPr>
              <w:t>Identify non-response without naming competitors to suppliers</w:t>
            </w:r>
          </w:p>
        </w:tc>
      </w:tr>
      <w:tr>
        <w:trPr>
          <w:cantSplit/>
        </w:trPr>
        <w:tc>
          <w:tcPr>
            <w:tcW w:type="dxa" w:w="2160"/>
            <w:vAlign w:val="center"/>
            <w:tcMar>
              <w:top w:w="90" w:type="dxa"/>
              <w:start w:w="120" w:type="dxa"/>
              <w:bottom w:w="90" w:type="dxa"/>
              <w:end w:w="120" w:type="dxa"/>
            </w:tcMar>
            <w:shd w:fill="F8FAFB"/>
          </w:tcPr>
          <w:p>
            <w:pPr>
              <w:spacing w:after="0"/>
            </w:pPr>
            <w:r>
              <w:rPr>
                <w:rFonts w:ascii="Aptos" w:hAnsi="Aptos"/>
                <w:color w:val="17212B"/>
                <w:sz w:val="15"/>
              </w:rPr>
              <w:t>All suppliers fail</w:t>
            </w:r>
          </w:p>
        </w:tc>
        <w:tc>
          <w:tcPr>
            <w:tcW w:type="dxa" w:w="3672"/>
            <w:vAlign w:val="center"/>
            <w:tcMar>
              <w:top w:w="90" w:type="dxa"/>
              <w:start w:w="120" w:type="dxa"/>
              <w:bottom w:w="90" w:type="dxa"/>
              <w:end w:w="120" w:type="dxa"/>
            </w:tcMar>
            <w:shd w:fill="F8FAFB"/>
          </w:tcPr>
          <w:p>
            <w:pPr>
              <w:spacing w:after="0"/>
            </w:pPr>
            <w:r>
              <w:rPr>
                <w:rFonts w:ascii="Aptos" w:hAnsi="Aptos"/>
                <w:color w:val="17212B"/>
                <w:sz w:val="15"/>
              </w:rPr>
              <w:t>Keep market options; no recommendation from private offers</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Explain failure and allow retry</w:t>
            </w:r>
          </w:p>
        </w:tc>
      </w:tr>
      <w:tr>
        <w:trPr>
          <w:cantSplit/>
        </w:trPr>
        <w:tc>
          <w:tcPr>
            <w:tcW w:type="dxa" w:w="2160"/>
            <w:vAlign w:val="center"/>
            <w:tcMar>
              <w:top w:w="90" w:type="dxa"/>
              <w:start w:w="120" w:type="dxa"/>
              <w:bottom w:w="90" w:type="dxa"/>
              <w:end w:w="120" w:type="dxa"/>
            </w:tcMar>
          </w:tcPr>
          <w:p>
            <w:pPr>
              <w:spacing w:after="0"/>
            </w:pPr>
            <w:r>
              <w:rPr>
                <w:rFonts w:ascii="Aptos" w:hAnsi="Aptos"/>
                <w:color w:val="17212B"/>
                <w:sz w:val="15"/>
              </w:rPr>
              <w:t>Offer expires during review</w:t>
            </w:r>
          </w:p>
        </w:tc>
        <w:tc>
          <w:tcPr>
            <w:tcW w:type="dxa" w:w="3672"/>
            <w:vAlign w:val="center"/>
            <w:tcMar>
              <w:top w:w="90" w:type="dxa"/>
              <w:start w:w="120" w:type="dxa"/>
              <w:bottom w:w="90" w:type="dxa"/>
              <w:end w:w="120" w:type="dxa"/>
            </w:tcMar>
          </w:tcPr>
          <w:p>
            <w:pPr>
              <w:spacing w:after="0"/>
            </w:pPr>
            <w:r>
              <w:rPr>
                <w:rFonts w:ascii="Aptos" w:hAnsi="Aptos"/>
                <w:color w:val="17212B"/>
                <w:sz w:val="15"/>
              </w:rPr>
              <w:t>Mark ineligible; refresh/resolve</w:t>
            </w:r>
          </w:p>
        </w:tc>
        <w:tc>
          <w:tcPr>
            <w:tcW w:type="dxa" w:w="3528"/>
            <w:vAlign w:val="center"/>
            <w:tcMar>
              <w:top w:w="90" w:type="dxa"/>
              <w:start w:w="120" w:type="dxa"/>
              <w:bottom w:w="90" w:type="dxa"/>
              <w:end w:w="120" w:type="dxa"/>
            </w:tcMar>
          </w:tcPr>
          <w:p>
            <w:pPr>
              <w:spacing w:after="0"/>
            </w:pPr>
            <w:r>
              <w:rPr>
                <w:rFonts w:ascii="Aptos" w:hAnsi="Aptos"/>
                <w:color w:val="17212B"/>
                <w:sz w:val="15"/>
              </w:rPr>
              <w:t>No stale acceptance button</w:t>
            </w:r>
          </w:p>
        </w:tc>
      </w:tr>
      <w:tr>
        <w:trPr>
          <w:cantSplit/>
        </w:trPr>
        <w:tc>
          <w:tcPr>
            <w:tcW w:type="dxa" w:w="2160"/>
            <w:vAlign w:val="center"/>
            <w:tcMar>
              <w:top w:w="90" w:type="dxa"/>
              <w:start w:w="120" w:type="dxa"/>
              <w:bottom w:w="90" w:type="dxa"/>
              <w:end w:w="120" w:type="dxa"/>
            </w:tcMar>
            <w:shd w:fill="F8FAFB"/>
          </w:tcPr>
          <w:p>
            <w:pPr>
              <w:spacing w:after="0"/>
            </w:pPr>
            <w:r>
              <w:rPr>
                <w:rFonts w:ascii="Aptos" w:hAnsi="Aptos"/>
                <w:color w:val="17212B"/>
                <w:sz w:val="15"/>
              </w:rPr>
              <w:t>Approval hash mismatch</w:t>
            </w:r>
          </w:p>
        </w:tc>
        <w:tc>
          <w:tcPr>
            <w:tcW w:type="dxa" w:w="3672"/>
            <w:vAlign w:val="center"/>
            <w:tcMar>
              <w:top w:w="90" w:type="dxa"/>
              <w:start w:w="120" w:type="dxa"/>
              <w:bottom w:w="90" w:type="dxa"/>
              <w:end w:w="120" w:type="dxa"/>
            </w:tcMar>
            <w:shd w:fill="F8FAFB"/>
          </w:tcPr>
          <w:p>
            <w:pPr>
              <w:spacing w:after="0"/>
            </w:pPr>
            <w:r>
              <w:rPr>
                <w:rFonts w:ascii="Aptos" w:hAnsi="Aptos"/>
                <w:color w:val="17212B"/>
                <w:sz w:val="15"/>
              </w:rPr>
              <w:t>Reject transition; regenerate preview</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Ask user to review changed payload</w:t>
            </w:r>
          </w:p>
        </w:tc>
      </w:tr>
      <w:tr>
        <w:trPr>
          <w:cantSplit/>
        </w:trPr>
        <w:tc>
          <w:tcPr>
            <w:tcW w:type="dxa" w:w="2160"/>
            <w:vAlign w:val="center"/>
            <w:tcMar>
              <w:top w:w="90" w:type="dxa"/>
              <w:start w:w="120" w:type="dxa"/>
              <w:bottom w:w="90" w:type="dxa"/>
              <w:end w:w="120" w:type="dxa"/>
            </w:tcMar>
          </w:tcPr>
          <w:p>
            <w:pPr>
              <w:spacing w:after="0"/>
            </w:pPr>
            <w:r>
              <w:rPr>
                <w:rFonts w:ascii="Aptos" w:hAnsi="Aptos"/>
                <w:color w:val="17212B"/>
                <w:sz w:val="15"/>
              </w:rPr>
              <w:t>Duplicate authorize</w:t>
            </w:r>
          </w:p>
        </w:tc>
        <w:tc>
          <w:tcPr>
            <w:tcW w:type="dxa" w:w="3672"/>
            <w:vAlign w:val="center"/>
            <w:tcMar>
              <w:top w:w="90" w:type="dxa"/>
              <w:start w:w="120" w:type="dxa"/>
              <w:bottom w:w="90" w:type="dxa"/>
              <w:end w:w="120" w:type="dxa"/>
            </w:tcMar>
          </w:tcPr>
          <w:p>
            <w:pPr>
              <w:spacing w:after="0"/>
            </w:pPr>
            <w:r>
              <w:rPr>
                <w:rFonts w:ascii="Aptos" w:hAnsi="Aptos"/>
                <w:color w:val="17212B"/>
                <w:sz w:val="15"/>
              </w:rPr>
              <w:t>Return first receipt by idempotency key</w:t>
            </w:r>
          </w:p>
        </w:tc>
        <w:tc>
          <w:tcPr>
            <w:tcW w:type="dxa" w:w="3528"/>
            <w:vAlign w:val="center"/>
            <w:tcMar>
              <w:top w:w="90" w:type="dxa"/>
              <w:start w:w="120" w:type="dxa"/>
              <w:bottom w:w="90" w:type="dxa"/>
              <w:end w:w="120" w:type="dxa"/>
            </w:tcMar>
          </w:tcPr>
          <w:p>
            <w:pPr>
              <w:spacing w:after="0"/>
            </w:pPr>
            <w:r>
              <w:rPr>
                <w:rFonts w:ascii="Aptos" w:hAnsi="Aptos"/>
                <w:color w:val="17212B"/>
                <w:sz w:val="15"/>
              </w:rPr>
              <w:t>No duplicate action</w:t>
            </w:r>
          </w:p>
        </w:tc>
      </w:tr>
      <w:tr>
        <w:trPr>
          <w:cantSplit/>
        </w:trPr>
        <w:tc>
          <w:tcPr>
            <w:tcW w:type="dxa" w:w="2160"/>
            <w:vAlign w:val="center"/>
            <w:tcMar>
              <w:top w:w="90" w:type="dxa"/>
              <w:start w:w="120" w:type="dxa"/>
              <w:bottom w:w="90" w:type="dxa"/>
              <w:end w:w="120" w:type="dxa"/>
            </w:tcMar>
            <w:shd w:fill="F8FAFB"/>
          </w:tcPr>
          <w:p>
            <w:pPr>
              <w:spacing w:after="0"/>
            </w:pPr>
            <w:r>
              <w:rPr>
                <w:rFonts w:ascii="Aptos" w:hAnsi="Aptos"/>
                <w:color w:val="17212B"/>
                <w:sz w:val="15"/>
              </w:rPr>
              <w:t>Cloud/model outage</w:t>
            </w:r>
          </w:p>
        </w:tc>
        <w:tc>
          <w:tcPr>
            <w:tcW w:type="dxa" w:w="3672"/>
            <w:vAlign w:val="center"/>
            <w:tcMar>
              <w:top w:w="90" w:type="dxa"/>
              <w:start w:w="120" w:type="dxa"/>
              <w:bottom w:w="90" w:type="dxa"/>
              <w:end w:w="120" w:type="dxa"/>
            </w:tcMar>
            <w:shd w:fill="F8FAFB"/>
          </w:tcPr>
          <w:p>
            <w:pPr>
              <w:spacing w:after="0"/>
            </w:pPr>
            <w:r>
              <w:rPr>
                <w:rFonts w:ascii="Aptos" w:hAnsi="Aptos"/>
                <w:color w:val="17212B"/>
                <w:sz w:val="15"/>
              </w:rPr>
              <w:t>Pause safely in the current session; do not claim durable resume while durability is unsupported</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5"/>
              </w:rPr>
              <w:t>Progress and status; no lost approval</w:t>
            </w:r>
          </w:p>
        </w:tc>
      </w:tr>
      <w:tr>
        <w:trPr>
          <w:cantSplit/>
        </w:trPr>
        <w:tc>
          <w:tcPr>
            <w:tcW w:type="dxa" w:w="2160"/>
            <w:vAlign w:val="center"/>
            <w:tcMar>
              <w:top w:w="90" w:type="dxa"/>
              <w:start w:w="120" w:type="dxa"/>
              <w:bottom w:w="90" w:type="dxa"/>
              <w:end w:w="120" w:type="dxa"/>
            </w:tcMar>
          </w:tcPr>
          <w:p>
            <w:pPr>
              <w:spacing w:after="0"/>
            </w:pPr>
            <w:r>
              <w:rPr>
                <w:rFonts w:ascii="Aptos" w:hAnsi="Aptos"/>
                <w:color w:val="17212B"/>
                <w:sz w:val="15"/>
              </w:rPr>
              <w:t>RevenueCat unavailable</w:t>
            </w:r>
          </w:p>
        </w:tc>
        <w:tc>
          <w:tcPr>
            <w:tcW w:type="dxa" w:w="3672"/>
            <w:vAlign w:val="center"/>
            <w:tcMar>
              <w:top w:w="90" w:type="dxa"/>
              <w:start w:w="120" w:type="dxa"/>
              <w:bottom w:w="90" w:type="dxa"/>
              <w:end w:w="120" w:type="dxa"/>
            </w:tcMar>
          </w:tcPr>
          <w:p>
            <w:pPr>
              <w:spacing w:after="0"/>
            </w:pPr>
            <w:r>
              <w:rPr>
                <w:rFonts w:ascii="Aptos" w:hAnsi="Aptos"/>
                <w:color w:val="17212B"/>
                <w:sz w:val="15"/>
              </w:rPr>
              <w:t>Use short server cache; fail closed for new premium access after grace</w:t>
            </w:r>
          </w:p>
        </w:tc>
        <w:tc>
          <w:tcPr>
            <w:tcW w:type="dxa" w:w="3528"/>
            <w:vAlign w:val="center"/>
            <w:tcMar>
              <w:top w:w="90" w:type="dxa"/>
              <w:start w:w="120" w:type="dxa"/>
              <w:bottom w:w="90" w:type="dxa"/>
              <w:end w:w="120" w:type="dxa"/>
            </w:tcMar>
          </w:tcPr>
          <w:p>
            <w:pPr>
              <w:spacing w:after="0"/>
            </w:pPr>
            <w:r>
              <w:rPr>
                <w:rFonts w:ascii="Aptos" w:hAnsi="Aptos"/>
                <w:color w:val="17212B"/>
                <w:sz w:val="15"/>
              </w:rPr>
              <w:t>Clear access status; core safety unaffected</w:t>
            </w:r>
          </w:p>
        </w:tc>
      </w:tr>
    </w:tbl>
    <w:p>
      <w:pPr>
        <w:spacing w:after="20"/>
      </w:pPr>
    </w:p>
    <w:p>
      <w:pPr>
        <w:pStyle w:val="Heading1"/>
      </w:pPr>
      <w:r>
        <w:t>12. Web and mobile experience</w:t>
      </w:r>
    </w:p>
    <w:p>
      <w:pPr>
        <w:pStyle w:val="Heading2"/>
      </w:pPr>
      <w:r>
        <w:t>12.1 Experience model</w:t>
      </w:r>
    </w:p>
    <w:p>
      <w:r>
        <w:t>ReservEdge is an Intent inbox and governed decision system. Conversation is the primary intake, clarification, modification, and continuity surface. Conversation is not the authoritative decision record. The primary objects remain requirement cards, disclosure previews, offer comparisons, decision cards, approvals, receipts, Cost Ledger, and an audit timeline. Decisions must never be buried only in transcript text.</w:t>
      </w:r>
    </w:p>
    <w:p>
      <w:pPr>
        <w:pStyle w:val="Heading2"/>
      </w:pPr>
      <w:r>
        <w:t>12.2 Core screens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800"/>
            <w:shd w:fill="17324D"/>
            <w:tcMar>
              <w:top w:w="90" w:type="dxa"/>
              <w:start w:w="120" w:type="dxa"/>
              <w:bottom w:w="90" w:type="dxa"/>
              <w:end w:w="120" w:type="dxa"/>
            </w:tcMar>
          </w:tcPr>
          <w:p>
            <w:pPr>
              <w:spacing w:after="0"/>
            </w:pPr>
            <w:r>
              <w:rPr>
                <w:rFonts w:ascii="Aptos" w:hAnsi="Aptos"/>
                <w:b/>
                <w:color w:val="FFFFFF"/>
                <w:sz w:val="15"/>
              </w:rPr>
              <w:t>Screen</w:t>
            </w:r>
          </w:p>
        </w:tc>
        <w:tc>
          <w:tcPr>
            <w:tcW w:type="dxa" w:w="4896"/>
            <w:shd w:fill="17324D"/>
            <w:tcMar>
              <w:top w:w="90" w:type="dxa"/>
              <w:start w:w="120" w:type="dxa"/>
              <w:bottom w:w="90" w:type="dxa"/>
              <w:end w:w="120" w:type="dxa"/>
            </w:tcMar>
          </w:tcPr>
          <w:p>
            <w:pPr>
              <w:spacing w:after="0"/>
            </w:pPr>
            <w:r>
              <w:rPr>
                <w:rFonts w:ascii="Aptos" w:hAnsi="Aptos"/>
                <w:b/>
                <w:color w:val="FFFFFF"/>
                <w:sz w:val="15"/>
              </w:rPr>
              <w:t>Primary content</w:t>
            </w:r>
          </w:p>
        </w:tc>
        <w:tc>
          <w:tcPr>
            <w:tcW w:type="dxa" w:w="2664"/>
            <w:shd w:fill="17324D"/>
            <w:tcMar>
              <w:top w:w="90" w:type="dxa"/>
              <w:start w:w="120" w:type="dxa"/>
              <w:bottom w:w="90" w:type="dxa"/>
              <w:end w:w="120" w:type="dxa"/>
            </w:tcMar>
          </w:tcPr>
          <w:p>
            <w:pPr>
              <w:spacing w:after="0"/>
            </w:pPr>
            <w:r>
              <w:rPr>
                <w:rFonts w:ascii="Aptos" w:hAnsi="Aptos"/>
                <w:b/>
                <w:color w:val="FFFFFF"/>
                <w:sz w:val="15"/>
              </w:rPr>
              <w:t>Primary action</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Onboarding</w:t>
            </w:r>
          </w:p>
        </w:tc>
        <w:tc>
          <w:tcPr>
            <w:tcW w:type="dxa" w:w="4896"/>
            <w:vAlign w:val="center"/>
            <w:tcMar>
              <w:top w:w="90" w:type="dxa"/>
              <w:start w:w="120" w:type="dxa"/>
              <w:bottom w:w="90" w:type="dxa"/>
              <w:end w:w="120" w:type="dxa"/>
            </w:tcMar>
          </w:tcPr>
          <w:p>
            <w:pPr>
              <w:spacing w:after="0"/>
            </w:pPr>
            <w:r>
              <w:rPr>
                <w:rFonts w:ascii="Aptos" w:hAnsi="Aptos"/>
                <w:color w:val="17212B"/>
                <w:sz w:val="15"/>
              </w:rPr>
              <w:t>Value, privacy promise, notification and entitlement choices</w:t>
            </w:r>
          </w:p>
        </w:tc>
        <w:tc>
          <w:tcPr>
            <w:tcW w:type="dxa" w:w="2664"/>
            <w:vAlign w:val="center"/>
            <w:tcMar>
              <w:top w:w="90" w:type="dxa"/>
              <w:start w:w="120" w:type="dxa"/>
              <w:bottom w:w="90" w:type="dxa"/>
              <w:end w:w="120" w:type="dxa"/>
            </w:tcMar>
          </w:tcPr>
          <w:p>
            <w:pPr>
              <w:spacing w:after="0"/>
            </w:pPr>
            <w:r>
              <w:rPr>
                <w:rFonts w:ascii="Aptos" w:hAnsi="Aptos"/>
                <w:color w:val="17212B"/>
                <w:sz w:val="15"/>
              </w:rPr>
              <w:t>Create profile; choose defaults</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Intent Inbox</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5"/>
              </w:rPr>
              <w:t>Status: needs confirmation / researching / offers ready / completed</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Open decision</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Share Confirmation</w:t>
            </w:r>
          </w:p>
        </w:tc>
        <w:tc>
          <w:tcPr>
            <w:tcW w:type="dxa" w:w="4896"/>
            <w:vAlign w:val="center"/>
            <w:tcMar>
              <w:top w:w="90" w:type="dxa"/>
              <w:start w:w="120" w:type="dxa"/>
              <w:bottom w:w="90" w:type="dxa"/>
              <w:end w:w="120" w:type="dxa"/>
            </w:tcMar>
          </w:tcPr>
          <w:p>
            <w:pPr>
              <w:spacing w:after="0"/>
            </w:pPr>
            <w:r>
              <w:rPr>
                <w:rFonts w:ascii="Aptos" w:hAnsi="Aptos"/>
                <w:color w:val="17212B"/>
                <w:sz w:val="15"/>
              </w:rPr>
              <w:t>Shared source preview; extracted need; safe processing note</w:t>
            </w:r>
          </w:p>
        </w:tc>
        <w:tc>
          <w:tcPr>
            <w:tcW w:type="dxa" w:w="2664"/>
            <w:vAlign w:val="center"/>
            <w:tcMar>
              <w:top w:w="90" w:type="dxa"/>
              <w:start w:w="120" w:type="dxa"/>
              <w:bottom w:w="90" w:type="dxa"/>
              <w:end w:w="120" w:type="dxa"/>
            </w:tcMar>
          </w:tcPr>
          <w:p>
            <w:pPr>
              <w:spacing w:after="0"/>
            </w:pPr>
            <w:r>
              <w:rPr>
                <w:rFonts w:ascii="Aptos" w:hAnsi="Aptos"/>
                <w:color w:val="17212B"/>
                <w:sz w:val="15"/>
              </w:rPr>
              <w:t>Share to ReservEdge (future G3; historical/internal label Share-to-ITAA)</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Requirement Review</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5"/>
              </w:rPr>
              <w:t>Structured fields with evidence/confidence</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Confirm or edit</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Disclosure Preview</w:t>
            </w:r>
          </w:p>
        </w:tc>
        <w:tc>
          <w:tcPr>
            <w:tcW w:type="dxa" w:w="4896"/>
            <w:vAlign w:val="center"/>
            <w:tcMar>
              <w:top w:w="90" w:type="dxa"/>
              <w:start w:w="120" w:type="dxa"/>
              <w:bottom w:w="90" w:type="dxa"/>
              <w:end w:w="120" w:type="dxa"/>
            </w:tcMar>
          </w:tcPr>
          <w:p>
            <w:pPr>
              <w:spacing w:after="0"/>
            </w:pPr>
            <w:r>
              <w:rPr>
                <w:rFonts w:ascii="Aptos" w:hAnsi="Aptos"/>
                <w:color w:val="17212B"/>
                <w:sz w:val="15"/>
              </w:rPr>
              <w:t>Sent vs withheld fields; purpose; recipients; expiry</w:t>
            </w:r>
          </w:p>
        </w:tc>
        <w:tc>
          <w:tcPr>
            <w:tcW w:type="dxa" w:w="2664"/>
            <w:vAlign w:val="center"/>
            <w:tcMar>
              <w:top w:w="90" w:type="dxa"/>
              <w:start w:w="120" w:type="dxa"/>
              <w:bottom w:w="90" w:type="dxa"/>
              <w:end w:w="120" w:type="dxa"/>
            </w:tcMar>
          </w:tcPr>
          <w:p>
            <w:pPr>
              <w:spacing w:after="0"/>
            </w:pPr>
            <w:r>
              <w:rPr>
                <w:rFonts w:ascii="Aptos" w:hAnsi="Aptos"/>
                <w:color w:val="17212B"/>
                <w:sz w:val="15"/>
              </w:rPr>
              <w:t>Approve Purchase Intent</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Research Progress</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5"/>
              </w:rPr>
              <w:t>Sources, freshness, tasks, supplier responses without private cross-details</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Wait/cancel</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Decision Card</w:t>
            </w:r>
          </w:p>
        </w:tc>
        <w:tc>
          <w:tcPr>
            <w:tcW w:type="dxa" w:w="4896"/>
            <w:vAlign w:val="center"/>
            <w:tcMar>
              <w:top w:w="90" w:type="dxa"/>
              <w:start w:w="120" w:type="dxa"/>
              <w:bottom w:w="90" w:type="dxa"/>
              <w:end w:w="120" w:type="dxa"/>
            </w:tcMar>
          </w:tcPr>
          <w:p>
            <w:pPr>
              <w:spacing w:after="0"/>
            </w:pPr>
            <w:r>
              <w:rPr>
                <w:rFonts w:ascii="Aptos" w:hAnsi="Aptos"/>
                <w:color w:val="17212B"/>
                <w:sz w:val="15"/>
              </w:rPr>
              <w:t>Recommendation, score drivers, total cost, terms, alternatives</w:t>
            </w:r>
          </w:p>
        </w:tc>
        <w:tc>
          <w:tcPr>
            <w:tcW w:type="dxa" w:w="2664"/>
            <w:vAlign w:val="center"/>
            <w:tcMar>
              <w:top w:w="90" w:type="dxa"/>
              <w:start w:w="120" w:type="dxa"/>
              <w:bottom w:w="90" w:type="dxa"/>
              <w:end w:w="120" w:type="dxa"/>
            </w:tcMar>
          </w:tcPr>
          <w:p>
            <w:pPr>
              <w:spacing w:after="0"/>
            </w:pPr>
            <w:r>
              <w:rPr>
                <w:rFonts w:ascii="Aptos" w:hAnsi="Aptos"/>
                <w:color w:val="17212B"/>
                <w:sz w:val="15"/>
              </w:rPr>
              <w:t>Choose offer</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Final Approval</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5"/>
              </w:rPr>
              <w:t>Exact supplier, amount, terms, SIMULATED badge</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Authorize</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Receipt</w:t>
            </w:r>
          </w:p>
        </w:tc>
        <w:tc>
          <w:tcPr>
            <w:tcW w:type="dxa" w:w="4896"/>
            <w:vAlign w:val="center"/>
            <w:tcMar>
              <w:top w:w="90" w:type="dxa"/>
              <w:start w:w="120" w:type="dxa"/>
              <w:bottom w:w="90" w:type="dxa"/>
              <w:end w:w="120" w:type="dxa"/>
            </w:tcMar>
          </w:tcPr>
          <w:p>
            <w:pPr>
              <w:spacing w:after="0"/>
            </w:pPr>
            <w:r>
              <w:rPr>
                <w:rFonts w:ascii="Aptos" w:hAnsi="Aptos"/>
                <w:color w:val="17212B"/>
                <w:sz w:val="15"/>
              </w:rPr>
              <w:t>Authorization ID, terms hash, audit timeline</w:t>
            </w:r>
          </w:p>
        </w:tc>
        <w:tc>
          <w:tcPr>
            <w:tcW w:type="dxa" w:w="2664"/>
            <w:vAlign w:val="center"/>
            <w:tcMar>
              <w:top w:w="90" w:type="dxa"/>
              <w:start w:w="120" w:type="dxa"/>
              <w:bottom w:w="90" w:type="dxa"/>
              <w:end w:w="120" w:type="dxa"/>
            </w:tcMar>
          </w:tcPr>
          <w:p>
            <w:pPr>
              <w:spacing w:after="0"/>
            </w:pPr>
            <w:r>
              <w:rPr>
                <w:rFonts w:ascii="Aptos" w:hAnsi="Aptos"/>
                <w:color w:val="17212B"/>
                <w:sz w:val="15"/>
              </w:rPr>
              <w:t>Done/export</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5"/>
              </w:rPr>
              <w:t>Preferences &amp; Privacy</w:t>
            </w:r>
          </w:p>
        </w:tc>
        <w:tc>
          <w:tcPr>
            <w:tcW w:type="dxa" w:w="4896"/>
            <w:vAlign w:val="center"/>
            <w:tcMar>
              <w:top w:w="90" w:type="dxa"/>
              <w:start w:w="120" w:type="dxa"/>
              <w:bottom w:w="90" w:type="dxa"/>
              <w:end w:w="120" w:type="dxa"/>
            </w:tcMar>
            <w:shd w:fill="F8FAFB"/>
          </w:tcPr>
          <w:p>
            <w:pPr>
              <w:spacing w:after="0"/>
            </w:pPr>
            <w:r>
              <w:rPr>
                <w:rFonts w:ascii="Aptos" w:hAnsi="Aptos"/>
                <w:color w:val="17212B"/>
                <w:sz w:val="15"/>
              </w:rPr>
              <w:t>Assertions, evidence, confidence, data controls</w:t>
            </w:r>
          </w:p>
        </w:tc>
        <w:tc>
          <w:tcPr>
            <w:tcW w:type="dxa" w:w="2664"/>
            <w:vAlign w:val="center"/>
            <w:tcMar>
              <w:top w:w="90" w:type="dxa"/>
              <w:start w:w="120" w:type="dxa"/>
              <w:bottom w:w="90" w:type="dxa"/>
              <w:end w:w="120" w:type="dxa"/>
            </w:tcMar>
            <w:shd w:fill="F8FAFB"/>
          </w:tcPr>
          <w:p>
            <w:pPr>
              <w:spacing w:after="0"/>
            </w:pPr>
            <w:r>
              <w:rPr>
                <w:rFonts w:ascii="Aptos" w:hAnsi="Aptos"/>
                <w:color w:val="17212B"/>
                <w:sz w:val="15"/>
              </w:rPr>
              <w:t>Correct/delete</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5"/>
              </w:rPr>
              <w:t>Paywall</w:t>
            </w:r>
          </w:p>
        </w:tc>
        <w:tc>
          <w:tcPr>
            <w:tcW w:type="dxa" w:w="4896"/>
            <w:vAlign w:val="center"/>
            <w:tcMar>
              <w:top w:w="90" w:type="dxa"/>
              <w:start w:w="120" w:type="dxa"/>
              <w:bottom w:w="90" w:type="dxa"/>
              <w:end w:w="120" w:type="dxa"/>
            </w:tcMar>
          </w:tcPr>
          <w:p>
            <w:pPr>
              <w:spacing w:after="0"/>
            </w:pPr>
            <w:r>
              <w:rPr>
                <w:rFonts w:ascii="Aptos" w:hAnsi="Aptos"/>
                <w:color w:val="17212B"/>
                <w:sz w:val="15"/>
              </w:rPr>
              <w:t>Clear Pro benefit and price; restore purchases</w:t>
            </w:r>
          </w:p>
        </w:tc>
        <w:tc>
          <w:tcPr>
            <w:tcW w:type="dxa" w:w="2664"/>
            <w:vAlign w:val="center"/>
            <w:tcMar>
              <w:top w:w="90" w:type="dxa"/>
              <w:start w:w="120" w:type="dxa"/>
              <w:bottom w:w="90" w:type="dxa"/>
              <w:end w:w="120" w:type="dxa"/>
            </w:tcMar>
          </w:tcPr>
          <w:p>
            <w:pPr>
              <w:spacing w:after="0"/>
            </w:pPr>
            <w:r>
              <w:rPr>
                <w:rFonts w:ascii="Aptos" w:hAnsi="Aptos"/>
                <w:color w:val="17212B"/>
                <w:sz w:val="15"/>
              </w:rPr>
              <w:t>Subscribe/restore</w:t>
            </w:r>
          </w:p>
        </w:tc>
      </w:tr>
    </w:tbl>
    <w:p>
      <w:pPr>
        <w:spacing w:after="20"/>
      </w:pPr>
    </w:p>
    <w:p>
      <w:pPr>
        <w:pStyle w:val="Heading2"/>
      </w:pPr>
      <w:r>
        <w:t>12.3 Mobile surface and Share to ReservEdge</w:t>
      </w:r>
    </w:p>
    <w:p>
      <w:pPr>
        <w:spacing w:after="240"/>
      </w:pPr>
      <w:r>
        <w:rPr>
          <w:rFonts w:ascii="Aptos" w:hAnsi="Aptos"/>
          <w:b/>
          <w:color w:val="1C8C84"/>
          <w:sz w:val="20"/>
        </w:rPr>
        <w:t>Responsive web at 1440, 1280, 410, 390, and 320 CSS pixels is the approved mobile surface. apps/mobile remains a placeholder. No native-mobile framework is selected. Share to ReservEdge (historical/internal label Share-to-ITAA), store packaging, and RevenueCat remain FUTURE PRODUCTIZATION with no current implementation authority. They are not current acceptance criteria. A later Product Owner-approved ADR and work order are required before native implementation.</w:t>
      </w:r>
    </w:p>
    <w:p>
      <w:pPr>
        <w:pStyle w:val="ListBullet"/>
        <w:ind w:left="403" w:hanging="259"/>
      </w:pPr>
      <w:r>
        <w:t>Share extension accepts text, URL, and supported image/file references; shows an immediate compact confirmation.</w:t>
      </w:r>
    </w:p>
    <w:p>
      <w:pPr>
        <w:pStyle w:val="ListBullet"/>
        <w:ind w:left="403" w:hanging="259"/>
      </w:pPr>
      <w:r>
        <w:t>The extension performs no heavy model work; it securely hands off to the app/backend and returns quickly.</w:t>
      </w:r>
    </w:p>
    <w:p>
      <w:pPr>
        <w:pStyle w:val="ListBullet"/>
        <w:ind w:left="403" w:hanging="259"/>
      </w:pPr>
      <w:r>
        <w:t>The user sees exactly what was shared and can remove attachments or cancel.</w:t>
      </w:r>
    </w:p>
    <w:p>
      <w:pPr>
        <w:pStyle w:val="ListBullet"/>
        <w:ind w:left="403" w:hanging="259"/>
      </w:pPr>
      <w:r>
        <w:t>Deep link opens the created intent. Push notifications only announce meaningful state changes such as “decision ready” or “offer expiring.”</w:t>
      </w:r>
    </w:p>
    <w:p>
      <w:pPr>
        <w:pStyle w:val="ListBullet"/>
        <w:ind w:left="403" w:hanging="259"/>
      </w:pPr>
      <w:r>
        <w:t>iOS Keychain / Android Keystore protects tokens; no long-lived secrets in the extension.</w:t>
      </w:r>
    </w:p>
    <w:p>
      <w:r>
        <w:br w:type="page"/>
      </w:r>
    </w:p>
    <w:p>
      <w:pPr>
        <w:pStyle w:val="Heading1"/>
      </w:pPr>
      <w:r>
        <w:t>13. Cloud adapters: Google and AWS</w:t>
      </w:r>
    </w:p>
    <w:p>
      <w:pPr>
        <w:pStyle w:val="Heading2"/>
      </w:pPr>
      <w:r>
        <w:t>13.1 Google ADK / Gemini / Google Cloud adapter</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872"/>
            <w:shd w:fill="17324D"/>
            <w:tcMar>
              <w:top w:w="90" w:type="dxa"/>
              <w:start w:w="120" w:type="dxa"/>
              <w:bottom w:w="90" w:type="dxa"/>
              <w:end w:w="120" w:type="dxa"/>
            </w:tcMar>
          </w:tcPr>
          <w:p>
            <w:pPr>
              <w:spacing w:after="0"/>
            </w:pPr>
            <w:r>
              <w:rPr>
                <w:rFonts w:ascii="Aptos" w:hAnsi="Aptos"/>
                <w:b/>
                <w:color w:val="FFFFFF"/>
                <w:sz w:val="15"/>
              </w:rPr>
              <w:t>Capability</w:t>
            </w:r>
          </w:p>
        </w:tc>
        <w:tc>
          <w:tcPr>
            <w:tcW w:type="dxa" w:w="3888"/>
            <w:shd w:fill="17324D"/>
            <w:tcMar>
              <w:top w:w="90" w:type="dxa"/>
              <w:start w:w="120" w:type="dxa"/>
              <w:bottom w:w="90" w:type="dxa"/>
              <w:end w:w="120" w:type="dxa"/>
            </w:tcMar>
          </w:tcPr>
          <w:p>
            <w:pPr>
              <w:spacing w:after="0"/>
            </w:pPr>
            <w:r>
              <w:rPr>
                <w:rFonts w:ascii="Aptos" w:hAnsi="Aptos"/>
                <w:b/>
                <w:color w:val="FFFFFF"/>
                <w:sz w:val="15"/>
              </w:rPr>
              <w:t>Adapter implementation</w:t>
            </w:r>
          </w:p>
        </w:tc>
        <w:tc>
          <w:tcPr>
            <w:tcW w:type="dxa" w:w="3600"/>
            <w:shd w:fill="17324D"/>
            <w:tcMar>
              <w:top w:w="90" w:type="dxa"/>
              <w:start w:w="120" w:type="dxa"/>
              <w:bottom w:w="90" w:type="dxa"/>
              <w:end w:w="120" w:type="dxa"/>
            </w:tcMar>
          </w:tcPr>
          <w:p>
            <w:pPr>
              <w:spacing w:after="0"/>
            </w:pPr>
            <w:r>
              <w:rPr>
                <w:rFonts w:ascii="Aptos" w:hAnsi="Aptos"/>
                <w:b/>
                <w:color w:val="FFFFFF"/>
                <w:sz w:val="15"/>
              </w:rPr>
              <w:t>Core remains</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5"/>
              </w:rPr>
              <w:t>Agent orchestration</w:t>
            </w:r>
          </w:p>
        </w:tc>
        <w:tc>
          <w:tcPr>
            <w:tcW w:type="dxa" w:w="3888"/>
            <w:vAlign w:val="center"/>
            <w:tcMar>
              <w:top w:w="90" w:type="dxa"/>
              <w:start w:w="120" w:type="dxa"/>
              <w:bottom w:w="90" w:type="dxa"/>
              <w:end w:w="120" w:type="dxa"/>
            </w:tcMar>
          </w:tcPr>
          <w:p>
            <w:pPr>
              <w:spacing w:after="0"/>
            </w:pPr>
            <w:r>
              <w:rPr>
                <w:rFonts w:ascii="Aptos" w:hAnsi="Aptos"/>
                <w:color w:val="17212B"/>
                <w:sz w:val="15"/>
              </w:rPr>
              <w:t>Google ADK agents/workflows with structured outputs and tool wrappers</w:t>
            </w:r>
          </w:p>
        </w:tc>
        <w:tc>
          <w:tcPr>
            <w:tcW w:type="dxa" w:w="3600"/>
            <w:vAlign w:val="center"/>
            <w:tcMar>
              <w:top w:w="90" w:type="dxa"/>
              <w:start w:w="120" w:type="dxa"/>
              <w:bottom w:w="90" w:type="dxa"/>
              <w:end w:w="120" w:type="dxa"/>
            </w:tcMar>
          </w:tcPr>
          <w:p>
            <w:pPr>
              <w:spacing w:after="0"/>
            </w:pPr>
            <w:r>
              <w:rPr>
                <w:rFonts w:ascii="Aptos" w:hAnsi="Aptos"/>
                <w:color w:val="17212B"/>
                <w:sz w:val="15"/>
              </w:rPr>
              <w:t>Use-case orchestration contract and state machine</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5"/>
              </w:rPr>
              <w:t>Model</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Gemini model selected by config; JSON-schema response validation</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Domain schemas and deterministic policy</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5"/>
              </w:rPr>
              <w:t>Runtime</w:t>
            </w:r>
          </w:p>
        </w:tc>
        <w:tc>
          <w:tcPr>
            <w:tcW w:type="dxa" w:w="3888"/>
            <w:vAlign w:val="center"/>
            <w:tcMar>
              <w:top w:w="90" w:type="dxa"/>
              <w:start w:w="120" w:type="dxa"/>
              <w:bottom w:w="90" w:type="dxa"/>
              <w:end w:w="120" w:type="dxa"/>
            </w:tcMar>
          </w:tcPr>
          <w:p>
            <w:pPr>
              <w:spacing w:after="0"/>
            </w:pPr>
            <w:r>
              <w:rPr>
                <w:rFonts w:ascii="Aptos" w:hAnsi="Aptos"/>
                <w:color w:val="17212B"/>
                <w:sz w:val="15"/>
              </w:rPr>
              <w:t>Cloud Run or approved Google agent runtime; async tasks via managed queue/event service</w:t>
            </w:r>
          </w:p>
        </w:tc>
        <w:tc>
          <w:tcPr>
            <w:tcW w:type="dxa" w:w="3600"/>
            <w:vAlign w:val="center"/>
            <w:tcMar>
              <w:top w:w="90" w:type="dxa"/>
              <w:start w:w="120" w:type="dxa"/>
              <w:bottom w:w="90" w:type="dxa"/>
              <w:end w:w="120" w:type="dxa"/>
            </w:tcMar>
          </w:tcPr>
          <w:p>
            <w:pPr>
              <w:spacing w:after="0"/>
            </w:pPr>
            <w:r>
              <w:rPr>
                <w:rFonts w:ascii="Aptos" w:hAnsi="Aptos"/>
                <w:color w:val="17212B"/>
                <w:sz w:val="15"/>
              </w:rPr>
              <w:t>Job/checkpoint abstraction</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5"/>
              </w:rPr>
              <w:t>Data</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Firestore/Cloud SQL + Cloud Storage as appropriate</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Repositories and retention policy</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5"/>
              </w:rPr>
              <w:t>Secrets/identity</w:t>
            </w:r>
          </w:p>
        </w:tc>
        <w:tc>
          <w:tcPr>
            <w:tcW w:type="dxa" w:w="3888"/>
            <w:vAlign w:val="center"/>
            <w:tcMar>
              <w:top w:w="90" w:type="dxa"/>
              <w:start w:w="120" w:type="dxa"/>
              <w:bottom w:w="90" w:type="dxa"/>
              <w:end w:w="120" w:type="dxa"/>
            </w:tcMar>
          </w:tcPr>
          <w:p>
            <w:pPr>
              <w:spacing w:after="0"/>
            </w:pPr>
            <w:r>
              <w:rPr>
                <w:rFonts w:ascii="Aptos" w:hAnsi="Aptos"/>
                <w:color w:val="17212B"/>
                <w:sz w:val="15"/>
              </w:rPr>
              <w:t>Secret Manager, workload identity, IAM</w:t>
            </w:r>
          </w:p>
        </w:tc>
        <w:tc>
          <w:tcPr>
            <w:tcW w:type="dxa" w:w="3600"/>
            <w:vAlign w:val="center"/>
            <w:tcMar>
              <w:top w:w="90" w:type="dxa"/>
              <w:start w:w="120" w:type="dxa"/>
              <w:bottom w:w="90" w:type="dxa"/>
              <w:end w:w="120" w:type="dxa"/>
            </w:tcMar>
          </w:tcPr>
          <w:p>
            <w:pPr>
              <w:spacing w:after="0"/>
            </w:pPr>
            <w:r>
              <w:rPr>
                <w:rFonts w:ascii="Aptos" w:hAnsi="Aptos"/>
                <w:color w:val="17212B"/>
                <w:sz w:val="15"/>
              </w:rPr>
              <w:t>Least-privilege capability requirements</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5"/>
              </w:rPr>
              <w:t>Observability</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Cloud Logging/Trace/Monitoring + OpenTelemetry correlation</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Canonical metrics and audit contract</w:t>
            </w:r>
          </w:p>
        </w:tc>
      </w:tr>
    </w:tbl>
    <w:p>
      <w:pPr>
        <w:spacing w:after="20"/>
      </w:pPr>
    </w:p>
    <w:p>
      <w:pPr>
        <w:pStyle w:val="Heading2"/>
      </w:pPr>
      <w:r>
        <w:t>13.2 AWS Strands / Bedrock / AgentCore adapter</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872"/>
            <w:shd w:fill="17324D"/>
            <w:tcMar>
              <w:top w:w="90" w:type="dxa"/>
              <w:start w:w="120" w:type="dxa"/>
              <w:bottom w:w="90" w:type="dxa"/>
              <w:end w:w="120" w:type="dxa"/>
            </w:tcMar>
          </w:tcPr>
          <w:p>
            <w:pPr>
              <w:spacing w:after="0"/>
            </w:pPr>
            <w:r>
              <w:rPr>
                <w:rFonts w:ascii="Aptos" w:hAnsi="Aptos"/>
                <w:b/>
                <w:color w:val="FFFFFF"/>
                <w:sz w:val="15"/>
              </w:rPr>
              <w:t>Capability</w:t>
            </w:r>
          </w:p>
        </w:tc>
        <w:tc>
          <w:tcPr>
            <w:tcW w:type="dxa" w:w="3888"/>
            <w:shd w:fill="17324D"/>
            <w:tcMar>
              <w:top w:w="90" w:type="dxa"/>
              <w:start w:w="120" w:type="dxa"/>
              <w:bottom w:w="90" w:type="dxa"/>
              <w:end w:w="120" w:type="dxa"/>
            </w:tcMar>
          </w:tcPr>
          <w:p>
            <w:pPr>
              <w:spacing w:after="0"/>
            </w:pPr>
            <w:r>
              <w:rPr>
                <w:rFonts w:ascii="Aptos" w:hAnsi="Aptos"/>
                <w:b/>
                <w:color w:val="FFFFFF"/>
                <w:sz w:val="15"/>
              </w:rPr>
              <w:t>Adapter implementation</w:t>
            </w:r>
          </w:p>
        </w:tc>
        <w:tc>
          <w:tcPr>
            <w:tcW w:type="dxa" w:w="3600"/>
            <w:shd w:fill="17324D"/>
            <w:tcMar>
              <w:top w:w="90" w:type="dxa"/>
              <w:start w:w="120" w:type="dxa"/>
              <w:bottom w:w="90" w:type="dxa"/>
              <w:end w:w="120" w:type="dxa"/>
            </w:tcMar>
          </w:tcPr>
          <w:p>
            <w:pPr>
              <w:spacing w:after="0"/>
            </w:pPr>
            <w:r>
              <w:rPr>
                <w:rFonts w:ascii="Aptos" w:hAnsi="Aptos"/>
                <w:b/>
                <w:color w:val="FFFFFF"/>
                <w:sz w:val="15"/>
              </w:rPr>
              <w:t>Core remains</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5"/>
              </w:rPr>
              <w:t>Agent orchestration</w:t>
            </w:r>
          </w:p>
        </w:tc>
        <w:tc>
          <w:tcPr>
            <w:tcW w:type="dxa" w:w="3888"/>
            <w:vAlign w:val="center"/>
            <w:tcMar>
              <w:top w:w="90" w:type="dxa"/>
              <w:start w:w="120" w:type="dxa"/>
              <w:bottom w:w="90" w:type="dxa"/>
              <w:end w:w="120" w:type="dxa"/>
            </w:tcMar>
          </w:tcPr>
          <w:p>
            <w:pPr>
              <w:spacing w:after="0"/>
            </w:pPr>
            <w:r>
              <w:rPr>
                <w:rFonts w:ascii="Aptos" w:hAnsi="Aptos"/>
                <w:color w:val="17212B"/>
                <w:sz w:val="15"/>
              </w:rPr>
              <w:t>Strands Agents graphs/tools; checkpoints for long-running work</w:t>
            </w:r>
          </w:p>
        </w:tc>
        <w:tc>
          <w:tcPr>
            <w:tcW w:type="dxa" w:w="3600"/>
            <w:vAlign w:val="center"/>
            <w:tcMar>
              <w:top w:w="90" w:type="dxa"/>
              <w:start w:w="120" w:type="dxa"/>
              <w:bottom w:w="90" w:type="dxa"/>
              <w:end w:w="120" w:type="dxa"/>
            </w:tcMar>
          </w:tcPr>
          <w:p>
            <w:pPr>
              <w:spacing w:after="0"/>
            </w:pPr>
            <w:r>
              <w:rPr>
                <w:rFonts w:ascii="Aptos" w:hAnsi="Aptos"/>
                <w:color w:val="17212B"/>
                <w:sz w:val="15"/>
              </w:rPr>
              <w:t>Use-case orchestration contract and state machine</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5"/>
              </w:rPr>
              <w:t>Model</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Amazon Bedrock model via structured tool/result validation</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Domain schemas and deterministic policy</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5"/>
              </w:rPr>
              <w:t>Runtime</w:t>
            </w:r>
          </w:p>
        </w:tc>
        <w:tc>
          <w:tcPr>
            <w:tcW w:type="dxa" w:w="3888"/>
            <w:vAlign w:val="center"/>
            <w:tcMar>
              <w:top w:w="90" w:type="dxa"/>
              <w:start w:w="120" w:type="dxa"/>
              <w:bottom w:w="90" w:type="dxa"/>
              <w:end w:w="120" w:type="dxa"/>
            </w:tcMar>
          </w:tcPr>
          <w:p>
            <w:pPr>
              <w:spacing w:after="0"/>
            </w:pPr>
            <w:r>
              <w:rPr>
                <w:rFonts w:ascii="Aptos" w:hAnsi="Aptos"/>
                <w:color w:val="17212B"/>
                <w:sz w:val="15"/>
              </w:rPr>
              <w:t>Amazon Bedrock AgentCore Runtime where eligible; Lambda/ECS alternative</w:t>
            </w:r>
          </w:p>
        </w:tc>
        <w:tc>
          <w:tcPr>
            <w:tcW w:type="dxa" w:w="3600"/>
            <w:vAlign w:val="center"/>
            <w:tcMar>
              <w:top w:w="90" w:type="dxa"/>
              <w:start w:w="120" w:type="dxa"/>
              <w:bottom w:w="90" w:type="dxa"/>
              <w:end w:w="120" w:type="dxa"/>
            </w:tcMar>
          </w:tcPr>
          <w:p>
            <w:pPr>
              <w:spacing w:after="0"/>
            </w:pPr>
            <w:r>
              <w:rPr>
                <w:rFonts w:ascii="Aptos" w:hAnsi="Aptos"/>
                <w:color w:val="17212B"/>
                <w:sz w:val="15"/>
              </w:rPr>
              <w:t>Runtime port and deployment profile</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5"/>
              </w:rPr>
              <w:t>Memory</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AgentCore memory adapter for allowed summaries; buyer preference store remains canonical</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Preference evidence rules</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5"/>
              </w:rPr>
              <w:t>Data</w:t>
            </w:r>
          </w:p>
        </w:tc>
        <w:tc>
          <w:tcPr>
            <w:tcW w:type="dxa" w:w="3888"/>
            <w:vAlign w:val="center"/>
            <w:tcMar>
              <w:top w:w="90" w:type="dxa"/>
              <w:start w:w="120" w:type="dxa"/>
              <w:bottom w:w="90" w:type="dxa"/>
              <w:end w:w="120" w:type="dxa"/>
            </w:tcMar>
          </w:tcPr>
          <w:p>
            <w:pPr>
              <w:spacing w:after="0"/>
            </w:pPr>
            <w:r>
              <w:rPr>
                <w:rFonts w:ascii="Aptos" w:hAnsi="Aptos"/>
                <w:color w:val="17212B"/>
                <w:sz w:val="15"/>
              </w:rPr>
              <w:t>DynamoDB/Aurora + S3 depending access pattern</w:t>
            </w:r>
          </w:p>
        </w:tc>
        <w:tc>
          <w:tcPr>
            <w:tcW w:type="dxa" w:w="3600"/>
            <w:vAlign w:val="center"/>
            <w:tcMar>
              <w:top w:w="90" w:type="dxa"/>
              <w:start w:w="120" w:type="dxa"/>
              <w:bottom w:w="90" w:type="dxa"/>
              <w:end w:w="120" w:type="dxa"/>
            </w:tcMar>
          </w:tcPr>
          <w:p>
            <w:pPr>
              <w:spacing w:after="0"/>
            </w:pPr>
            <w:r>
              <w:rPr>
                <w:rFonts w:ascii="Aptos" w:hAnsi="Aptos"/>
                <w:color w:val="17212B"/>
                <w:sz w:val="15"/>
              </w:rPr>
              <w:t>Repositories and retention policy</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5"/>
              </w:rPr>
              <w:t>Security</w:t>
            </w:r>
          </w:p>
        </w:tc>
        <w:tc>
          <w:tcPr>
            <w:tcW w:type="dxa" w:w="3888"/>
            <w:vAlign w:val="center"/>
            <w:tcMar>
              <w:top w:w="90" w:type="dxa"/>
              <w:start w:w="120" w:type="dxa"/>
              <w:bottom w:w="90" w:type="dxa"/>
              <w:end w:w="120" w:type="dxa"/>
            </w:tcMar>
            <w:shd w:fill="F8FAFB"/>
          </w:tcPr>
          <w:p>
            <w:pPr>
              <w:spacing w:after="0"/>
            </w:pPr>
            <w:r>
              <w:rPr>
                <w:rFonts w:ascii="Aptos" w:hAnsi="Aptos"/>
                <w:color w:val="17212B"/>
                <w:sz w:val="15"/>
              </w:rPr>
              <w:t>IAM roles, KMS, Secrets Manager, Bedrock Guardrails as defense in depth</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Authorization and privacy firewall</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5"/>
              </w:rPr>
              <w:t>Observability</w:t>
            </w:r>
          </w:p>
        </w:tc>
        <w:tc>
          <w:tcPr>
            <w:tcW w:type="dxa" w:w="3888"/>
            <w:vAlign w:val="center"/>
            <w:tcMar>
              <w:top w:w="90" w:type="dxa"/>
              <w:start w:w="120" w:type="dxa"/>
              <w:bottom w:w="90" w:type="dxa"/>
              <w:end w:w="120" w:type="dxa"/>
            </w:tcMar>
          </w:tcPr>
          <w:p>
            <w:pPr>
              <w:spacing w:after="0"/>
            </w:pPr>
            <w:r>
              <w:rPr>
                <w:rFonts w:ascii="Aptos" w:hAnsi="Aptos"/>
                <w:color w:val="17212B"/>
                <w:sz w:val="15"/>
              </w:rPr>
              <w:t>CloudWatch/X-Ray/AgentCore observability + OpenTelemetry</w:t>
            </w:r>
          </w:p>
        </w:tc>
        <w:tc>
          <w:tcPr>
            <w:tcW w:type="dxa" w:w="3600"/>
            <w:vAlign w:val="center"/>
            <w:tcMar>
              <w:top w:w="90" w:type="dxa"/>
              <w:start w:w="120" w:type="dxa"/>
              <w:bottom w:w="90" w:type="dxa"/>
              <w:end w:w="120" w:type="dxa"/>
            </w:tcMar>
          </w:tcPr>
          <w:p>
            <w:pPr>
              <w:spacing w:after="0"/>
            </w:pPr>
            <w:r>
              <w:rPr>
                <w:rFonts w:ascii="Aptos" w:hAnsi="Aptos"/>
                <w:color w:val="17212B"/>
                <w:sz w:val="15"/>
              </w:rPr>
              <w:t>Canonical metrics and audit contract</w:t>
            </w:r>
          </w:p>
        </w:tc>
      </w:tr>
    </w:tbl>
    <w:p>
      <w:pPr>
        <w:spacing w:after="20"/>
      </w:pPr>
    </w:p>
    <w:p>
      <w:pPr>
        <w:pStyle w:val="Heading2"/>
      </w:pPr>
      <w:r>
        <w:t>13.3 Adapter conformance</w:t>
      </w:r>
    </w:p>
    <w:p>
      <w:r>
        <w:t>Each adapter must pass the same golden-path fixtures, JSON contract tests, privacy snapshots, deterministic ranking vectors, approval replay tests, and supplier-isolation authorization suite. Provider-specific enhancements are optional capabilities declared at startup and cannot change required domain semantics.</w:t>
      </w:r>
    </w:p>
    <w:p>
      <w:pPr>
        <w:pStyle w:val="Heading2"/>
      </w:pPr>
      <w:r>
        <w:t>13.4 Deployment profiles</w:t>
      </w:r>
    </w:p>
    <w:p>
      <w:pPr>
        <w:pStyle w:val="CodeBlock"/>
        <w:shd w:fill="EEF3F6"/>
      </w:pPr>
      <w:r>
        <w:rPr>
          <w:rFonts w:ascii="Aptos Mono" w:hAnsi="Aptos Mono"/>
          <w:color w:val="17212B"/>
          <w:sz w:val="15"/>
        </w:rPr>
        <w:t>local-demo: in-memory/postgres + simulated suppliers + simulated transaction</w:t>
        <w:br/>
        <w:t>google-gate: core + Google orchestration/model/runtime adapters</w:t>
        <w:br/>
        <w:t>aws-gate: core + Strands/Bedrock/AgentCore adapters</w:t>
        <w:br/>
        <w:t>production-mobile: chosen backend profile + RevenueCat + push + store builds</w:t>
      </w:r>
    </w:p>
    <w:p>
      <w:pPr>
        <w:pStyle w:val="Heading1"/>
      </w:pPr>
      <w:r>
        <w:t>14. Mobile productization and RevenueCat</w:t>
      </w:r>
    </w:p>
    <w:p>
      <w:pPr>
        <w:pStyle w:val="Heading2"/>
      </w:pPr>
      <w:r>
        <w:t>14.1 Product packaging</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728"/>
            <w:shd w:fill="17324D"/>
            <w:tcMar>
              <w:top w:w="90" w:type="dxa"/>
              <w:start w:w="120" w:type="dxa"/>
              <w:bottom w:w="90" w:type="dxa"/>
              <w:end w:w="120" w:type="dxa"/>
            </w:tcMar>
          </w:tcPr>
          <w:p>
            <w:pPr>
              <w:spacing w:after="0"/>
            </w:pPr>
            <w:r>
              <w:rPr>
                <w:rFonts w:ascii="Aptos" w:hAnsi="Aptos"/>
                <w:b/>
                <w:color w:val="FFFFFF"/>
                <w:sz w:val="16"/>
              </w:rPr>
              <w:t>Tier</w:t>
            </w:r>
          </w:p>
        </w:tc>
        <w:tc>
          <w:tcPr>
            <w:tcW w:type="dxa" w:w="5328"/>
            <w:shd w:fill="17324D"/>
            <w:tcMar>
              <w:top w:w="90" w:type="dxa"/>
              <w:start w:w="120" w:type="dxa"/>
              <w:bottom w:w="90" w:type="dxa"/>
              <w:end w:w="120" w:type="dxa"/>
            </w:tcMar>
          </w:tcPr>
          <w:p>
            <w:pPr>
              <w:spacing w:after="0"/>
            </w:pPr>
            <w:r>
              <w:rPr>
                <w:rFonts w:ascii="Aptos" w:hAnsi="Aptos"/>
                <w:b/>
                <w:color w:val="FFFFFF"/>
                <w:sz w:val="16"/>
              </w:rPr>
              <w:t>v1 concept</w:t>
            </w:r>
          </w:p>
        </w:tc>
        <w:tc>
          <w:tcPr>
            <w:tcW w:type="dxa" w:w="2304"/>
            <w:shd w:fill="17324D"/>
            <w:tcMar>
              <w:top w:w="90" w:type="dxa"/>
              <w:start w:w="120" w:type="dxa"/>
              <w:bottom w:w="90" w:type="dxa"/>
              <w:end w:w="120" w:type="dxa"/>
            </w:tcMar>
          </w:tcPr>
          <w:p>
            <w:pPr>
              <w:spacing w:after="0"/>
            </w:pPr>
            <w:r>
              <w:rPr>
                <w:rFonts w:ascii="Aptos" w:hAnsi="Aptos"/>
                <w:b/>
                <w:color w:val="FFFFFF"/>
                <w:sz w:val="16"/>
              </w:rPr>
              <w:t>Entitlement</w:t>
            </w:r>
          </w:p>
        </w:tc>
      </w:tr>
      <w:tr>
        <w:trPr>
          <w:cantSplit/>
        </w:trPr>
        <w:tc>
          <w:tcPr>
            <w:tcW w:type="dxa" w:w="1728"/>
            <w:vAlign w:val="center"/>
            <w:tcMar>
              <w:top w:w="90" w:type="dxa"/>
              <w:start w:w="120" w:type="dxa"/>
              <w:bottom w:w="90" w:type="dxa"/>
              <w:end w:w="120" w:type="dxa"/>
            </w:tcMar>
          </w:tcPr>
          <w:p>
            <w:pPr>
              <w:spacing w:after="0"/>
            </w:pPr>
            <w:r>
              <w:rPr>
                <w:rFonts w:ascii="Aptos" w:hAnsi="Aptos"/>
                <w:color w:val="17212B"/>
                <w:sz w:val="16"/>
              </w:rPr>
              <w:t>Free</w:t>
            </w:r>
          </w:p>
        </w:tc>
        <w:tc>
          <w:tcPr>
            <w:tcW w:type="dxa" w:w="5328"/>
            <w:vAlign w:val="center"/>
            <w:tcMar>
              <w:top w:w="90" w:type="dxa"/>
              <w:start w:w="120" w:type="dxa"/>
              <w:bottom w:w="90" w:type="dxa"/>
              <w:end w:w="120" w:type="dxa"/>
            </w:tcMar>
          </w:tcPr>
          <w:p>
            <w:pPr>
              <w:spacing w:after="0"/>
            </w:pPr>
            <w:r>
              <w:rPr>
                <w:rFonts w:ascii="Aptos" w:hAnsi="Aptos"/>
                <w:color w:val="17212B"/>
                <w:sz w:val="16"/>
              </w:rPr>
              <w:t>Typed Intent capture on responsive web, limited active/completed intents, market research, basic recommendation. Share to ReservEdge is future G3.</w:t>
            </w:r>
          </w:p>
        </w:tc>
        <w:tc>
          <w:tcPr>
            <w:tcW w:type="dxa" w:w="2304"/>
            <w:vAlign w:val="center"/>
            <w:tcMar>
              <w:top w:w="90" w:type="dxa"/>
              <w:start w:w="120" w:type="dxa"/>
              <w:bottom w:w="90" w:type="dxa"/>
              <w:end w:w="120" w:type="dxa"/>
            </w:tcMar>
          </w:tcPr>
          <w:p>
            <w:pPr>
              <w:spacing w:after="0"/>
            </w:pPr>
            <w:r>
              <w:rPr>
                <w:rFonts w:ascii="Aptos" w:hAnsi="Aptos"/>
                <w:color w:val="17212B"/>
                <w:sz w:val="16"/>
              </w:rPr>
              <w:t>`free` default</w:t>
            </w:r>
          </w:p>
        </w:tc>
      </w:tr>
      <w:tr>
        <w:trPr>
          <w:cantSplit/>
        </w:trPr>
        <w:tc>
          <w:tcPr>
            <w:tcW w:type="dxa" w:w="1728"/>
            <w:vAlign w:val="center"/>
            <w:tcMar>
              <w:top w:w="90" w:type="dxa"/>
              <w:start w:w="120" w:type="dxa"/>
              <w:bottom w:w="90" w:type="dxa"/>
              <w:end w:w="120" w:type="dxa"/>
            </w:tcMar>
            <w:shd w:fill="F8FAFB"/>
          </w:tcPr>
          <w:p>
            <w:pPr>
              <w:spacing w:after="0"/>
            </w:pPr>
            <w:r>
              <w:rPr>
                <w:rFonts w:ascii="Aptos" w:hAnsi="Aptos"/>
                <w:color w:val="17212B"/>
                <w:sz w:val="16"/>
              </w:rPr>
              <w:t>ReservEdge Pro (historical/internal offering label: ITAA Pro)</w:t>
            </w:r>
          </w:p>
        </w:tc>
        <w:tc>
          <w:tcPr>
            <w:tcW w:type="dxa" w:w="5328"/>
            <w:vAlign w:val="center"/>
            <w:tcMar>
              <w:top w:w="90" w:type="dxa"/>
              <w:start w:w="120" w:type="dxa"/>
              <w:bottom w:w="90" w:type="dxa"/>
              <w:end w:w="120" w:type="dxa"/>
            </w:tcMar>
            <w:shd w:fill="F8FAFB"/>
          </w:tcPr>
          <w:p>
            <w:pPr>
              <w:spacing w:after="0"/>
            </w:pPr>
            <w:r>
              <w:rPr>
                <w:rFonts w:ascii="Aptos" w:hAnsi="Aptos"/>
                <w:color w:val="17212B"/>
                <w:sz w:val="16"/>
              </w:rPr>
              <w:t>Higher/unlimited fair-use intents, preference memory, private supplier competition, monitoring/advanced comparison</w:t>
            </w:r>
          </w:p>
        </w:tc>
        <w:tc>
          <w:tcPr>
            <w:tcW w:type="dxa" w:w="2304"/>
            <w:vAlign w:val="center"/>
            <w:tcMar>
              <w:top w:w="90" w:type="dxa"/>
              <w:start w:w="120" w:type="dxa"/>
              <w:bottom w:w="90" w:type="dxa"/>
              <w:end w:w="120" w:type="dxa"/>
            </w:tcMar>
            <w:shd w:fill="F8FAFB"/>
          </w:tcPr>
          <w:p>
            <w:pPr>
              <w:spacing w:after="0"/>
            </w:pPr>
            <w:r>
              <w:rPr>
                <w:rFonts w:ascii="Aptos" w:hAnsi="Aptos"/>
                <w:color w:val="17212B"/>
                <w:sz w:val="16"/>
              </w:rPr>
              <w:t>`pro` via RevenueCat offering</w:t>
            </w:r>
          </w:p>
        </w:tc>
      </w:tr>
    </w:tbl>
    <w:p>
      <w:pPr>
        <w:spacing w:after="20"/>
      </w:pPr>
    </w:p>
    <w:p>
      <w:r>
        <w:t>Initial price is an experiment, not a locked requirement. A candidate is $7.99/month with an annual option, subject to store economics, user interviews, and willingness-to-pay tests. The app must clearly describe that supplier competition is simulated in v1.</w:t>
      </w:r>
    </w:p>
    <w:p>
      <w:pPr>
        <w:pStyle w:val="Heading2"/>
      </w:pPr>
      <w:r>
        <w:t>14.2 RevenueCat integration</w:t>
      </w:r>
    </w:p>
    <w:p>
      <w:pPr>
        <w:pStyle w:val="ListBullet"/>
        <w:ind w:left="403" w:hanging="259"/>
      </w:pPr>
      <w:r>
        <w:t>Configure products in App Store Connect/Google Play and map them to a RevenueCat `pro` entitlement.</w:t>
      </w:r>
    </w:p>
    <w:p>
      <w:pPr>
        <w:pStyle w:val="ListBullet"/>
        <w:ind w:left="403" w:hanging="259"/>
      </w:pPr>
      <w:r>
        <w:t>Client SDK fetches offerings and initiates purchase/restore; backend verifies entitlement via RevenueCat API and signed webhooks.</w:t>
      </w:r>
    </w:p>
    <w:p>
      <w:pPr>
        <w:pStyle w:val="ListBullet"/>
        <w:ind w:left="403" w:hanging="259"/>
      </w:pPr>
      <w:r>
        <w:t>Use RevenueCat customer ID mapped to an opaque ITAA buyer ID, not email.</w:t>
      </w:r>
    </w:p>
    <w:p>
      <w:pPr>
        <w:pStyle w:val="ListBullet"/>
        <w:ind w:left="403" w:hanging="259"/>
      </w:pPr>
      <w:r>
        <w:t>Implement purchase, cancel/expire, billing issue, grace period, restore, webhook replay, and account transfer policy.</w:t>
      </w:r>
    </w:p>
    <w:p>
      <w:pPr>
        <w:pStyle w:val="ListBullet"/>
        <w:ind w:left="403" w:hanging="259"/>
      </w:pPr>
      <w:r>
        <w:t>Judges receive a free trial or promo mechanism consistent with competition requirements.</w:t>
      </w:r>
    </w:p>
    <w:p>
      <w:pPr>
        <w:pStyle w:val="ListBullet"/>
        <w:ind w:left="403" w:hanging="259"/>
      </w:pPr>
      <w:r>
        <w:t>Track paywall view, purchase start, purchase success, restore, entitlement activation, and premium-feature use without sensitive intent content.</w:t>
      </w:r>
    </w:p>
    <w:p>
      <w:pPr>
        <w:pStyle w:val="Heading2"/>
      </w:pPr>
      <w:r>
        <w:t>14.3 Store readiness</w:t>
      </w:r>
    </w:p>
    <w:p>
      <w:pPr>
        <w:pStyle w:val="ListBullet"/>
        <w:ind w:left="403" w:hanging="259"/>
      </w:pPr>
      <w:r>
        <w:t>Privacy policy, terms, support URL, data-safety/privacy labels, account deletion path, and age/region eligibility reviewed.</w:t>
      </w:r>
    </w:p>
    <w:p>
      <w:pPr>
        <w:pStyle w:val="ListBullet"/>
        <w:ind w:left="403" w:hanging="259"/>
      </w:pPr>
      <w:r>
        <w:t>Public first release occurs inside the Shipaton window; submit to review early enough for rejection/rework.</w:t>
      </w:r>
    </w:p>
    <w:p>
      <w:pPr>
        <w:pStyle w:val="ListBullet"/>
        <w:ind w:left="403" w:hanging="259"/>
      </w:pPr>
      <w:r>
        <w:t>Store metadata includes 1024×1024 icon and required screenshots; demo video shows the app on-device.</w:t>
      </w:r>
    </w:p>
    <w:p>
      <w:pPr>
        <w:pStyle w:val="ListBullet"/>
        <w:ind w:left="403" w:hanging="259"/>
      </w:pPr>
      <w:r>
        <w:t>Crash-free sessions, accessibility, deep links, notification permissions, purchase restoration, and offline/read-only behavior tested.</w:t>
      </w:r>
    </w:p>
    <w:p>
      <w:r>
        <w:br w:type="page"/>
      </w:r>
    </w:p>
    <w:p>
      <w:pPr>
        <w:pStyle w:val="Heading1"/>
      </w:pPr>
      <w:r>
        <w:t>15. Test strategy and acceptance criteria</w:t>
      </w:r>
    </w:p>
    <w:p>
      <w:pPr>
        <w:pStyle w:val="Heading2"/>
      </w:pPr>
      <w:r>
        <w:t>15.1 Test pyramid and evaluation</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656"/>
            <w:shd w:fill="17324D"/>
            <w:tcMar>
              <w:top w:w="90" w:type="dxa"/>
              <w:start w:w="120" w:type="dxa"/>
              <w:bottom w:w="90" w:type="dxa"/>
              <w:end w:w="120" w:type="dxa"/>
            </w:tcMar>
          </w:tcPr>
          <w:p>
            <w:pPr>
              <w:spacing w:after="0"/>
            </w:pPr>
            <w:r>
              <w:rPr>
                <w:rFonts w:ascii="Aptos" w:hAnsi="Aptos"/>
                <w:b/>
                <w:color w:val="FFFFFF"/>
                <w:sz w:val="15"/>
              </w:rPr>
              <w:t>Layer</w:t>
            </w:r>
          </w:p>
        </w:tc>
        <w:tc>
          <w:tcPr>
            <w:tcW w:type="dxa" w:w="5256"/>
            <w:shd w:fill="17324D"/>
            <w:tcMar>
              <w:top w:w="90" w:type="dxa"/>
              <w:start w:w="120" w:type="dxa"/>
              <w:bottom w:w="90" w:type="dxa"/>
              <w:end w:w="120" w:type="dxa"/>
            </w:tcMar>
          </w:tcPr>
          <w:p>
            <w:pPr>
              <w:spacing w:after="0"/>
            </w:pPr>
            <w:r>
              <w:rPr>
                <w:rFonts w:ascii="Aptos" w:hAnsi="Aptos"/>
                <w:b/>
                <w:color w:val="FFFFFF"/>
                <w:sz w:val="15"/>
              </w:rPr>
              <w:t>Coverage</w:t>
            </w:r>
          </w:p>
        </w:tc>
        <w:tc>
          <w:tcPr>
            <w:tcW w:type="dxa" w:w="2448"/>
            <w:shd w:fill="17324D"/>
            <w:tcMar>
              <w:top w:w="90" w:type="dxa"/>
              <w:start w:w="120" w:type="dxa"/>
              <w:bottom w:w="90" w:type="dxa"/>
              <w:end w:w="120" w:type="dxa"/>
            </w:tcMar>
          </w:tcPr>
          <w:p>
            <w:pPr>
              <w:spacing w:after="0"/>
            </w:pPr>
            <w:r>
              <w:rPr>
                <w:rFonts w:ascii="Aptos" w:hAnsi="Aptos"/>
                <w:b/>
                <w:color w:val="FFFFFF"/>
                <w:sz w:val="15"/>
              </w:rPr>
              <w:t>Gate</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5"/>
              </w:rPr>
              <w:t>Unit</w:t>
            </w:r>
          </w:p>
        </w:tc>
        <w:tc>
          <w:tcPr>
            <w:tcW w:type="dxa" w:w="5256"/>
            <w:vAlign w:val="center"/>
            <w:tcMar>
              <w:top w:w="90" w:type="dxa"/>
              <w:start w:w="120" w:type="dxa"/>
              <w:bottom w:w="90" w:type="dxa"/>
              <w:end w:w="120" w:type="dxa"/>
            </w:tcMar>
          </w:tcPr>
          <w:p>
            <w:pPr>
              <w:spacing w:after="0"/>
            </w:pPr>
            <w:r>
              <w:rPr>
                <w:rFonts w:ascii="Aptos" w:hAnsi="Aptos"/>
                <w:color w:val="17212B"/>
                <w:sz w:val="15"/>
              </w:rPr>
              <w:t>Schemas, money, normalization, ranking, policy, state transitions, minimization</w:t>
            </w:r>
          </w:p>
        </w:tc>
        <w:tc>
          <w:tcPr>
            <w:tcW w:type="dxa" w:w="2448"/>
            <w:vAlign w:val="center"/>
            <w:tcMar>
              <w:top w:w="90" w:type="dxa"/>
              <w:start w:w="120" w:type="dxa"/>
              <w:bottom w:w="90" w:type="dxa"/>
              <w:end w:w="120" w:type="dxa"/>
            </w:tcMar>
          </w:tcPr>
          <w:p>
            <w:pPr>
              <w:spacing w:after="0"/>
            </w:pPr>
            <w:r>
              <w:rPr>
                <w:rFonts w:ascii="Aptos" w:hAnsi="Aptos"/>
                <w:color w:val="17212B"/>
                <w:sz w:val="15"/>
              </w:rPr>
              <w:t>Every commit</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5"/>
              </w:rPr>
              <w:t>Contract</w:t>
            </w:r>
          </w:p>
        </w:tc>
        <w:tc>
          <w:tcPr>
            <w:tcW w:type="dxa" w:w="5256"/>
            <w:vAlign w:val="center"/>
            <w:tcMar>
              <w:top w:w="90" w:type="dxa"/>
              <w:start w:w="120" w:type="dxa"/>
              <w:bottom w:w="90" w:type="dxa"/>
              <w:end w:w="120" w:type="dxa"/>
            </w:tcMar>
            <w:shd w:fill="F8FAFB"/>
          </w:tcPr>
          <w:p>
            <w:pPr>
              <w:spacing w:after="0"/>
            </w:pPr>
            <w:r>
              <w:rPr>
                <w:rFonts w:ascii="Aptos" w:hAnsi="Aptos"/>
                <w:color w:val="17212B"/>
                <w:sz w:val="15"/>
              </w:rPr>
              <w:t>Ports/adapters, API, events, supplier envelopes, RevenueCat webhooks</w:t>
            </w:r>
          </w:p>
        </w:tc>
        <w:tc>
          <w:tcPr>
            <w:tcW w:type="dxa" w:w="2448"/>
            <w:vAlign w:val="center"/>
            <w:tcMar>
              <w:top w:w="90" w:type="dxa"/>
              <w:start w:w="120" w:type="dxa"/>
              <w:bottom w:w="90" w:type="dxa"/>
              <w:end w:w="120" w:type="dxa"/>
            </w:tcMar>
            <w:shd w:fill="F8FAFB"/>
          </w:tcPr>
          <w:p>
            <w:pPr>
              <w:spacing w:after="0"/>
            </w:pPr>
            <w:r>
              <w:rPr>
                <w:rFonts w:ascii="Aptos" w:hAnsi="Aptos"/>
                <w:color w:val="17212B"/>
                <w:sz w:val="15"/>
              </w:rPr>
              <w:t>Every PR / adapter build</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5"/>
              </w:rPr>
              <w:t>Integration</w:t>
            </w:r>
          </w:p>
        </w:tc>
        <w:tc>
          <w:tcPr>
            <w:tcW w:type="dxa" w:w="5256"/>
            <w:vAlign w:val="center"/>
            <w:tcMar>
              <w:top w:w="90" w:type="dxa"/>
              <w:start w:w="120" w:type="dxa"/>
              <w:bottom w:w="90" w:type="dxa"/>
              <w:end w:w="120" w:type="dxa"/>
            </w:tcMar>
          </w:tcPr>
          <w:p>
            <w:pPr>
              <w:spacing w:after="0"/>
            </w:pPr>
            <w:r>
              <w:rPr>
                <w:rFonts w:ascii="Aptos" w:hAnsi="Aptos"/>
                <w:color w:val="17212B"/>
                <w:sz w:val="15"/>
              </w:rPr>
              <w:t>DB, queues, provider tools/models, supplier agents, entitlement</w:t>
            </w:r>
          </w:p>
        </w:tc>
        <w:tc>
          <w:tcPr>
            <w:tcW w:type="dxa" w:w="2448"/>
            <w:vAlign w:val="center"/>
            <w:tcMar>
              <w:top w:w="90" w:type="dxa"/>
              <w:start w:w="120" w:type="dxa"/>
              <w:bottom w:w="90" w:type="dxa"/>
              <w:end w:w="120" w:type="dxa"/>
            </w:tcMar>
          </w:tcPr>
          <w:p>
            <w:pPr>
              <w:spacing w:after="0"/>
            </w:pPr>
            <w:r>
              <w:rPr>
                <w:rFonts w:ascii="Aptos" w:hAnsi="Aptos"/>
                <w:color w:val="17212B"/>
                <w:sz w:val="15"/>
              </w:rPr>
              <w:t>Daily and release</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5"/>
              </w:rPr>
              <w:t>Scenario/e2e</w:t>
            </w:r>
          </w:p>
        </w:tc>
        <w:tc>
          <w:tcPr>
            <w:tcW w:type="dxa" w:w="5256"/>
            <w:vAlign w:val="center"/>
            <w:tcMar>
              <w:top w:w="90" w:type="dxa"/>
              <w:start w:w="120" w:type="dxa"/>
              <w:bottom w:w="90" w:type="dxa"/>
              <w:end w:w="120" w:type="dxa"/>
            </w:tcMar>
            <w:shd w:fill="F8FAFB"/>
          </w:tcPr>
          <w:p>
            <w:pPr>
              <w:spacing w:after="0"/>
            </w:pPr>
            <w:r>
              <w:rPr>
                <w:rFonts w:ascii="Aptos" w:hAnsi="Aptos"/>
                <w:color w:val="17212B"/>
                <w:sz w:val="15"/>
              </w:rPr>
              <w:t>Golden path, ambiguity, timeout, expiry, counteroffer, denial, duplicate</w:t>
            </w:r>
          </w:p>
        </w:tc>
        <w:tc>
          <w:tcPr>
            <w:tcW w:type="dxa" w:w="2448"/>
            <w:vAlign w:val="center"/>
            <w:tcMar>
              <w:top w:w="90" w:type="dxa"/>
              <w:start w:w="120" w:type="dxa"/>
              <w:bottom w:w="90" w:type="dxa"/>
              <w:end w:w="120" w:type="dxa"/>
            </w:tcMar>
            <w:shd w:fill="F8FAFB"/>
          </w:tcPr>
          <w:p>
            <w:pPr>
              <w:spacing w:after="0"/>
            </w:pPr>
            <w:r>
              <w:rPr>
                <w:rFonts w:ascii="Aptos" w:hAnsi="Aptos"/>
                <w:color w:val="17212B"/>
                <w:sz w:val="15"/>
              </w:rPr>
              <w:t>Each delivery gate</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5"/>
              </w:rPr>
              <w:t>Agent evaluation</w:t>
            </w:r>
          </w:p>
        </w:tc>
        <w:tc>
          <w:tcPr>
            <w:tcW w:type="dxa" w:w="5256"/>
            <w:vAlign w:val="center"/>
            <w:tcMar>
              <w:top w:w="90" w:type="dxa"/>
              <w:start w:w="120" w:type="dxa"/>
              <w:bottom w:w="90" w:type="dxa"/>
              <w:end w:w="120" w:type="dxa"/>
            </w:tcMar>
          </w:tcPr>
          <w:p>
            <w:pPr>
              <w:spacing w:after="0"/>
            </w:pPr>
            <w:r>
              <w:rPr>
                <w:rFonts w:ascii="Aptos" w:hAnsi="Aptos"/>
                <w:color w:val="17212B"/>
                <w:sz w:val="15"/>
              </w:rPr>
              <w:t>Extraction accuracy, grounded facts, tool choice, clarification minimality, explanation fidelity</w:t>
            </w:r>
          </w:p>
        </w:tc>
        <w:tc>
          <w:tcPr>
            <w:tcW w:type="dxa" w:w="2448"/>
            <w:vAlign w:val="center"/>
            <w:tcMar>
              <w:top w:w="90" w:type="dxa"/>
              <w:start w:w="120" w:type="dxa"/>
              <w:bottom w:w="90" w:type="dxa"/>
              <w:end w:w="120" w:type="dxa"/>
            </w:tcMar>
          </w:tcPr>
          <w:p>
            <w:pPr>
              <w:spacing w:after="0"/>
            </w:pPr>
            <w:r>
              <w:rPr>
                <w:rFonts w:ascii="Aptos" w:hAnsi="Aptos"/>
                <w:color w:val="17212B"/>
                <w:sz w:val="15"/>
              </w:rPr>
              <w:t>Versioned eval set</w:t>
            </w:r>
          </w:p>
        </w:tc>
      </w:tr>
      <w:tr>
        <w:trPr>
          <w:cantSplit/>
        </w:trPr>
        <w:tc>
          <w:tcPr>
            <w:tcW w:type="dxa" w:w="1656"/>
            <w:vAlign w:val="center"/>
            <w:tcMar>
              <w:top w:w="90" w:type="dxa"/>
              <w:start w:w="120" w:type="dxa"/>
              <w:bottom w:w="90" w:type="dxa"/>
              <w:end w:w="120" w:type="dxa"/>
            </w:tcMar>
            <w:shd w:fill="F8FAFB"/>
          </w:tcPr>
          <w:p>
            <w:pPr>
              <w:spacing w:after="0"/>
            </w:pPr>
            <w:r>
              <w:rPr>
                <w:rFonts w:ascii="Aptos" w:hAnsi="Aptos"/>
                <w:color w:val="17212B"/>
                <w:sz w:val="15"/>
              </w:rPr>
              <w:t>Security/privacy</w:t>
            </w:r>
          </w:p>
        </w:tc>
        <w:tc>
          <w:tcPr>
            <w:tcW w:type="dxa" w:w="5256"/>
            <w:vAlign w:val="center"/>
            <w:tcMar>
              <w:top w:w="90" w:type="dxa"/>
              <w:start w:w="120" w:type="dxa"/>
              <w:bottom w:w="90" w:type="dxa"/>
              <w:end w:w="120" w:type="dxa"/>
            </w:tcMar>
            <w:shd w:fill="F8FAFB"/>
          </w:tcPr>
          <w:p>
            <w:pPr>
              <w:spacing w:after="0"/>
            </w:pPr>
            <w:r>
              <w:rPr>
                <w:rFonts w:ascii="Aptos" w:hAnsi="Aptos"/>
                <w:color w:val="17212B"/>
                <w:sz w:val="15"/>
              </w:rPr>
              <w:t>AuthZ matrix, isolation, prompt injection, leakage scans, replay, SSRF</w:t>
            </w:r>
          </w:p>
        </w:tc>
        <w:tc>
          <w:tcPr>
            <w:tcW w:type="dxa" w:w="2448"/>
            <w:vAlign w:val="center"/>
            <w:tcMar>
              <w:top w:w="90" w:type="dxa"/>
              <w:start w:w="120" w:type="dxa"/>
              <w:bottom w:w="90" w:type="dxa"/>
              <w:end w:w="120" w:type="dxa"/>
            </w:tcMar>
            <w:shd w:fill="F8FAFB"/>
          </w:tcPr>
          <w:p>
            <w:pPr>
              <w:spacing w:after="0"/>
            </w:pPr>
            <w:r>
              <w:rPr>
                <w:rFonts w:ascii="Aptos" w:hAnsi="Aptos"/>
                <w:color w:val="17212B"/>
                <w:sz w:val="15"/>
              </w:rPr>
              <w:t>G1 baseline; expanded G2/G3</w:t>
            </w:r>
          </w:p>
        </w:tc>
      </w:tr>
      <w:tr>
        <w:trPr>
          <w:cantSplit/>
        </w:trPr>
        <w:tc>
          <w:tcPr>
            <w:tcW w:type="dxa" w:w="1656"/>
            <w:vAlign w:val="center"/>
            <w:tcMar>
              <w:top w:w="90" w:type="dxa"/>
              <w:start w:w="120" w:type="dxa"/>
              <w:bottom w:w="90" w:type="dxa"/>
              <w:end w:w="120" w:type="dxa"/>
            </w:tcMar>
          </w:tcPr>
          <w:p>
            <w:pPr>
              <w:spacing w:after="0"/>
            </w:pPr>
            <w:r>
              <w:rPr>
                <w:rFonts w:ascii="Aptos" w:hAnsi="Aptos"/>
                <w:color w:val="17212B"/>
                <w:sz w:val="15"/>
              </w:rPr>
              <w:t>UX/accessibility</w:t>
            </w:r>
          </w:p>
        </w:tc>
        <w:tc>
          <w:tcPr>
            <w:tcW w:type="dxa" w:w="5256"/>
            <w:vAlign w:val="center"/>
            <w:tcMar>
              <w:top w:w="90" w:type="dxa"/>
              <w:start w:w="120" w:type="dxa"/>
              <w:bottom w:w="90" w:type="dxa"/>
              <w:end w:w="120" w:type="dxa"/>
            </w:tcMar>
          </w:tcPr>
          <w:p>
            <w:pPr>
              <w:spacing w:after="0"/>
            </w:pPr>
            <w:r>
              <w:rPr>
                <w:rFonts w:ascii="Aptos" w:hAnsi="Aptos"/>
                <w:color w:val="17212B"/>
                <w:sz w:val="15"/>
              </w:rPr>
              <w:t>Task completion, screen reader, dynamic type, error recovery, paywall/restore</w:t>
            </w:r>
          </w:p>
        </w:tc>
        <w:tc>
          <w:tcPr>
            <w:tcW w:type="dxa" w:w="2448"/>
            <w:vAlign w:val="center"/>
            <w:tcMar>
              <w:top w:w="90" w:type="dxa"/>
              <w:start w:w="120" w:type="dxa"/>
              <w:bottom w:w="90" w:type="dxa"/>
              <w:end w:w="120" w:type="dxa"/>
            </w:tcMar>
          </w:tcPr>
          <w:p>
            <w:pPr>
              <w:spacing w:after="0"/>
            </w:pPr>
            <w:r>
              <w:rPr>
                <w:rFonts w:ascii="Aptos" w:hAnsi="Aptos"/>
                <w:color w:val="17212B"/>
                <w:sz w:val="15"/>
              </w:rPr>
              <w:t>G3</w:t>
            </w:r>
          </w:p>
        </w:tc>
      </w:tr>
    </w:tbl>
    <w:p>
      <w:pPr>
        <w:spacing w:after="20"/>
      </w:pPr>
    </w:p>
    <w:p>
      <w:pPr>
        <w:pStyle w:val="Heading2"/>
      </w:pPr>
      <w:r>
        <w:t>15.2 Golden-path acceptance criteria</w:t>
      </w:r>
    </w:p>
    <w:tbl>
      <w:tblPr>
        <w:tblStyle w:val="TableGrid"/>
        <w:tblW w:type="dxa" w:w="9360"/>
        <w:jc w:val="center"/>
        <w:tblLayout w:type="fixed"/>
        <w:tblLook w:firstColumn="1" w:firstRow="1" w:lastColumn="0" w:lastRow="0" w:noHBand="0" w:noVBand="1" w:val="04A0"/>
        <w:tblInd w:w="120" w:type="dxa"/>
      </w:tblPr>
      <w:tblGrid>
        <w:gridCol w:w="4853"/>
        <w:gridCol w:w="4853"/>
      </w:tblGrid>
      <w:tr>
        <w:trPr>
          <w:tblHeader w:val="true"/>
          <w:cantSplit/>
        </w:trPr>
        <w:tc>
          <w:tcPr>
            <w:tcW w:type="dxa" w:w="1152"/>
            <w:shd w:fill="17324D"/>
            <w:tcMar>
              <w:top w:w="90" w:type="dxa"/>
              <w:start w:w="120" w:type="dxa"/>
              <w:bottom w:w="90" w:type="dxa"/>
              <w:end w:w="120" w:type="dxa"/>
            </w:tcMar>
          </w:tcPr>
          <w:p>
            <w:pPr>
              <w:spacing w:after="0"/>
            </w:pPr>
            <w:r>
              <w:rPr>
                <w:rFonts w:ascii="Aptos" w:hAnsi="Aptos"/>
                <w:b/>
                <w:color w:val="FFFFFF"/>
                <w:sz w:val="16"/>
              </w:rPr>
              <w:t>ID</w:t>
            </w:r>
          </w:p>
        </w:tc>
        <w:tc>
          <w:tcPr>
            <w:tcW w:type="dxa" w:w="8208"/>
            <w:shd w:fill="17324D"/>
            <w:tcMar>
              <w:top w:w="90" w:type="dxa"/>
              <w:start w:w="120" w:type="dxa"/>
              <w:bottom w:w="90" w:type="dxa"/>
              <w:end w:w="120" w:type="dxa"/>
            </w:tcMar>
          </w:tcPr>
          <w:p>
            <w:pPr>
              <w:spacing w:after="0"/>
            </w:pPr>
            <w:r>
              <w:rPr>
                <w:rFonts w:ascii="Aptos" w:hAnsi="Aptos"/>
                <w:b/>
                <w:color w:val="FFFFFF"/>
                <w:sz w:val="16"/>
              </w:rPr>
              <w:t>Acceptance criterion</w:t>
            </w:r>
          </w:p>
        </w:tc>
      </w:tr>
      <w:tr>
        <w:trPr>
          <w:cantSplit/>
        </w:trPr>
        <w:tc>
          <w:tcPr>
            <w:tcW w:type="dxa" w:w="1152"/>
            <w:vAlign w:val="center"/>
            <w:tcMar>
              <w:top w:w="90" w:type="dxa"/>
              <w:start w:w="120" w:type="dxa"/>
              <w:bottom w:w="90" w:type="dxa"/>
              <w:end w:w="120" w:type="dxa"/>
            </w:tcMar>
          </w:tcPr>
          <w:p>
            <w:pPr>
              <w:spacing w:after="0"/>
            </w:pPr>
            <w:r>
              <w:rPr>
                <w:rFonts w:ascii="Aptos" w:hAnsi="Aptos"/>
                <w:color w:val="17212B"/>
                <w:sz w:val="16"/>
              </w:rPr>
              <w:t>AC-001</w:t>
            </w:r>
          </w:p>
        </w:tc>
        <w:tc>
          <w:tcPr>
            <w:tcW w:type="dxa" w:w="8208"/>
            <w:vAlign w:val="center"/>
            <w:tcMar>
              <w:top w:w="90" w:type="dxa"/>
              <w:start w:w="120" w:type="dxa"/>
              <w:bottom w:w="90" w:type="dxa"/>
              <w:end w:w="120" w:type="dxa"/>
            </w:tcMar>
          </w:tcPr>
          <w:p>
            <w:pPr>
              <w:spacing w:after="0"/>
            </w:pPr>
            <w:r>
              <w:rPr>
                <w:rFonts w:ascii="Aptos" w:hAnsi="Aptos"/>
                <w:color w:val="17212B"/>
                <w:sz w:val="16"/>
              </w:rPr>
              <w:t>Given a shared parking request with dates and JFK, the system produces a structured draft with evidence/confidence and asks no redundant question.</w:t>
            </w:r>
          </w:p>
        </w:tc>
      </w:tr>
      <w:tr>
        <w:trPr>
          <w:cantSplit/>
        </w:trPr>
        <w:tc>
          <w:tcPr>
            <w:tcW w:type="dxa" w:w="1152"/>
            <w:vAlign w:val="center"/>
            <w:tcMar>
              <w:top w:w="90" w:type="dxa"/>
              <w:start w:w="120" w:type="dxa"/>
              <w:bottom w:w="90" w:type="dxa"/>
              <w:end w:w="120" w:type="dxa"/>
            </w:tcMar>
            <w:shd w:fill="F8FAFB"/>
          </w:tcPr>
          <w:p>
            <w:pPr>
              <w:spacing w:after="0"/>
            </w:pPr>
            <w:r>
              <w:rPr>
                <w:rFonts w:ascii="Aptos" w:hAnsi="Aptos"/>
                <w:color w:val="17212B"/>
                <w:sz w:val="16"/>
              </w:rPr>
              <w:t>AC-002</w:t>
            </w:r>
          </w:p>
        </w:tc>
        <w:tc>
          <w:tcPr>
            <w:tcW w:type="dxa" w:w="8208"/>
            <w:vAlign w:val="center"/>
            <w:tcMar>
              <w:top w:w="90" w:type="dxa"/>
              <w:start w:w="120" w:type="dxa"/>
              <w:bottom w:w="90" w:type="dxa"/>
              <w:end w:w="120" w:type="dxa"/>
            </w:tcMar>
            <w:shd w:fill="F8FAFB"/>
          </w:tcPr>
          <w:p>
            <w:pPr>
              <w:spacing w:after="0"/>
            </w:pPr>
            <w:r>
              <w:rPr>
                <w:rFonts w:ascii="Aptos" w:hAnsi="Aptos"/>
                <w:color w:val="17212B"/>
                <w:sz w:val="16"/>
              </w:rPr>
              <w:t>The disclosure preview excludes name, email, full flight details, companions, payment data, and raw shared text.</w:t>
            </w:r>
          </w:p>
        </w:tc>
      </w:tr>
      <w:tr>
        <w:trPr>
          <w:cantSplit/>
        </w:trPr>
        <w:tc>
          <w:tcPr>
            <w:tcW w:type="dxa" w:w="1152"/>
            <w:vAlign w:val="center"/>
            <w:tcMar>
              <w:top w:w="90" w:type="dxa"/>
              <w:start w:w="120" w:type="dxa"/>
              <w:bottom w:w="90" w:type="dxa"/>
              <w:end w:w="120" w:type="dxa"/>
            </w:tcMar>
          </w:tcPr>
          <w:p>
            <w:pPr>
              <w:spacing w:after="0"/>
            </w:pPr>
            <w:r>
              <w:rPr>
                <w:rFonts w:ascii="Aptos" w:hAnsi="Aptos"/>
                <w:color w:val="17212B"/>
                <w:sz w:val="16"/>
              </w:rPr>
              <w:t>AC-003</w:t>
            </w:r>
          </w:p>
        </w:tc>
        <w:tc>
          <w:tcPr>
            <w:tcW w:type="dxa" w:w="8208"/>
            <w:vAlign w:val="center"/>
            <w:tcMar>
              <w:top w:w="90" w:type="dxa"/>
              <w:start w:w="120" w:type="dxa"/>
              <w:bottom w:w="90" w:type="dxa"/>
              <w:end w:w="120" w:type="dxa"/>
            </w:tcMar>
          </w:tcPr>
          <w:p>
            <w:pPr>
              <w:spacing w:after="0"/>
            </w:pPr>
            <w:r>
              <w:rPr>
                <w:rFonts w:ascii="Aptos" w:hAnsi="Aptos"/>
                <w:color w:val="17212B"/>
                <w:sz w:val="16"/>
              </w:rPr>
              <w:t>No solicitation begins until a valid A2 approval exists for the exact payload hash.</w:t>
            </w:r>
          </w:p>
        </w:tc>
      </w:tr>
      <w:tr>
        <w:trPr>
          <w:cantSplit/>
        </w:trPr>
        <w:tc>
          <w:tcPr>
            <w:tcW w:type="dxa" w:w="1152"/>
            <w:vAlign w:val="center"/>
            <w:tcMar>
              <w:top w:w="90" w:type="dxa"/>
              <w:start w:w="120" w:type="dxa"/>
              <w:bottom w:w="90" w:type="dxa"/>
              <w:end w:w="120" w:type="dxa"/>
            </w:tcMar>
            <w:shd w:fill="F8FAFB"/>
          </w:tcPr>
          <w:p>
            <w:pPr>
              <w:spacing w:after="0"/>
            </w:pPr>
            <w:r>
              <w:rPr>
                <w:rFonts w:ascii="Aptos" w:hAnsi="Aptos"/>
                <w:color w:val="17212B"/>
                <w:sz w:val="16"/>
              </w:rPr>
              <w:t>AC-004</w:t>
            </w:r>
          </w:p>
        </w:tc>
        <w:tc>
          <w:tcPr>
            <w:tcW w:type="dxa" w:w="8208"/>
            <w:vAlign w:val="center"/>
            <w:tcMar>
              <w:top w:w="90" w:type="dxa"/>
              <w:start w:w="120" w:type="dxa"/>
              <w:bottom w:w="90" w:type="dxa"/>
              <w:end w:w="120" w:type="dxa"/>
            </w:tcMar>
            <w:shd w:fill="F8FAFB"/>
          </w:tcPr>
          <w:p>
            <w:pPr>
              <w:spacing w:after="0"/>
            </w:pPr>
            <w:r>
              <w:rPr>
                <w:rFonts w:ascii="Aptos" w:hAnsi="Aptos"/>
                <w:color w:val="17212B"/>
                <w:sz w:val="16"/>
              </w:rPr>
              <w:t>Three suppliers execute independently; each receives only its own envelope and cannot query competitor offers.</w:t>
            </w:r>
          </w:p>
        </w:tc>
      </w:tr>
      <w:tr>
        <w:trPr>
          <w:cantSplit/>
        </w:trPr>
        <w:tc>
          <w:tcPr>
            <w:tcW w:type="dxa" w:w="1152"/>
            <w:vAlign w:val="center"/>
            <w:tcMar>
              <w:top w:w="90" w:type="dxa"/>
              <w:start w:w="120" w:type="dxa"/>
              <w:bottom w:w="90" w:type="dxa"/>
              <w:end w:w="120" w:type="dxa"/>
            </w:tcMar>
          </w:tcPr>
          <w:p>
            <w:pPr>
              <w:spacing w:after="0"/>
            </w:pPr>
            <w:r>
              <w:rPr>
                <w:rFonts w:ascii="Aptos" w:hAnsi="Aptos"/>
                <w:color w:val="17212B"/>
                <w:sz w:val="16"/>
              </w:rPr>
              <w:t>AC-005</w:t>
            </w:r>
          </w:p>
        </w:tc>
        <w:tc>
          <w:tcPr>
            <w:tcW w:type="dxa" w:w="8208"/>
            <w:vAlign w:val="center"/>
            <w:tcMar>
              <w:top w:w="90" w:type="dxa"/>
              <w:start w:w="120" w:type="dxa"/>
              <w:bottom w:w="90" w:type="dxa"/>
              <w:end w:w="120" w:type="dxa"/>
            </w:tcMar>
          </w:tcPr>
          <w:p>
            <w:pPr>
              <w:spacing w:after="0"/>
            </w:pPr>
            <w:r>
              <w:rPr>
                <w:rFonts w:ascii="Aptos" w:hAnsi="Aptos"/>
                <w:color w:val="17212B"/>
                <w:sz w:val="16"/>
              </w:rPr>
              <w:t>Each supplier returns a schema-valid, policy-compliant, multidimensional, time-limited offer or an explicit decline.</w:t>
            </w:r>
          </w:p>
        </w:tc>
      </w:tr>
      <w:tr>
        <w:trPr>
          <w:cantSplit/>
        </w:trPr>
        <w:tc>
          <w:tcPr>
            <w:tcW w:type="dxa" w:w="1152"/>
            <w:vAlign w:val="center"/>
            <w:tcMar>
              <w:top w:w="90" w:type="dxa"/>
              <w:start w:w="120" w:type="dxa"/>
              <w:bottom w:w="90" w:type="dxa"/>
              <w:end w:w="120" w:type="dxa"/>
            </w:tcMar>
            <w:shd w:fill="F8FAFB"/>
          </w:tcPr>
          <w:p>
            <w:pPr>
              <w:spacing w:after="0"/>
            </w:pPr>
            <w:r>
              <w:rPr>
                <w:rFonts w:ascii="Aptos" w:hAnsi="Aptos"/>
                <w:color w:val="17212B"/>
                <w:sz w:val="16"/>
              </w:rPr>
              <w:t>AC-006</w:t>
            </w:r>
          </w:p>
        </w:tc>
        <w:tc>
          <w:tcPr>
            <w:tcW w:type="dxa" w:w="8208"/>
            <w:vAlign w:val="center"/>
            <w:tcMar>
              <w:top w:w="90" w:type="dxa"/>
              <w:start w:w="120" w:type="dxa"/>
              <w:bottom w:w="90" w:type="dxa"/>
              <w:end w:w="120" w:type="dxa"/>
            </w:tcMar>
            <w:shd w:fill="F8FAFB"/>
          </w:tcPr>
          <w:p>
            <w:pPr>
              <w:spacing w:after="0"/>
            </w:pPr>
            <w:r>
              <w:rPr>
                <w:rFonts w:ascii="Aptos" w:hAnsi="Aptos"/>
                <w:color w:val="17212B"/>
                <w:sz w:val="16"/>
              </w:rPr>
              <w:t>Ranking is reproducible from stored inputs; explanation top drivers match score contributions.</w:t>
            </w:r>
          </w:p>
        </w:tc>
      </w:tr>
      <w:tr>
        <w:trPr>
          <w:cantSplit/>
        </w:trPr>
        <w:tc>
          <w:tcPr>
            <w:tcW w:type="dxa" w:w="1152"/>
            <w:vAlign w:val="center"/>
            <w:tcMar>
              <w:top w:w="90" w:type="dxa"/>
              <w:start w:w="120" w:type="dxa"/>
              <w:bottom w:w="90" w:type="dxa"/>
              <w:end w:w="120" w:type="dxa"/>
            </w:tcMar>
          </w:tcPr>
          <w:p>
            <w:pPr>
              <w:spacing w:after="0"/>
            </w:pPr>
            <w:r>
              <w:rPr>
                <w:rFonts w:ascii="Aptos" w:hAnsi="Aptos"/>
                <w:color w:val="17212B"/>
                <w:sz w:val="16"/>
              </w:rPr>
              <w:t>AC-007</w:t>
            </w:r>
          </w:p>
        </w:tc>
        <w:tc>
          <w:tcPr>
            <w:tcW w:type="dxa" w:w="8208"/>
            <w:vAlign w:val="center"/>
            <w:tcMar>
              <w:top w:w="90" w:type="dxa"/>
              <w:start w:w="120" w:type="dxa"/>
              <w:bottom w:w="90" w:type="dxa"/>
              <w:end w:w="120" w:type="dxa"/>
            </w:tcMar>
          </w:tcPr>
          <w:p>
            <w:pPr>
              <w:spacing w:after="0"/>
            </w:pPr>
            <w:r>
              <w:rPr>
                <w:rFonts w:ascii="Aptos" w:hAnsi="Aptos"/>
                <w:color w:val="17212B"/>
                <w:sz w:val="16"/>
              </w:rPr>
              <w:t>The user may choose a non-recommended eligible offer; the system records but does not overgeneralize the choice.</w:t>
            </w:r>
          </w:p>
        </w:tc>
      </w:tr>
      <w:tr>
        <w:trPr>
          <w:cantSplit/>
        </w:trPr>
        <w:tc>
          <w:tcPr>
            <w:tcW w:type="dxa" w:w="1152"/>
            <w:vAlign w:val="center"/>
            <w:tcMar>
              <w:top w:w="90" w:type="dxa"/>
              <w:start w:w="120" w:type="dxa"/>
              <w:bottom w:w="90" w:type="dxa"/>
              <w:end w:w="120" w:type="dxa"/>
            </w:tcMar>
            <w:shd w:fill="F8FAFB"/>
          </w:tcPr>
          <w:p>
            <w:pPr>
              <w:spacing w:after="0"/>
            </w:pPr>
            <w:r>
              <w:rPr>
                <w:rFonts w:ascii="Aptos" w:hAnsi="Aptos"/>
                <w:color w:val="17212B"/>
                <w:sz w:val="16"/>
              </w:rPr>
              <w:t>AC-008</w:t>
            </w:r>
          </w:p>
        </w:tc>
        <w:tc>
          <w:tcPr>
            <w:tcW w:type="dxa" w:w="8208"/>
            <w:vAlign w:val="center"/>
            <w:tcMar>
              <w:top w:w="90" w:type="dxa"/>
              <w:start w:w="120" w:type="dxa"/>
              <w:bottom w:w="90" w:type="dxa"/>
              <w:end w:w="120" w:type="dxa"/>
            </w:tcMar>
            <w:shd w:fill="F8FAFB"/>
          </w:tcPr>
          <w:p>
            <w:pPr>
              <w:spacing w:after="0"/>
            </w:pPr>
            <w:r>
              <w:rPr>
                <w:rFonts w:ascii="Aptos" w:hAnsi="Aptos"/>
                <w:color w:val="17212B"/>
                <w:sz w:val="16"/>
              </w:rPr>
              <w:t>Final authorization requires A4 and produces one signed SIMULATED receipt under retries.</w:t>
            </w:r>
          </w:p>
        </w:tc>
      </w:tr>
      <w:tr>
        <w:trPr>
          <w:cantSplit/>
        </w:trPr>
        <w:tc>
          <w:tcPr>
            <w:tcW w:type="dxa" w:w="1152"/>
            <w:vAlign w:val="center"/>
            <w:tcMar>
              <w:top w:w="90" w:type="dxa"/>
              <w:start w:w="120" w:type="dxa"/>
              <w:bottom w:w="90" w:type="dxa"/>
              <w:end w:w="120" w:type="dxa"/>
            </w:tcMar>
          </w:tcPr>
          <w:p>
            <w:pPr>
              <w:spacing w:after="0"/>
            </w:pPr>
            <w:r>
              <w:rPr>
                <w:rFonts w:ascii="Aptos" w:hAnsi="Aptos"/>
                <w:color w:val="17212B"/>
                <w:sz w:val="16"/>
              </w:rPr>
              <w:t>AC-009</w:t>
            </w:r>
          </w:p>
        </w:tc>
        <w:tc>
          <w:tcPr>
            <w:tcW w:type="dxa" w:w="8208"/>
            <w:vAlign w:val="center"/>
            <w:tcMar>
              <w:top w:w="90" w:type="dxa"/>
              <w:start w:w="120" w:type="dxa"/>
              <w:bottom w:w="90" w:type="dxa"/>
              <w:end w:w="120" w:type="dxa"/>
            </w:tcMar>
          </w:tcPr>
          <w:p>
            <w:pPr>
              <w:spacing w:after="0"/>
            </w:pPr>
            <w:r>
              <w:rPr>
                <w:rFonts w:ascii="Aptos" w:hAnsi="Aptos"/>
                <w:color w:val="17212B"/>
                <w:sz w:val="16"/>
              </w:rPr>
              <w:t>The complete audit timeline links ingestion, versions, approvals, offers, ranking, acceptance, and receipt.</w:t>
            </w:r>
          </w:p>
        </w:tc>
      </w:tr>
      <w:tr>
        <w:trPr>
          <w:cantSplit/>
        </w:trPr>
        <w:tc>
          <w:tcPr>
            <w:tcW w:type="dxa" w:w="1152"/>
            <w:vAlign w:val="center"/>
            <w:tcMar>
              <w:top w:w="90" w:type="dxa"/>
              <w:start w:w="120" w:type="dxa"/>
              <w:bottom w:w="90" w:type="dxa"/>
              <w:end w:w="120" w:type="dxa"/>
            </w:tcMar>
            <w:shd w:fill="F8FAFB"/>
          </w:tcPr>
          <w:p>
            <w:pPr>
              <w:spacing w:after="0"/>
            </w:pPr>
            <w:r>
              <w:rPr>
                <w:rFonts w:ascii="Aptos" w:hAnsi="Aptos"/>
                <w:color w:val="17212B"/>
                <w:sz w:val="16"/>
              </w:rPr>
              <w:t>AC-010</w:t>
            </w:r>
          </w:p>
        </w:tc>
        <w:tc>
          <w:tcPr>
            <w:tcW w:type="dxa" w:w="8208"/>
            <w:vAlign w:val="center"/>
            <w:tcMar>
              <w:top w:w="90" w:type="dxa"/>
              <w:start w:w="120" w:type="dxa"/>
              <w:bottom w:w="90" w:type="dxa"/>
              <w:end w:w="120" w:type="dxa"/>
            </w:tcMar>
            <w:shd w:fill="F8FAFB"/>
          </w:tcPr>
          <w:p>
            <w:pPr>
              <w:spacing w:after="0"/>
            </w:pPr>
            <w:r>
              <w:rPr>
                <w:rFonts w:ascii="Aptos" w:hAnsi="Aptos"/>
                <w:color w:val="17212B"/>
                <w:sz w:val="16"/>
              </w:rPr>
              <w:t>The same scenario passes on local, Google, and AWS adapter profiles with contract-equivalent results.</w:t>
            </w:r>
          </w:p>
        </w:tc>
      </w:tr>
    </w:tbl>
    <w:p>
      <w:pPr>
        <w:spacing w:after="20"/>
      </w:pPr>
    </w:p>
    <w:p>
      <w:pPr>
        <w:pStyle w:val="Heading2"/>
      </w:pPr>
      <w:r>
        <w:t>15.3 Quality thresholds</w:t>
      </w:r>
    </w:p>
    <w:tbl>
      <w:tblPr>
        <w:tblStyle w:val="TableGrid"/>
        <w:tblW w:type="dxa" w:w="9360"/>
        <w:jc w:val="center"/>
        <w:tblLayout w:type="fixed"/>
        <w:tblLook w:firstColumn="1" w:firstRow="1" w:lastColumn="0" w:lastRow="0" w:noHBand="0" w:noVBand="1" w:val="04A0"/>
        <w:tblInd w:w="120" w:type="dxa"/>
      </w:tblPr>
      <w:tblGrid>
        <w:gridCol w:w="4853"/>
        <w:gridCol w:w="4853"/>
      </w:tblGrid>
      <w:tr>
        <w:trPr>
          <w:tblHeader w:val="true"/>
          <w:cantSplit/>
        </w:trPr>
        <w:tc>
          <w:tcPr>
            <w:tcW w:type="dxa" w:w="3024"/>
            <w:shd w:fill="17324D"/>
            <w:tcMar>
              <w:top w:w="90" w:type="dxa"/>
              <w:start w:w="120" w:type="dxa"/>
              <w:bottom w:w="90" w:type="dxa"/>
              <w:end w:w="120" w:type="dxa"/>
            </w:tcMar>
          </w:tcPr>
          <w:p>
            <w:pPr>
              <w:spacing w:after="0"/>
            </w:pPr>
            <w:r>
              <w:rPr>
                <w:rFonts w:ascii="Aptos" w:hAnsi="Aptos"/>
                <w:b/>
                <w:color w:val="FFFFFF"/>
                <w:sz w:val="16"/>
              </w:rPr>
              <w:t>Metric</w:t>
            </w:r>
          </w:p>
        </w:tc>
        <w:tc>
          <w:tcPr>
            <w:tcW w:type="dxa" w:w="6336"/>
            <w:shd w:fill="17324D"/>
            <w:tcMar>
              <w:top w:w="90" w:type="dxa"/>
              <w:start w:w="120" w:type="dxa"/>
              <w:bottom w:w="90" w:type="dxa"/>
              <w:end w:w="120" w:type="dxa"/>
            </w:tcMar>
          </w:tcPr>
          <w:p>
            <w:pPr>
              <w:spacing w:after="0"/>
            </w:pPr>
            <w:r>
              <w:rPr>
                <w:rFonts w:ascii="Aptos" w:hAnsi="Aptos"/>
                <w:b/>
                <w:color w:val="FFFFFF"/>
                <w:sz w:val="16"/>
              </w:rPr>
              <w:t>Threshold before gate</w:t>
            </w:r>
          </w:p>
        </w:tc>
      </w:tr>
      <w:tr>
        <w:trPr>
          <w:cantSplit/>
        </w:trPr>
        <w:tc>
          <w:tcPr>
            <w:tcW w:type="dxa" w:w="3024"/>
            <w:vAlign w:val="center"/>
            <w:tcMar>
              <w:top w:w="90" w:type="dxa"/>
              <w:start w:w="120" w:type="dxa"/>
              <w:bottom w:w="90" w:type="dxa"/>
              <w:end w:w="120" w:type="dxa"/>
            </w:tcMar>
          </w:tcPr>
          <w:p>
            <w:pPr>
              <w:spacing w:after="0"/>
            </w:pPr>
            <w:r>
              <w:rPr>
                <w:rFonts w:ascii="Aptos" w:hAnsi="Aptos"/>
                <w:color w:val="17212B"/>
                <w:sz w:val="16"/>
              </w:rPr>
              <w:t>Structured extraction</w:t>
            </w:r>
          </w:p>
        </w:tc>
        <w:tc>
          <w:tcPr>
            <w:tcW w:type="dxa" w:w="6336"/>
            <w:vAlign w:val="center"/>
            <w:tcMar>
              <w:top w:w="90" w:type="dxa"/>
              <w:start w:w="120" w:type="dxa"/>
              <w:bottom w:w="90" w:type="dxa"/>
              <w:end w:w="120" w:type="dxa"/>
            </w:tcMar>
          </w:tcPr>
          <w:p>
            <w:pPr>
              <w:spacing w:after="0"/>
            </w:pPr>
            <w:r>
              <w:rPr>
                <w:rFonts w:ascii="Aptos" w:hAnsi="Aptos"/>
                <w:color w:val="17212B"/>
                <w:sz w:val="16"/>
              </w:rPr>
              <w:t>≥95% required-field accuracy on curated parking set; 100% schema valid</w:t>
            </w:r>
          </w:p>
        </w:tc>
      </w:tr>
      <w:tr>
        <w:trPr>
          <w:cantSplit/>
        </w:trPr>
        <w:tc>
          <w:tcPr>
            <w:tcW w:type="dxa" w:w="3024"/>
            <w:vAlign w:val="center"/>
            <w:tcMar>
              <w:top w:w="90" w:type="dxa"/>
              <w:start w:w="120" w:type="dxa"/>
              <w:bottom w:w="90" w:type="dxa"/>
              <w:end w:w="120" w:type="dxa"/>
            </w:tcMar>
            <w:shd w:fill="F8FAFB"/>
          </w:tcPr>
          <w:p>
            <w:pPr>
              <w:spacing w:after="0"/>
            </w:pPr>
            <w:r>
              <w:rPr>
                <w:rFonts w:ascii="Aptos" w:hAnsi="Aptos"/>
                <w:color w:val="17212B"/>
                <w:sz w:val="16"/>
              </w:rPr>
              <w:t>Disclosure leakage</w:t>
            </w:r>
          </w:p>
        </w:tc>
        <w:tc>
          <w:tcPr>
            <w:tcW w:type="dxa" w:w="6336"/>
            <w:vAlign w:val="center"/>
            <w:tcMar>
              <w:top w:w="90" w:type="dxa"/>
              <w:start w:w="120" w:type="dxa"/>
              <w:bottom w:w="90" w:type="dxa"/>
              <w:end w:w="120" w:type="dxa"/>
            </w:tcMar>
            <w:shd w:fill="F8FAFB"/>
          </w:tcPr>
          <w:p>
            <w:pPr>
              <w:spacing w:after="0"/>
            </w:pPr>
            <w:r>
              <w:rPr>
                <w:rFonts w:ascii="Aptos" w:hAnsi="Aptos"/>
                <w:color w:val="17212B"/>
                <w:sz w:val="16"/>
              </w:rPr>
              <w:t>0 direct identifiers/raw text across test and red-team corpus</w:t>
            </w:r>
          </w:p>
        </w:tc>
      </w:tr>
      <w:tr>
        <w:trPr>
          <w:cantSplit/>
        </w:trPr>
        <w:tc>
          <w:tcPr>
            <w:tcW w:type="dxa" w:w="3024"/>
            <w:vAlign w:val="center"/>
            <w:tcMar>
              <w:top w:w="90" w:type="dxa"/>
              <w:start w:w="120" w:type="dxa"/>
              <w:bottom w:w="90" w:type="dxa"/>
              <w:end w:w="120" w:type="dxa"/>
            </w:tcMar>
          </w:tcPr>
          <w:p>
            <w:pPr>
              <w:spacing w:after="0"/>
            </w:pPr>
            <w:r>
              <w:rPr>
                <w:rFonts w:ascii="Aptos" w:hAnsi="Aptos"/>
                <w:color w:val="17212B"/>
                <w:sz w:val="16"/>
              </w:rPr>
              <w:t>Ranking</w:t>
            </w:r>
          </w:p>
        </w:tc>
        <w:tc>
          <w:tcPr>
            <w:tcW w:type="dxa" w:w="6336"/>
            <w:vAlign w:val="center"/>
            <w:tcMar>
              <w:top w:w="90" w:type="dxa"/>
              <w:start w:w="120" w:type="dxa"/>
              <w:bottom w:w="90" w:type="dxa"/>
              <w:end w:w="120" w:type="dxa"/>
            </w:tcMar>
          </w:tcPr>
          <w:p>
            <w:pPr>
              <w:spacing w:after="0"/>
            </w:pPr>
            <w:r>
              <w:rPr>
                <w:rFonts w:ascii="Aptos" w:hAnsi="Aptos"/>
                <w:color w:val="17212B"/>
                <w:sz w:val="16"/>
              </w:rPr>
              <w:t>100% deterministic vector agreement; 100% explanation-score consistency</w:t>
            </w:r>
          </w:p>
        </w:tc>
      </w:tr>
      <w:tr>
        <w:trPr>
          <w:cantSplit/>
        </w:trPr>
        <w:tc>
          <w:tcPr>
            <w:tcW w:type="dxa" w:w="3024"/>
            <w:vAlign w:val="center"/>
            <w:tcMar>
              <w:top w:w="90" w:type="dxa"/>
              <w:start w:w="120" w:type="dxa"/>
              <w:bottom w:w="90" w:type="dxa"/>
              <w:end w:w="120" w:type="dxa"/>
            </w:tcMar>
            <w:shd w:fill="F8FAFB"/>
          </w:tcPr>
          <w:p>
            <w:pPr>
              <w:spacing w:after="0"/>
            </w:pPr>
            <w:r>
              <w:rPr>
                <w:rFonts w:ascii="Aptos" w:hAnsi="Aptos"/>
                <w:color w:val="17212B"/>
                <w:sz w:val="16"/>
              </w:rPr>
              <w:t>Supplier isolation</w:t>
            </w:r>
          </w:p>
        </w:tc>
        <w:tc>
          <w:tcPr>
            <w:tcW w:type="dxa" w:w="6336"/>
            <w:vAlign w:val="center"/>
            <w:tcMar>
              <w:top w:w="90" w:type="dxa"/>
              <w:start w:w="120" w:type="dxa"/>
              <w:bottom w:w="90" w:type="dxa"/>
              <w:end w:w="120" w:type="dxa"/>
            </w:tcMar>
            <w:shd w:fill="F8FAFB"/>
          </w:tcPr>
          <w:p>
            <w:pPr>
              <w:spacing w:after="0"/>
            </w:pPr>
            <w:r>
              <w:rPr>
                <w:rFonts w:ascii="Aptos" w:hAnsi="Aptos"/>
                <w:color w:val="17212B"/>
                <w:sz w:val="16"/>
              </w:rPr>
              <w:t>0 unauthorized reads/writes in matrix and adversarial tests</w:t>
            </w:r>
          </w:p>
        </w:tc>
      </w:tr>
      <w:tr>
        <w:trPr>
          <w:cantSplit/>
        </w:trPr>
        <w:tc>
          <w:tcPr>
            <w:tcW w:type="dxa" w:w="3024"/>
            <w:vAlign w:val="center"/>
            <w:tcMar>
              <w:top w:w="90" w:type="dxa"/>
              <w:start w:w="120" w:type="dxa"/>
              <w:bottom w:w="90" w:type="dxa"/>
              <w:end w:w="120" w:type="dxa"/>
            </w:tcMar>
          </w:tcPr>
          <w:p>
            <w:pPr>
              <w:spacing w:after="0"/>
            </w:pPr>
            <w:r>
              <w:rPr>
                <w:rFonts w:ascii="Aptos" w:hAnsi="Aptos"/>
                <w:color w:val="17212B"/>
                <w:sz w:val="16"/>
              </w:rPr>
              <w:t>Idempotency</w:t>
            </w:r>
          </w:p>
        </w:tc>
        <w:tc>
          <w:tcPr>
            <w:tcW w:type="dxa" w:w="6336"/>
            <w:vAlign w:val="center"/>
            <w:tcMar>
              <w:top w:w="90" w:type="dxa"/>
              <w:start w:w="120" w:type="dxa"/>
              <w:bottom w:w="90" w:type="dxa"/>
              <w:end w:w="120" w:type="dxa"/>
            </w:tcMar>
          </w:tcPr>
          <w:p>
            <w:pPr>
              <w:spacing w:after="0"/>
            </w:pPr>
            <w:r>
              <w:rPr>
                <w:rFonts w:ascii="Aptos" w:hAnsi="Aptos"/>
                <w:color w:val="17212B"/>
                <w:sz w:val="16"/>
              </w:rPr>
              <w:t>0 duplicate receipts in 1,000 retry/replay runs</w:t>
            </w:r>
          </w:p>
        </w:tc>
      </w:tr>
      <w:tr>
        <w:trPr>
          <w:cantSplit/>
        </w:trPr>
        <w:tc>
          <w:tcPr>
            <w:tcW w:type="dxa" w:w="3024"/>
            <w:vAlign w:val="center"/>
            <w:tcMar>
              <w:top w:w="90" w:type="dxa"/>
              <w:start w:w="120" w:type="dxa"/>
              <w:bottom w:w="90" w:type="dxa"/>
              <w:end w:w="120" w:type="dxa"/>
            </w:tcMar>
            <w:shd w:fill="F8FAFB"/>
          </w:tcPr>
          <w:p>
            <w:pPr>
              <w:spacing w:after="0"/>
            </w:pPr>
            <w:r>
              <w:rPr>
                <w:rFonts w:ascii="Aptos" w:hAnsi="Aptos"/>
                <w:color w:val="17212B"/>
                <w:sz w:val="16"/>
              </w:rPr>
              <w:t>Grounding</w:t>
            </w:r>
          </w:p>
        </w:tc>
        <w:tc>
          <w:tcPr>
            <w:tcW w:type="dxa" w:w="6336"/>
            <w:vAlign w:val="center"/>
            <w:tcMar>
              <w:top w:w="90" w:type="dxa"/>
              <w:start w:w="120" w:type="dxa"/>
              <w:bottom w:w="90" w:type="dxa"/>
              <w:end w:w="120" w:type="dxa"/>
            </w:tcMar>
            <w:shd w:fill="F8FAFB"/>
          </w:tcPr>
          <w:p>
            <w:pPr>
              <w:spacing w:after="0"/>
            </w:pPr>
            <w:r>
              <w:rPr>
                <w:rFonts w:ascii="Aptos" w:hAnsi="Aptos"/>
                <w:color w:val="17212B"/>
                <w:sz w:val="16"/>
              </w:rPr>
              <w:t>100% displayed market prices/terms linked to provenance or marked unverified</w:t>
            </w:r>
          </w:p>
        </w:tc>
      </w:tr>
      <w:tr>
        <w:trPr>
          <w:cantSplit/>
        </w:trPr>
        <w:tc>
          <w:tcPr>
            <w:tcW w:type="dxa" w:w="3024"/>
            <w:vAlign w:val="center"/>
            <w:tcMar>
              <w:top w:w="90" w:type="dxa"/>
              <w:start w:w="120" w:type="dxa"/>
              <w:bottom w:w="90" w:type="dxa"/>
              <w:end w:w="120" w:type="dxa"/>
            </w:tcMar>
          </w:tcPr>
          <w:p>
            <w:pPr>
              <w:spacing w:after="0"/>
            </w:pPr>
            <w:r>
              <w:rPr>
                <w:rFonts w:ascii="Aptos" w:hAnsi="Aptos"/>
                <w:color w:val="17212B"/>
                <w:sz w:val="16"/>
              </w:rPr>
              <w:t>Reliability</w:t>
            </w:r>
          </w:p>
        </w:tc>
        <w:tc>
          <w:tcPr>
            <w:tcW w:type="dxa" w:w="6336"/>
            <w:vAlign w:val="center"/>
            <w:tcMar>
              <w:top w:w="90" w:type="dxa"/>
              <w:start w:w="120" w:type="dxa"/>
              <w:bottom w:w="90" w:type="dxa"/>
              <w:end w:w="120" w:type="dxa"/>
            </w:tcMar>
          </w:tcPr>
          <w:p>
            <w:pPr>
              <w:spacing w:after="0"/>
            </w:pPr>
            <w:r>
              <w:rPr>
                <w:rFonts w:ascii="Aptos" w:hAnsi="Aptos"/>
                <w:color w:val="17212B"/>
                <w:sz w:val="16"/>
              </w:rPr>
              <w:t>≥95% end-to-end success across 50 controlled runs excluding injected provider outage</w:t>
            </w:r>
          </w:p>
        </w:tc>
      </w:tr>
      <w:tr>
        <w:trPr>
          <w:cantSplit/>
        </w:trPr>
        <w:tc>
          <w:tcPr>
            <w:tcW w:type="dxa" w:w="3024"/>
            <w:vAlign w:val="center"/>
            <w:tcMar>
              <w:top w:w="90" w:type="dxa"/>
              <w:start w:w="120" w:type="dxa"/>
              <w:bottom w:w="90" w:type="dxa"/>
              <w:end w:w="120" w:type="dxa"/>
            </w:tcMar>
            <w:shd w:fill="F8FAFB"/>
          </w:tcPr>
          <w:p>
            <w:pPr>
              <w:spacing w:after="0"/>
            </w:pPr>
            <w:r>
              <w:rPr>
                <w:rFonts w:ascii="Aptos" w:hAnsi="Aptos"/>
                <w:color w:val="17212B"/>
                <w:sz w:val="16"/>
              </w:rPr>
              <w:t>Accessibility</w:t>
            </w:r>
          </w:p>
        </w:tc>
        <w:tc>
          <w:tcPr>
            <w:tcW w:type="dxa" w:w="6336"/>
            <w:vAlign w:val="center"/>
            <w:tcMar>
              <w:top w:w="90" w:type="dxa"/>
              <w:start w:w="120" w:type="dxa"/>
              <w:bottom w:w="90" w:type="dxa"/>
              <w:end w:w="120" w:type="dxa"/>
            </w:tcMar>
            <w:shd w:fill="F8FAFB"/>
          </w:tcPr>
          <w:p>
            <w:pPr>
              <w:spacing w:after="0"/>
            </w:pPr>
            <w:r>
              <w:rPr>
                <w:rFonts w:ascii="Aptos" w:hAnsi="Aptos"/>
                <w:color w:val="17212B"/>
                <w:sz w:val="16"/>
              </w:rPr>
              <w:t>No critical WCAG/mobile accessibility defects</w:t>
            </w:r>
          </w:p>
        </w:tc>
      </w:tr>
      <w:tr>
        <w:trPr>
          <w:cantSplit/>
        </w:trPr>
        <w:tc>
          <w:tcPr>
            <w:tcW w:type="dxa" w:w="3024"/>
            <w:vAlign w:val="center"/>
            <w:tcMar>
              <w:top w:w="90" w:type="dxa"/>
              <w:start w:w="120" w:type="dxa"/>
              <w:bottom w:w="90" w:type="dxa"/>
              <w:end w:w="120" w:type="dxa"/>
            </w:tcMar>
          </w:tcPr>
          <w:p>
            <w:pPr>
              <w:spacing w:after="0"/>
            </w:pPr>
            <w:r>
              <w:rPr>
                <w:rFonts w:ascii="Aptos" w:hAnsi="Aptos"/>
                <w:color w:val="17212B"/>
                <w:sz w:val="16"/>
              </w:rPr>
              <w:t>Mobile quality</w:t>
            </w:r>
          </w:p>
        </w:tc>
        <w:tc>
          <w:tcPr>
            <w:tcW w:type="dxa" w:w="6336"/>
            <w:vAlign w:val="center"/>
            <w:tcMar>
              <w:top w:w="90" w:type="dxa"/>
              <w:start w:w="120" w:type="dxa"/>
              <w:bottom w:w="90" w:type="dxa"/>
              <w:end w:w="120" w:type="dxa"/>
            </w:tcMar>
          </w:tcPr>
          <w:p>
            <w:pPr>
              <w:spacing w:after="0"/>
            </w:pPr>
            <w:r>
              <w:rPr>
                <w:rFonts w:ascii="Aptos" w:hAnsi="Aptos"/>
                <w:color w:val="17212B"/>
                <w:sz w:val="16"/>
              </w:rPr>
              <w:t>Responsive-web quality for current work. Native crash-free/purchase-restore matrix is future productization only.</w:t>
            </w:r>
          </w:p>
        </w:tc>
      </w:tr>
    </w:tbl>
    <w:p>
      <w:pPr>
        <w:spacing w:after="20"/>
      </w:pPr>
    </w:p>
    <w:p>
      <w:pPr>
        <w:pStyle w:val="Heading1"/>
      </w:pPr>
      <w:r>
        <w:t>16. Repository architecture and engineering practices</w:t>
      </w:r>
    </w:p>
    <w:p>
      <w:pPr>
        <w:pStyle w:val="CodeBlock"/>
        <w:shd w:fill="EEF3F6"/>
      </w:pPr>
      <w:r>
        <w:rPr>
          <w:rFonts w:ascii="Aptos Mono" w:hAnsi="Aptos Mono"/>
          <w:color w:val="17212B"/>
          <w:sz w:val="15"/>
        </w:rPr>
        <w:t>itaa/</w:t>
        <w:br/>
        <w:t xml:space="preserve">  apps/ web/ mobile/ api/ worker/ supplier-simulator/</w:t>
        <w:br/>
        <w:t xml:space="preserve">  packages/</w:t>
        <w:br/>
        <w:t xml:space="preserve">    domain/          entities, value objects, state machines, events</w:t>
        <w:br/>
        <w:t xml:space="preserve">    application/     use cases, ports, orchestration-independent services</w:t>
        <w:br/>
        <w:t xml:space="preserve">    contracts/       JSON Schemas, generated types, API/event specs</w:t>
        <w:br/>
        <w:t xml:space="preserve">    policy/          disclosure, buyer/supplier guardrails, authorization</w:t>
        <w:br/>
        <w:t xml:space="preserve">    ranking/         normalization, scoring, explanation facts</w:t>
        <w:br/>
        <w:t xml:space="preserve">    observability/   telemetry vocabulary and audit events</w:t>
        <w:br/>
        <w:t xml:space="preserve">    ui-kit/          shared design tokens/components</w:t>
        <w:br/>
        <w:t xml:space="preserve">  adapters/</w:t>
        <w:br/>
        <w:t xml:space="preserve">    local/ google-adk-gemini/ aws-strands-bedrock-agentcore/</w:t>
        <w:br/>
        <w:t xml:space="preserve">    research/ storage/ revenuecat/ notifications/ transaction-sim/</w:t>
        <w:br/>
        <w:t xml:space="preserve">  infra/ google/ aws/ shared/</w:t>
        <w:br/>
        <w:t xml:space="preserve">  tests/ fixtures/ contract/ evals/ e2e/ security/</w:t>
        <w:br/>
        <w:t xml:space="preserve">  docs/ adr/ threat-model/ runbooks/ submissions/</w:t>
        <w:br/>
        <w:t xml:space="preserve">  tools/ seed-demo/ validate-contracts/ redact-check/</w:t>
      </w:r>
    </w:p>
    <w:p>
      <w:pPr>
        <w:pStyle w:val="Heading2"/>
      </w:pPr>
      <w:r>
        <w:t>16.1 Engineering rules</w:t>
      </w:r>
    </w:p>
    <w:p>
      <w:pPr>
        <w:pStyle w:val="ListBullet"/>
        <w:ind w:left="403" w:hanging="259"/>
      </w:pPr>
      <w:r>
        <w:t>Monorepo with provider-neutral packages and generated contract types for backend/mobile/web.</w:t>
      </w:r>
    </w:p>
    <w:p>
      <w:pPr>
        <w:pStyle w:val="ListBullet"/>
        <w:ind w:left="403" w:hanging="259"/>
      </w:pPr>
      <w:r>
        <w:t>Trunk-based development or short-lived branches; required tests, schema compatibility, secret scan, and lint before merge.</w:t>
      </w:r>
    </w:p>
    <w:p>
      <w:pPr>
        <w:pStyle w:val="ListBullet"/>
        <w:ind w:left="403" w:hanging="259"/>
      </w:pPr>
      <w:r>
        <w:t>Feature flags for counteroffers, live research, mobile paywall, and any non-simulated adapter.</w:t>
      </w:r>
    </w:p>
    <w:p>
      <w:pPr>
        <w:pStyle w:val="ListBullet"/>
        <w:ind w:left="403" w:hanging="259"/>
      </w:pPr>
      <w:r>
        <w:t>Infrastructure as code; separate dev/demo/production accounts/projects; no shared production credentials.</w:t>
      </w:r>
    </w:p>
    <w:p>
      <w:pPr>
        <w:pStyle w:val="ListBullet"/>
        <w:ind w:left="403" w:hanging="259"/>
      </w:pPr>
      <w:r>
        <w:t>ADRs for trust-boundary, schema, provider, ranking, and monetization changes.</w:t>
      </w:r>
    </w:p>
    <w:p>
      <w:pPr>
        <w:pStyle w:val="ListBullet"/>
        <w:ind w:left="403" w:hanging="259"/>
      </w:pPr>
      <w:r>
        <w:t>Demo seeds are deterministic and clearly labeled; no secret “winning supplier” prompt.</w:t>
      </w:r>
    </w:p>
    <w:p>
      <w:r>
        <w:br w:type="page"/>
      </w:r>
    </w:p>
    <w:p>
      <w:pPr>
        <w:pStyle w:val="Heading1"/>
      </w:pPr>
      <w:r>
        <w:t>17. Phased scope and delivery plan</w:t>
      </w:r>
    </w:p>
    <w:p>
      <w:pPr>
        <w:pStyle w:val="Heading2"/>
      </w:pPr>
      <w:r>
        <w:t>17.1 Scope by phase</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512"/>
            <w:shd w:fill="17324D"/>
            <w:tcMar>
              <w:top w:w="90" w:type="dxa"/>
              <w:start w:w="120" w:type="dxa"/>
              <w:bottom w:w="90" w:type="dxa"/>
              <w:end w:w="120" w:type="dxa"/>
            </w:tcMar>
          </w:tcPr>
          <w:p>
            <w:pPr>
              <w:spacing w:after="0"/>
            </w:pPr>
            <w:r>
              <w:rPr>
                <w:rFonts w:ascii="Aptos" w:hAnsi="Aptos"/>
                <w:b/>
                <w:color w:val="FFFFFF"/>
                <w:sz w:val="14"/>
              </w:rPr>
              <w:t>Phase</w:t>
            </w:r>
          </w:p>
        </w:tc>
        <w:tc>
          <w:tcPr>
            <w:tcW w:type="dxa" w:w="4320"/>
            <w:shd w:fill="17324D"/>
            <w:tcMar>
              <w:top w:w="90" w:type="dxa"/>
              <w:start w:w="120" w:type="dxa"/>
              <w:bottom w:w="90" w:type="dxa"/>
              <w:end w:w="120" w:type="dxa"/>
            </w:tcMar>
          </w:tcPr>
          <w:p>
            <w:pPr>
              <w:spacing w:after="0"/>
            </w:pPr>
            <w:r>
              <w:rPr>
                <w:rFonts w:ascii="Aptos" w:hAnsi="Aptos"/>
                <w:b/>
                <w:color w:val="FFFFFF"/>
                <w:sz w:val="14"/>
              </w:rPr>
              <w:t>In scope</w:t>
            </w:r>
          </w:p>
        </w:tc>
        <w:tc>
          <w:tcPr>
            <w:tcW w:type="dxa" w:w="3528"/>
            <w:shd w:fill="17324D"/>
            <w:tcMar>
              <w:top w:w="90" w:type="dxa"/>
              <w:start w:w="120" w:type="dxa"/>
              <w:bottom w:w="90" w:type="dxa"/>
              <w:end w:w="120" w:type="dxa"/>
            </w:tcMar>
          </w:tcPr>
          <w:p>
            <w:pPr>
              <w:spacing w:after="0"/>
            </w:pPr>
            <w:r>
              <w:rPr>
                <w:rFonts w:ascii="Aptos" w:hAnsi="Aptos"/>
                <w:b/>
                <w:color w:val="FFFFFF"/>
                <w:sz w:val="14"/>
              </w:rPr>
              <w:t>Explicitly out of scope</w:t>
            </w:r>
          </w:p>
        </w:tc>
      </w:tr>
      <w:tr>
        <w:trPr>
          <w:cantSplit/>
        </w:trPr>
        <w:tc>
          <w:tcPr>
            <w:tcW w:type="dxa" w:w="1512"/>
            <w:vAlign w:val="center"/>
            <w:tcMar>
              <w:top w:w="90" w:type="dxa"/>
              <w:start w:w="120" w:type="dxa"/>
              <w:bottom w:w="90" w:type="dxa"/>
              <w:end w:w="120" w:type="dxa"/>
            </w:tcMar>
          </w:tcPr>
          <w:p>
            <w:pPr>
              <w:spacing w:after="0"/>
            </w:pPr>
            <w:r>
              <w:rPr>
                <w:rFonts w:ascii="Aptos" w:hAnsi="Aptos"/>
                <w:color w:val="17212B"/>
                <w:sz w:val="14"/>
              </w:rPr>
              <w:t>v1 / G1</w:t>
            </w:r>
          </w:p>
        </w:tc>
        <w:tc>
          <w:tcPr>
            <w:tcW w:type="dxa" w:w="4320"/>
            <w:vAlign w:val="center"/>
            <w:tcMar>
              <w:top w:w="90" w:type="dxa"/>
              <w:start w:w="120" w:type="dxa"/>
              <w:bottom w:w="90" w:type="dxa"/>
              <w:end w:w="120" w:type="dxa"/>
            </w:tcMar>
          </w:tcPr>
          <w:p>
            <w:pPr>
              <w:spacing w:after="0"/>
            </w:pPr>
            <w:r>
              <w:rPr>
                <w:rFonts w:ascii="Aptos" w:hAnsi="Aptos"/>
                <w:color w:val="17212B"/>
                <w:sz w:val="14"/>
              </w:rPr>
              <w:t>Parking intent, manual/shareable context, market baseline, privacy preview, 3 simulated suppliers, multidimensional ranking, approvals, simulated authorization</w:t>
            </w:r>
          </w:p>
        </w:tc>
        <w:tc>
          <w:tcPr>
            <w:tcW w:type="dxa" w:w="3528"/>
            <w:vAlign w:val="center"/>
            <w:tcMar>
              <w:top w:w="90" w:type="dxa"/>
              <w:start w:w="120" w:type="dxa"/>
              <w:bottom w:w="90" w:type="dxa"/>
              <w:end w:w="120" w:type="dxa"/>
            </w:tcMar>
          </w:tcPr>
          <w:p>
            <w:pPr>
              <w:spacing w:after="0"/>
            </w:pPr>
            <w:r>
              <w:rPr>
                <w:rFonts w:ascii="Aptos" w:hAnsi="Aptos"/>
                <w:color w:val="17212B"/>
                <w:sz w:val="14"/>
              </w:rPr>
              <w:t>Real payment/reservation; supplier onboarding; anonymous demand; general commerce</w:t>
            </w:r>
          </w:p>
        </w:tc>
      </w:tr>
      <w:tr>
        <w:trPr>
          <w:cantSplit/>
        </w:trPr>
        <w:tc>
          <w:tcPr>
            <w:tcW w:type="dxa" w:w="1512"/>
            <w:vAlign w:val="center"/>
            <w:tcMar>
              <w:top w:w="90" w:type="dxa"/>
              <w:start w:w="120" w:type="dxa"/>
              <w:bottom w:w="90" w:type="dxa"/>
              <w:end w:w="120" w:type="dxa"/>
            </w:tcMar>
            <w:shd w:fill="F8FAFB"/>
          </w:tcPr>
          <w:p>
            <w:pPr>
              <w:spacing w:after="0"/>
            </w:pPr>
            <w:r>
              <w:rPr>
                <w:rFonts w:ascii="Aptos" w:hAnsi="Aptos"/>
                <w:color w:val="17212B"/>
                <w:sz w:val="14"/>
              </w:rPr>
              <w:t>G2 hardening</w:t>
            </w:r>
          </w:p>
        </w:tc>
        <w:tc>
          <w:tcPr>
            <w:tcW w:type="dxa" w:w="4320"/>
            <w:vAlign w:val="center"/>
            <w:tcMar>
              <w:top w:w="90" w:type="dxa"/>
              <w:start w:w="120" w:type="dxa"/>
              <w:bottom w:w="90" w:type="dxa"/>
              <w:end w:w="120" w:type="dxa"/>
            </w:tcMar>
            <w:shd w:fill="F8FAFB"/>
          </w:tcPr>
          <w:p>
            <w:pPr>
              <w:spacing w:after="0"/>
            </w:pPr>
            <w:r>
              <w:rPr>
                <w:rFonts w:ascii="Aptos" w:hAnsi="Aptos"/>
                <w:color w:val="17212B"/>
                <w:sz w:val="14"/>
              </w:rPr>
              <w:t>AWS adapter, durable workflows, memory adapter, policy depth, telemetry, failure recovery, counteroffer</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4"/>
              </w:rPr>
              <w:t>Open supplier marketplace; unattended consequential action</w:t>
            </w:r>
          </w:p>
        </w:tc>
      </w:tr>
      <w:tr>
        <w:trPr>
          <w:cantSplit/>
        </w:trPr>
        <w:tc>
          <w:tcPr>
            <w:tcW w:type="dxa" w:w="1512"/>
            <w:vAlign w:val="center"/>
            <w:tcMar>
              <w:top w:w="90" w:type="dxa"/>
              <w:start w:w="120" w:type="dxa"/>
              <w:bottom w:w="90" w:type="dxa"/>
              <w:end w:w="120" w:type="dxa"/>
            </w:tcMar>
          </w:tcPr>
          <w:p>
            <w:pPr>
              <w:spacing w:after="0"/>
            </w:pPr>
            <w:r>
              <w:rPr>
                <w:rFonts w:ascii="Aptos" w:hAnsi="Aptos"/>
                <w:color w:val="17212B"/>
                <w:sz w:val="14"/>
              </w:rPr>
              <w:t>G3 productization</w:t>
            </w:r>
          </w:p>
        </w:tc>
        <w:tc>
          <w:tcPr>
            <w:tcW w:type="dxa" w:w="4320"/>
            <w:vAlign w:val="center"/>
            <w:tcMar>
              <w:top w:w="90" w:type="dxa"/>
              <w:start w:w="120" w:type="dxa"/>
              <w:bottom w:w="90" w:type="dxa"/>
              <w:end w:w="120" w:type="dxa"/>
            </w:tcMar>
          </w:tcPr>
          <w:p>
            <w:pPr>
              <w:spacing w:after="0"/>
            </w:pPr>
            <w:r>
              <w:rPr>
                <w:rFonts w:ascii="Aptos" w:hAnsi="Aptos"/>
                <w:color w:val="17212B"/>
                <w:sz w:val="14"/>
              </w:rPr>
              <w:t>FUTURE PRODUCTIZATION only — not current acceptance: native app, Share to ReservEdge, RevenueCat, public store. Requires later ADR/work order. Current mobile = responsive web.</w:t>
            </w:r>
          </w:p>
        </w:tc>
        <w:tc>
          <w:tcPr>
            <w:tcW w:type="dxa" w:w="3528"/>
            <w:vAlign w:val="center"/>
            <w:tcMar>
              <w:top w:w="90" w:type="dxa"/>
              <w:start w:w="120" w:type="dxa"/>
              <w:bottom w:w="90" w:type="dxa"/>
              <w:end w:w="120" w:type="dxa"/>
            </w:tcMar>
          </w:tcPr>
          <w:p>
            <w:pPr>
              <w:spacing w:after="0"/>
            </w:pPr>
            <w:r>
              <w:rPr>
                <w:rFonts w:ascii="Aptos" w:hAnsi="Aptos"/>
                <w:color w:val="17212B"/>
                <w:sz w:val="14"/>
              </w:rPr>
              <w:t>Broad passive inbox surveillance; advertising marketplace</w:t>
            </w:r>
          </w:p>
        </w:tc>
      </w:tr>
      <w:tr>
        <w:trPr>
          <w:cantSplit/>
        </w:trPr>
        <w:tc>
          <w:tcPr>
            <w:tcW w:type="dxa" w:w="1512"/>
            <w:vAlign w:val="center"/>
            <w:tcMar>
              <w:top w:w="90" w:type="dxa"/>
              <w:start w:w="120" w:type="dxa"/>
              <w:bottom w:w="90" w:type="dxa"/>
              <w:end w:w="120" w:type="dxa"/>
            </w:tcMar>
            <w:shd w:fill="F8FAFB"/>
          </w:tcPr>
          <w:p>
            <w:pPr>
              <w:spacing w:after="0"/>
            </w:pPr>
            <w:r>
              <w:rPr>
                <w:rFonts w:ascii="Aptos" w:hAnsi="Aptos"/>
                <w:color w:val="17212B"/>
                <w:sz w:val="14"/>
              </w:rPr>
              <w:t>Phase 2</w:t>
            </w:r>
          </w:p>
        </w:tc>
        <w:tc>
          <w:tcPr>
            <w:tcW w:type="dxa" w:w="4320"/>
            <w:vAlign w:val="center"/>
            <w:tcMar>
              <w:top w:w="90" w:type="dxa"/>
              <w:start w:w="120" w:type="dxa"/>
              <w:bottom w:w="90" w:type="dxa"/>
              <w:end w:w="120" w:type="dxa"/>
            </w:tcMar>
            <w:shd w:fill="F8FAFB"/>
          </w:tcPr>
          <w:p>
            <w:pPr>
              <w:spacing w:after="0"/>
            </w:pPr>
            <w:r>
              <w:rPr>
                <w:rFonts w:ascii="Aptos" w:hAnsi="Aptos"/>
                <w:color w:val="17212B"/>
                <w:sz w:val="14"/>
              </w:rPr>
              <w:t>Opt-in anonymous aggregated demand, real participating suppliers, limited real reservation adapter, supplier economics</w:t>
            </w:r>
          </w:p>
        </w:tc>
        <w:tc>
          <w:tcPr>
            <w:tcW w:type="dxa" w:w="3528"/>
            <w:vAlign w:val="center"/>
            <w:tcMar>
              <w:top w:w="90" w:type="dxa"/>
              <w:start w:w="120" w:type="dxa"/>
              <w:bottom w:w="90" w:type="dxa"/>
              <w:end w:w="120" w:type="dxa"/>
            </w:tcMar>
            <w:shd w:fill="F8FAFB"/>
          </w:tcPr>
          <w:p>
            <w:pPr>
              <w:spacing w:after="0"/>
            </w:pPr>
            <w:r>
              <w:rPr>
                <w:rFonts w:ascii="Aptos" w:hAnsi="Aptos"/>
                <w:color w:val="17212B"/>
                <w:sz w:val="14"/>
              </w:rPr>
              <w:t>Selling personal profiles or revealing buyer identity by default</w:t>
            </w:r>
          </w:p>
        </w:tc>
      </w:tr>
    </w:tbl>
    <w:p>
      <w:pPr>
        <w:spacing w:after="20"/>
      </w:pPr>
    </w:p>
    <w:p>
      <w:pPr>
        <w:pStyle w:val="Heading2"/>
      </w:pPr>
      <w:r>
        <w:t>17.2 Delivery plan: Aug 15–Sep 30, 2026</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944"/>
            <w:shd w:fill="17324D"/>
            <w:tcMar>
              <w:top w:w="90" w:type="dxa"/>
              <w:start w:w="120" w:type="dxa"/>
              <w:bottom w:w="90" w:type="dxa"/>
              <w:end w:w="120" w:type="dxa"/>
            </w:tcMar>
          </w:tcPr>
          <w:p>
            <w:pPr>
              <w:spacing w:after="0"/>
            </w:pPr>
            <w:r>
              <w:rPr>
                <w:rFonts w:ascii="Aptos" w:hAnsi="Aptos"/>
                <w:b/>
                <w:color w:val="FFFFFF"/>
                <w:sz w:val="14"/>
              </w:rPr>
              <w:t>Dates</w:t>
            </w:r>
          </w:p>
        </w:tc>
        <w:tc>
          <w:tcPr>
            <w:tcW w:type="dxa" w:w="3240"/>
            <w:shd w:fill="17324D"/>
            <w:tcMar>
              <w:top w:w="90" w:type="dxa"/>
              <w:start w:w="120" w:type="dxa"/>
              <w:bottom w:w="90" w:type="dxa"/>
              <w:end w:w="120" w:type="dxa"/>
            </w:tcMar>
          </w:tcPr>
          <w:p>
            <w:pPr>
              <w:spacing w:after="0"/>
            </w:pPr>
            <w:r>
              <w:rPr>
                <w:rFonts w:ascii="Aptos" w:hAnsi="Aptos"/>
                <w:b/>
                <w:color w:val="FFFFFF"/>
                <w:sz w:val="14"/>
              </w:rPr>
              <w:t>Objective</w:t>
            </w:r>
          </w:p>
        </w:tc>
        <w:tc>
          <w:tcPr>
            <w:tcW w:type="dxa" w:w="4176"/>
            <w:shd w:fill="17324D"/>
            <w:tcMar>
              <w:top w:w="90" w:type="dxa"/>
              <w:start w:w="120" w:type="dxa"/>
              <w:bottom w:w="90" w:type="dxa"/>
              <w:end w:w="120" w:type="dxa"/>
            </w:tcMar>
          </w:tcPr>
          <w:p>
            <w:pPr>
              <w:spacing w:after="0"/>
            </w:pPr>
            <w:r>
              <w:rPr>
                <w:rFonts w:ascii="Aptos" w:hAnsi="Aptos"/>
                <w:b/>
                <w:color w:val="FFFFFF"/>
                <w:sz w:val="14"/>
              </w:rPr>
              <w:t>Exit criteria</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Aug 15–17</w:t>
            </w:r>
          </w:p>
        </w:tc>
        <w:tc>
          <w:tcPr>
            <w:tcW w:type="dxa" w:w="3240"/>
            <w:vAlign w:val="center"/>
            <w:tcMar>
              <w:top w:w="90" w:type="dxa"/>
              <w:start w:w="120" w:type="dxa"/>
              <w:bottom w:w="90" w:type="dxa"/>
              <w:end w:w="120" w:type="dxa"/>
            </w:tcMar>
          </w:tcPr>
          <w:p>
            <w:pPr>
              <w:spacing w:after="0"/>
            </w:pPr>
            <w:r>
              <w:rPr>
                <w:rFonts w:ascii="Aptos" w:hAnsi="Aptos"/>
                <w:color w:val="17212B"/>
                <w:sz w:val="14"/>
              </w:rPr>
              <w:t>Foundation</w:t>
            </w:r>
          </w:p>
        </w:tc>
        <w:tc>
          <w:tcPr>
            <w:tcW w:type="dxa" w:w="4176"/>
            <w:vAlign w:val="center"/>
            <w:tcMar>
              <w:top w:w="90" w:type="dxa"/>
              <w:start w:w="120" w:type="dxa"/>
              <w:bottom w:w="90" w:type="dxa"/>
              <w:end w:w="120" w:type="dxa"/>
            </w:tcMar>
          </w:tcPr>
          <w:p>
            <w:pPr>
              <w:spacing w:after="0"/>
            </w:pPr>
            <w:r>
              <w:rPr>
                <w:rFonts w:ascii="Aptos" w:hAnsi="Aptos"/>
                <w:color w:val="17212B"/>
                <w:sz w:val="14"/>
              </w:rPr>
              <w:t>Repo, contracts, domain model, state machines, threat model, seeded suppliers, CI</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4"/>
              </w:rPr>
              <w:t>Aug 18–21</w:t>
            </w:r>
          </w:p>
        </w:tc>
        <w:tc>
          <w:tcPr>
            <w:tcW w:type="dxa" w:w="3240"/>
            <w:vAlign w:val="center"/>
            <w:tcMar>
              <w:top w:w="90" w:type="dxa"/>
              <w:start w:w="120" w:type="dxa"/>
              <w:bottom w:w="90" w:type="dxa"/>
              <w:end w:w="120" w:type="dxa"/>
            </w:tcMar>
            <w:shd w:fill="F8FAFB"/>
          </w:tcPr>
          <w:p>
            <w:pPr>
              <w:spacing w:after="0"/>
            </w:pPr>
            <w:r>
              <w:rPr>
                <w:rFonts w:ascii="Aptos" w:hAnsi="Aptos"/>
                <w:color w:val="17212B"/>
                <w:sz w:val="14"/>
              </w:rPr>
              <w:t>Buyer loop</w:t>
            </w:r>
          </w:p>
        </w:tc>
        <w:tc>
          <w:tcPr>
            <w:tcW w:type="dxa" w:w="4176"/>
            <w:vAlign w:val="center"/>
            <w:tcMar>
              <w:top w:w="90" w:type="dxa"/>
              <w:start w:w="120" w:type="dxa"/>
              <w:bottom w:w="90" w:type="dxa"/>
              <w:end w:w="120" w:type="dxa"/>
            </w:tcMar>
            <w:shd w:fill="F8FAFB"/>
          </w:tcPr>
          <w:p>
            <w:pPr>
              <w:spacing w:after="0"/>
            </w:pPr>
            <w:r>
              <w:rPr>
                <w:rFonts w:ascii="Aptos" w:hAnsi="Aptos"/>
                <w:color w:val="17212B"/>
                <w:sz w:val="14"/>
              </w:rPr>
              <w:t>Ingest/extract/confirm, market adapter, preference baseline, disclosure preview</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Aug 22–25</w:t>
            </w:r>
          </w:p>
        </w:tc>
        <w:tc>
          <w:tcPr>
            <w:tcW w:type="dxa" w:w="3240"/>
            <w:vAlign w:val="center"/>
            <w:tcMar>
              <w:top w:w="90" w:type="dxa"/>
              <w:start w:w="120" w:type="dxa"/>
              <w:bottom w:w="90" w:type="dxa"/>
              <w:end w:w="120" w:type="dxa"/>
            </w:tcMar>
          </w:tcPr>
          <w:p>
            <w:pPr>
              <w:spacing w:after="0"/>
            </w:pPr>
            <w:r>
              <w:rPr>
                <w:rFonts w:ascii="Aptos" w:hAnsi="Aptos"/>
                <w:color w:val="17212B"/>
                <w:sz w:val="14"/>
              </w:rPr>
              <w:t>Competition loop</w:t>
            </w:r>
          </w:p>
        </w:tc>
        <w:tc>
          <w:tcPr>
            <w:tcW w:type="dxa" w:w="4176"/>
            <w:vAlign w:val="center"/>
            <w:tcMar>
              <w:top w:w="90" w:type="dxa"/>
              <w:start w:w="120" w:type="dxa"/>
              <w:bottom w:w="90" w:type="dxa"/>
              <w:end w:w="120" w:type="dxa"/>
            </w:tcMar>
          </w:tcPr>
          <w:p>
            <w:pPr>
              <w:spacing w:after="0"/>
            </w:pPr>
            <w:r>
              <w:rPr>
                <w:rFonts w:ascii="Aptos" w:hAnsi="Aptos"/>
                <w:color w:val="17212B"/>
                <w:sz w:val="14"/>
              </w:rPr>
              <w:t>Exchange isolation, three supplier agents, offer validation/ranking, approvals, simulated receipt</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4"/>
              </w:rPr>
              <w:t>Aug 26–28</w:t>
            </w:r>
          </w:p>
        </w:tc>
        <w:tc>
          <w:tcPr>
            <w:tcW w:type="dxa" w:w="3240"/>
            <w:vAlign w:val="center"/>
            <w:tcMar>
              <w:top w:w="90" w:type="dxa"/>
              <w:start w:w="120" w:type="dxa"/>
              <w:bottom w:w="90" w:type="dxa"/>
              <w:end w:w="120" w:type="dxa"/>
            </w:tcMar>
            <w:shd w:fill="F8FAFB"/>
          </w:tcPr>
          <w:p>
            <w:pPr>
              <w:spacing w:after="0"/>
            </w:pPr>
            <w:r>
              <w:rPr>
                <w:rFonts w:ascii="Aptos" w:hAnsi="Aptos"/>
                <w:color w:val="17212B"/>
                <w:sz w:val="14"/>
              </w:rPr>
              <w:t>Google adapter + UX</w:t>
            </w:r>
          </w:p>
        </w:tc>
        <w:tc>
          <w:tcPr>
            <w:tcW w:type="dxa" w:w="4176"/>
            <w:vAlign w:val="center"/>
            <w:tcMar>
              <w:top w:w="90" w:type="dxa"/>
              <w:start w:w="120" w:type="dxa"/>
              <w:bottom w:w="90" w:type="dxa"/>
              <w:end w:w="120" w:type="dxa"/>
            </w:tcMar>
            <w:shd w:fill="F8FAFB"/>
          </w:tcPr>
          <w:p>
            <w:pPr>
              <w:spacing w:after="0"/>
            </w:pPr>
            <w:r>
              <w:rPr>
                <w:rFonts w:ascii="Aptos" w:hAnsi="Aptos"/>
                <w:color w:val="17212B"/>
                <w:sz w:val="14"/>
              </w:rPr>
              <w:t>ADK/Gemini adapter, Google deployment, end-to-end web demo, telemetry</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Aug 29–31</w:t>
            </w:r>
          </w:p>
        </w:tc>
        <w:tc>
          <w:tcPr>
            <w:tcW w:type="dxa" w:w="3240"/>
            <w:vAlign w:val="center"/>
            <w:tcMar>
              <w:top w:w="90" w:type="dxa"/>
              <w:start w:w="120" w:type="dxa"/>
              <w:bottom w:w="90" w:type="dxa"/>
              <w:end w:w="120" w:type="dxa"/>
            </w:tcMar>
          </w:tcPr>
          <w:p>
            <w:pPr>
              <w:spacing w:after="0"/>
            </w:pPr>
            <w:r>
              <w:rPr>
                <w:rFonts w:ascii="Aptos" w:hAnsi="Aptos"/>
                <w:color w:val="17212B"/>
                <w:sz w:val="14"/>
              </w:rPr>
              <w:t>Google submission</w:t>
            </w:r>
          </w:p>
        </w:tc>
        <w:tc>
          <w:tcPr>
            <w:tcW w:type="dxa" w:w="4176"/>
            <w:vAlign w:val="center"/>
            <w:tcMar>
              <w:top w:w="90" w:type="dxa"/>
              <w:start w:w="120" w:type="dxa"/>
              <w:bottom w:w="90" w:type="dxa"/>
              <w:end w:w="120" w:type="dxa"/>
            </w:tcMar>
          </w:tcPr>
          <w:p>
            <w:pPr>
              <w:spacing w:after="0"/>
            </w:pPr>
            <w:r>
              <w:rPr>
                <w:rFonts w:ascii="Aptos" w:hAnsi="Aptos"/>
                <w:color w:val="17212B"/>
                <w:sz w:val="14"/>
              </w:rPr>
              <w:t>Freeze, evals, security sweep, video, README, links, rule revalidation, submit</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4"/>
              </w:rPr>
              <w:t>Sep 1–5</w:t>
            </w:r>
          </w:p>
        </w:tc>
        <w:tc>
          <w:tcPr>
            <w:tcW w:type="dxa" w:w="3240"/>
            <w:vAlign w:val="center"/>
            <w:tcMar>
              <w:top w:w="90" w:type="dxa"/>
              <w:start w:w="120" w:type="dxa"/>
              <w:bottom w:w="90" w:type="dxa"/>
              <w:end w:w="120" w:type="dxa"/>
            </w:tcMar>
            <w:shd w:fill="F8FAFB"/>
          </w:tcPr>
          <w:p>
            <w:pPr>
              <w:spacing w:after="0"/>
            </w:pPr>
            <w:r>
              <w:rPr>
                <w:rFonts w:ascii="Aptos" w:hAnsi="Aptos"/>
                <w:color w:val="17212B"/>
                <w:sz w:val="14"/>
              </w:rPr>
              <w:t>AWS adapter</w:t>
            </w:r>
          </w:p>
        </w:tc>
        <w:tc>
          <w:tcPr>
            <w:tcW w:type="dxa" w:w="4176"/>
            <w:vAlign w:val="center"/>
            <w:tcMar>
              <w:top w:w="90" w:type="dxa"/>
              <w:start w:w="120" w:type="dxa"/>
              <w:bottom w:w="90" w:type="dxa"/>
              <w:end w:w="120" w:type="dxa"/>
            </w:tcMar>
            <w:shd w:fill="F8FAFB"/>
          </w:tcPr>
          <w:p>
            <w:pPr>
              <w:spacing w:after="0"/>
            </w:pPr>
            <w:r>
              <w:rPr>
                <w:rFonts w:ascii="Aptos" w:hAnsi="Aptos"/>
                <w:color w:val="17212B"/>
                <w:sz w:val="14"/>
              </w:rPr>
              <w:t>Strands/Bedrock/AgentCore profile, durable orchestration, policy/identity mapping</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Sep 6–9</w:t>
            </w:r>
          </w:p>
        </w:tc>
        <w:tc>
          <w:tcPr>
            <w:tcW w:type="dxa" w:w="3240"/>
            <w:vAlign w:val="center"/>
            <w:tcMar>
              <w:top w:w="90" w:type="dxa"/>
              <w:start w:w="120" w:type="dxa"/>
              <w:bottom w:w="90" w:type="dxa"/>
              <w:end w:w="120" w:type="dxa"/>
            </w:tcMar>
          </w:tcPr>
          <w:p>
            <w:pPr>
              <w:spacing w:after="0"/>
            </w:pPr>
            <w:r>
              <w:rPr>
                <w:rFonts w:ascii="Aptos" w:hAnsi="Aptos"/>
                <w:color w:val="17212B"/>
                <w:sz w:val="14"/>
              </w:rPr>
              <w:t>Hardening</w:t>
            </w:r>
          </w:p>
        </w:tc>
        <w:tc>
          <w:tcPr>
            <w:tcW w:type="dxa" w:w="4176"/>
            <w:vAlign w:val="center"/>
            <w:tcMar>
              <w:top w:w="90" w:type="dxa"/>
              <w:start w:w="120" w:type="dxa"/>
              <w:bottom w:w="90" w:type="dxa"/>
              <w:end w:w="120" w:type="dxa"/>
            </w:tcMar>
          </w:tcPr>
          <w:p>
            <w:pPr>
              <w:spacing w:after="0"/>
            </w:pPr>
            <w:r>
              <w:rPr>
                <w:rFonts w:ascii="Aptos" w:hAnsi="Aptos"/>
                <w:color w:val="17212B"/>
                <w:sz w:val="14"/>
              </w:rPr>
              <w:t>Failure recovery, counteroffer, audit, observability, load/cost and isolation tests</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4"/>
              </w:rPr>
              <w:t>Sep 10–12</w:t>
            </w:r>
          </w:p>
        </w:tc>
        <w:tc>
          <w:tcPr>
            <w:tcW w:type="dxa" w:w="3240"/>
            <w:vAlign w:val="center"/>
            <w:tcMar>
              <w:top w:w="90" w:type="dxa"/>
              <w:start w:w="120" w:type="dxa"/>
              <w:bottom w:w="90" w:type="dxa"/>
              <w:end w:w="120" w:type="dxa"/>
            </w:tcMar>
            <w:shd w:fill="F8FAFB"/>
          </w:tcPr>
          <w:p>
            <w:pPr>
              <w:spacing w:after="0"/>
            </w:pPr>
            <w:r>
              <w:rPr>
                <w:rFonts w:ascii="Aptos" w:hAnsi="Aptos"/>
                <w:color w:val="17212B"/>
                <w:sz w:val="14"/>
              </w:rPr>
              <w:t>AWS story</w:t>
            </w:r>
          </w:p>
        </w:tc>
        <w:tc>
          <w:tcPr>
            <w:tcW w:type="dxa" w:w="4176"/>
            <w:vAlign w:val="center"/>
            <w:tcMar>
              <w:top w:w="90" w:type="dxa"/>
              <w:start w:w="120" w:type="dxa"/>
              <w:bottom w:w="90" w:type="dxa"/>
              <w:end w:w="120" w:type="dxa"/>
            </w:tcMar>
            <w:shd w:fill="F8FAFB"/>
          </w:tcPr>
          <w:p>
            <w:pPr>
              <w:spacing w:after="0"/>
            </w:pPr>
            <w:r>
              <w:rPr>
                <w:rFonts w:ascii="Aptos" w:hAnsi="Aptos"/>
                <w:color w:val="17212B"/>
                <w:sz w:val="14"/>
              </w:rPr>
              <w:t>Architecture evidence, polished demo, deployment docs, reproducibility</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Sep 13–14</w:t>
            </w:r>
          </w:p>
        </w:tc>
        <w:tc>
          <w:tcPr>
            <w:tcW w:type="dxa" w:w="3240"/>
            <w:vAlign w:val="center"/>
            <w:tcMar>
              <w:top w:w="90" w:type="dxa"/>
              <w:start w:w="120" w:type="dxa"/>
              <w:bottom w:w="90" w:type="dxa"/>
              <w:end w:w="120" w:type="dxa"/>
            </w:tcMar>
          </w:tcPr>
          <w:p>
            <w:pPr>
              <w:spacing w:after="0"/>
            </w:pPr>
            <w:r>
              <w:rPr>
                <w:rFonts w:ascii="Aptos" w:hAnsi="Aptos"/>
                <w:color w:val="17212B"/>
                <w:sz w:val="14"/>
              </w:rPr>
              <w:t>AWS submission</w:t>
            </w:r>
          </w:p>
        </w:tc>
        <w:tc>
          <w:tcPr>
            <w:tcW w:type="dxa" w:w="4176"/>
            <w:vAlign w:val="center"/>
            <w:tcMar>
              <w:top w:w="90" w:type="dxa"/>
              <w:start w:w="120" w:type="dxa"/>
              <w:bottom w:w="90" w:type="dxa"/>
              <w:end w:w="120" w:type="dxa"/>
            </w:tcMar>
          </w:tcPr>
          <w:p>
            <w:pPr>
              <w:spacing w:after="0"/>
            </w:pPr>
            <w:r>
              <w:rPr>
                <w:rFonts w:ascii="Aptos" w:hAnsi="Aptos"/>
                <w:color w:val="17212B"/>
                <w:sz w:val="14"/>
              </w:rPr>
              <w:t>Freeze, final test, video ≤ competition limit, submit before deadline</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4"/>
              </w:rPr>
              <w:t>Sep 1–10 (parallel track)</w:t>
            </w:r>
          </w:p>
        </w:tc>
        <w:tc>
          <w:tcPr>
            <w:tcW w:type="dxa" w:w="3240"/>
            <w:vAlign w:val="center"/>
            <w:tcMar>
              <w:top w:w="90" w:type="dxa"/>
              <w:start w:w="120" w:type="dxa"/>
              <w:bottom w:w="90" w:type="dxa"/>
              <w:end w:w="120" w:type="dxa"/>
            </w:tcMar>
            <w:shd w:fill="F8FAFB"/>
          </w:tcPr>
          <w:p>
            <w:pPr>
              <w:spacing w:after="0"/>
            </w:pPr>
            <w:r>
              <w:rPr>
                <w:rFonts w:ascii="Aptos" w:hAnsi="Aptos"/>
                <w:color w:val="17212B"/>
                <w:sz w:val="14"/>
              </w:rPr>
              <w:t>Mobile skeleton</w:t>
            </w:r>
          </w:p>
        </w:tc>
        <w:tc>
          <w:tcPr>
            <w:tcW w:type="dxa" w:w="4176"/>
            <w:vAlign w:val="center"/>
            <w:tcMar>
              <w:top w:w="90" w:type="dxa"/>
              <w:start w:w="120" w:type="dxa"/>
              <w:bottom w:w="90" w:type="dxa"/>
              <w:end w:w="120" w:type="dxa"/>
            </w:tcMar>
            <w:shd w:fill="F8FAFB"/>
          </w:tcPr>
          <w:p>
            <w:pPr>
              <w:spacing w:after="0"/>
            </w:pPr>
            <w:r>
              <w:rPr>
                <w:rFonts w:ascii="Aptos" w:hAnsi="Aptos"/>
                <w:color w:val="17212B"/>
                <w:sz w:val="14"/>
              </w:rPr>
              <w:t>HISTORICAL / FUTURE PRODUCTIZATION — no current implementation authority: native/cross-platform app, Share to ReservEdge, deep links. Current mobile = responsive web. apps/mobile remains a placeholder.</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Sep 11–17</w:t>
            </w:r>
          </w:p>
        </w:tc>
        <w:tc>
          <w:tcPr>
            <w:tcW w:type="dxa" w:w="3240"/>
            <w:vAlign w:val="center"/>
            <w:tcMar>
              <w:top w:w="90" w:type="dxa"/>
              <w:start w:w="120" w:type="dxa"/>
              <w:bottom w:w="90" w:type="dxa"/>
              <w:end w:w="120" w:type="dxa"/>
            </w:tcMar>
          </w:tcPr>
          <w:p>
            <w:pPr>
              <w:spacing w:after="0"/>
            </w:pPr>
            <w:r>
              <w:rPr>
                <w:rFonts w:ascii="Aptos" w:hAnsi="Aptos"/>
                <w:color w:val="17212B"/>
                <w:sz w:val="14"/>
              </w:rPr>
              <w:t>Mobile + monetization</w:t>
            </w:r>
          </w:p>
        </w:tc>
        <w:tc>
          <w:tcPr>
            <w:tcW w:type="dxa" w:w="4176"/>
            <w:vAlign w:val="center"/>
            <w:tcMar>
              <w:top w:w="90" w:type="dxa"/>
              <w:start w:w="120" w:type="dxa"/>
              <w:bottom w:w="90" w:type="dxa"/>
              <w:end w:w="120" w:type="dxa"/>
            </w:tcMar>
          </w:tcPr>
          <w:p>
            <w:pPr>
              <w:spacing w:after="0"/>
            </w:pPr>
            <w:r>
              <w:rPr>
                <w:rFonts w:ascii="Aptos" w:hAnsi="Aptos"/>
                <w:color w:val="17212B"/>
                <w:sz w:val="14"/>
              </w:rPr>
              <w:t>HISTORICAL / FUTURE PRODUCTIZATION — no current implementation authority: RevenueCat sandbox, store assets, native notifications.</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4"/>
              </w:rPr>
              <w:t>Sep 18–21</w:t>
            </w:r>
          </w:p>
        </w:tc>
        <w:tc>
          <w:tcPr>
            <w:tcW w:type="dxa" w:w="3240"/>
            <w:vAlign w:val="center"/>
            <w:tcMar>
              <w:top w:w="90" w:type="dxa"/>
              <w:start w:w="120" w:type="dxa"/>
              <w:bottom w:w="90" w:type="dxa"/>
              <w:end w:w="120" w:type="dxa"/>
            </w:tcMar>
            <w:shd w:fill="F8FAFB"/>
          </w:tcPr>
          <w:p>
            <w:pPr>
              <w:spacing w:after="0"/>
            </w:pPr>
            <w:r>
              <w:rPr>
                <w:rFonts w:ascii="Aptos" w:hAnsi="Aptos"/>
                <w:color w:val="17212B"/>
                <w:sz w:val="14"/>
              </w:rPr>
              <w:t>Store candidate</w:t>
            </w:r>
          </w:p>
        </w:tc>
        <w:tc>
          <w:tcPr>
            <w:tcW w:type="dxa" w:w="4176"/>
            <w:vAlign w:val="center"/>
            <w:tcMar>
              <w:top w:w="90" w:type="dxa"/>
              <w:start w:w="120" w:type="dxa"/>
              <w:bottom w:w="90" w:type="dxa"/>
              <w:end w:w="120" w:type="dxa"/>
            </w:tcMar>
            <w:shd w:fill="F8FAFB"/>
          </w:tcPr>
          <w:p>
            <w:pPr>
              <w:spacing w:after="0"/>
            </w:pPr>
            <w:r>
              <w:rPr>
                <w:rFonts w:ascii="Aptos" w:hAnsi="Aptos"/>
                <w:color w:val="17212B"/>
                <w:sz w:val="14"/>
              </w:rPr>
              <w:t>HISTORICAL / FUTURE PRODUCTIZATION — no current implementation authority. Privacy/terms/support, beta, purchase/restore, app review submission; buffer for rejection</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Sep 22–26</w:t>
            </w:r>
          </w:p>
        </w:tc>
        <w:tc>
          <w:tcPr>
            <w:tcW w:type="dxa" w:w="3240"/>
            <w:vAlign w:val="center"/>
            <w:tcMar>
              <w:top w:w="90" w:type="dxa"/>
              <w:start w:w="120" w:type="dxa"/>
              <w:bottom w:w="90" w:type="dxa"/>
              <w:end w:w="120" w:type="dxa"/>
            </w:tcMar>
          </w:tcPr>
          <w:p>
            <w:pPr>
              <w:spacing w:after="0"/>
            </w:pPr>
            <w:r>
              <w:rPr>
                <w:rFonts w:ascii="Aptos" w:hAnsi="Aptos"/>
                <w:color w:val="17212B"/>
                <w:sz w:val="14"/>
              </w:rPr>
              <w:t>Public release + learning</w:t>
            </w:r>
          </w:p>
        </w:tc>
        <w:tc>
          <w:tcPr>
            <w:tcW w:type="dxa" w:w="4176"/>
            <w:vAlign w:val="center"/>
            <w:tcMar>
              <w:top w:w="90" w:type="dxa"/>
              <w:start w:w="120" w:type="dxa"/>
              <w:bottom w:w="90" w:type="dxa"/>
              <w:end w:w="120" w:type="dxa"/>
            </w:tcMar>
          </w:tcPr>
          <w:p>
            <w:pPr>
              <w:spacing w:after="0"/>
            </w:pPr>
            <w:r>
              <w:rPr>
                <w:rFonts w:ascii="Aptos" w:hAnsi="Aptos"/>
                <w:color w:val="17212B"/>
                <w:sz w:val="14"/>
              </w:rPr>
              <w:t>HISTORICAL / FUTURE PRODUCTIZATION — no current implementation authority. Release, onboarding fixes, consented analytics, early user feedback, pricing copy</w:t>
            </w:r>
          </w:p>
        </w:tc>
      </w:tr>
      <w:tr>
        <w:trPr>
          <w:cantSplit/>
        </w:trPr>
        <w:tc>
          <w:tcPr>
            <w:tcW w:type="dxa" w:w="1944"/>
            <w:vAlign w:val="center"/>
            <w:tcMar>
              <w:top w:w="90" w:type="dxa"/>
              <w:start w:w="120" w:type="dxa"/>
              <w:bottom w:w="90" w:type="dxa"/>
              <w:end w:w="120" w:type="dxa"/>
            </w:tcMar>
            <w:shd w:fill="F8FAFB"/>
          </w:tcPr>
          <w:p>
            <w:pPr>
              <w:spacing w:after="0"/>
            </w:pPr>
            <w:r>
              <w:rPr>
                <w:rFonts w:ascii="Aptos" w:hAnsi="Aptos"/>
                <w:color w:val="17212B"/>
                <w:sz w:val="14"/>
              </w:rPr>
              <w:t>Sep 27–29</w:t>
            </w:r>
          </w:p>
        </w:tc>
        <w:tc>
          <w:tcPr>
            <w:tcW w:type="dxa" w:w="3240"/>
            <w:vAlign w:val="center"/>
            <w:tcMar>
              <w:top w:w="90" w:type="dxa"/>
              <w:start w:w="120" w:type="dxa"/>
              <w:bottom w:w="90" w:type="dxa"/>
              <w:end w:w="120" w:type="dxa"/>
            </w:tcMar>
            <w:shd w:fill="F8FAFB"/>
          </w:tcPr>
          <w:p>
            <w:pPr>
              <w:spacing w:after="0"/>
            </w:pPr>
            <w:r>
              <w:rPr>
                <w:rFonts w:ascii="Aptos" w:hAnsi="Aptos"/>
                <w:color w:val="17212B"/>
                <w:sz w:val="14"/>
              </w:rPr>
              <w:t>Shipaton package</w:t>
            </w:r>
          </w:p>
        </w:tc>
        <w:tc>
          <w:tcPr>
            <w:tcW w:type="dxa" w:w="4176"/>
            <w:vAlign w:val="center"/>
            <w:tcMar>
              <w:top w:w="90" w:type="dxa"/>
              <w:start w:w="120" w:type="dxa"/>
              <w:bottom w:w="90" w:type="dxa"/>
              <w:end w:w="120" w:type="dxa"/>
            </w:tcMar>
            <w:shd w:fill="F8FAFB"/>
          </w:tcPr>
          <w:p>
            <w:pPr>
              <w:spacing w:after="0"/>
            </w:pPr>
            <w:r>
              <w:rPr>
                <w:rFonts w:ascii="Aptos" w:hAnsi="Aptos"/>
                <w:color w:val="17212B"/>
                <w:sz w:val="14"/>
              </w:rPr>
              <w:t>HISTORICAL / FUTURE PRODUCTIZATION — no current implementation authority. On-device 2-minute demo, listing, icon/screenshot, judge access, growth evidence</w:t>
            </w:r>
          </w:p>
        </w:tc>
      </w:tr>
      <w:tr>
        <w:trPr>
          <w:cantSplit/>
        </w:trPr>
        <w:tc>
          <w:tcPr>
            <w:tcW w:type="dxa" w:w="1944"/>
            <w:vAlign w:val="center"/>
            <w:tcMar>
              <w:top w:w="90" w:type="dxa"/>
              <w:start w:w="120" w:type="dxa"/>
              <w:bottom w:w="90" w:type="dxa"/>
              <w:end w:w="120" w:type="dxa"/>
            </w:tcMar>
          </w:tcPr>
          <w:p>
            <w:pPr>
              <w:spacing w:after="0"/>
            </w:pPr>
            <w:r>
              <w:rPr>
                <w:rFonts w:ascii="Aptos" w:hAnsi="Aptos"/>
                <w:color w:val="17212B"/>
                <w:sz w:val="14"/>
              </w:rPr>
              <w:t>Sep 30</w:t>
            </w:r>
          </w:p>
        </w:tc>
        <w:tc>
          <w:tcPr>
            <w:tcW w:type="dxa" w:w="3240"/>
            <w:vAlign w:val="center"/>
            <w:tcMar>
              <w:top w:w="90" w:type="dxa"/>
              <w:start w:w="120" w:type="dxa"/>
              <w:bottom w:w="90" w:type="dxa"/>
              <w:end w:w="120" w:type="dxa"/>
            </w:tcMar>
          </w:tcPr>
          <w:p>
            <w:pPr>
              <w:spacing w:after="0"/>
            </w:pPr>
            <w:r>
              <w:rPr>
                <w:rFonts w:ascii="Aptos" w:hAnsi="Aptos"/>
                <w:color w:val="17212B"/>
                <w:sz w:val="14"/>
              </w:rPr>
              <w:t>RevenueCat submission</w:t>
            </w:r>
          </w:p>
        </w:tc>
        <w:tc>
          <w:tcPr>
            <w:tcW w:type="dxa" w:w="4176"/>
            <w:vAlign w:val="center"/>
            <w:tcMar>
              <w:top w:w="90" w:type="dxa"/>
              <w:start w:w="120" w:type="dxa"/>
              <w:bottom w:w="90" w:type="dxa"/>
              <w:end w:w="120" w:type="dxa"/>
            </w:tcMar>
          </w:tcPr>
          <w:p>
            <w:pPr>
              <w:spacing w:after="0"/>
            </w:pPr>
            <w:r>
              <w:rPr>
                <w:rFonts w:ascii="Aptos" w:hAnsi="Aptos"/>
                <w:color w:val="17212B"/>
                <w:sz w:val="14"/>
              </w:rPr>
              <w:t>HISTORICAL / FUTURE PRODUCTIZATION — no current implementation authority. Rule revalidation, final production check, submit before 11:45 PM PDT</w:t>
            </w:r>
          </w:p>
        </w:tc>
      </w:tr>
    </w:tbl>
    <w:p>
      <w:pPr>
        <w:spacing w:after="20"/>
      </w:pPr>
    </w:p>
    <w:p>
      <w:pPr>
        <w:pStyle w:val="Heading2"/>
      </w:pPr>
      <w:r>
        <w:t>17.3 Critical path and cut order</w:t>
      </w:r>
    </w:p>
    <w:p>
      <w:r>
        <w:t>Critical path: contracts → core state/policy → golden path → Google adapter → AWS adapter → mobile share/decision UX → RevenueCat/store review. If schedule slips, cut in this order: optional counteroffer; advanced memory; secondary research provider; rich notifications; annual plan. Never cut disclosure preview, supplier isolation, approval gates, simulation labeling, audit linkage, or store eligibility requirements.</w:t>
      </w:r>
    </w:p>
    <w:p>
      <w:pPr>
        <w:pStyle w:val="Heading1"/>
      </w:pPr>
      <w:r>
        <w:t>18. Competition gates, requirements, and risks</w:t>
      </w:r>
    </w:p>
    <w:p>
      <w:pPr>
        <w:pStyle w:val="Heading2"/>
      </w:pPr>
      <w:r>
        <w:t>18.1 Gate matrix</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800"/>
            <w:shd w:fill="17324D"/>
            <w:tcMar>
              <w:top w:w="90" w:type="dxa"/>
              <w:start w:w="120" w:type="dxa"/>
              <w:bottom w:w="90" w:type="dxa"/>
              <w:end w:w="120" w:type="dxa"/>
            </w:tcMar>
          </w:tcPr>
          <w:p>
            <w:pPr>
              <w:spacing w:after="0"/>
            </w:pPr>
            <w:r>
              <w:rPr>
                <w:rFonts w:ascii="Aptos" w:hAnsi="Aptos"/>
                <w:b/>
                <w:color w:val="FFFFFF"/>
                <w:sz w:val="14"/>
              </w:rPr>
              <w:t>Gate</w:t>
            </w:r>
          </w:p>
        </w:tc>
        <w:tc>
          <w:tcPr>
            <w:tcW w:type="dxa" w:w="4536"/>
            <w:shd w:fill="17324D"/>
            <w:tcMar>
              <w:top w:w="90" w:type="dxa"/>
              <w:start w:w="120" w:type="dxa"/>
              <w:bottom w:w="90" w:type="dxa"/>
              <w:end w:w="120" w:type="dxa"/>
            </w:tcMar>
          </w:tcPr>
          <w:p>
            <w:pPr>
              <w:spacing w:after="0"/>
            </w:pPr>
            <w:r>
              <w:rPr>
                <w:rFonts w:ascii="Aptos" w:hAnsi="Aptos"/>
                <w:b/>
                <w:color w:val="FFFFFF"/>
                <w:sz w:val="14"/>
              </w:rPr>
              <w:t>What ReservEdge must demonstrate</w:t>
            </w:r>
          </w:p>
        </w:tc>
        <w:tc>
          <w:tcPr>
            <w:tcW w:type="dxa" w:w="3024"/>
            <w:shd w:fill="17324D"/>
            <w:tcMar>
              <w:top w:w="90" w:type="dxa"/>
              <w:start w:w="120" w:type="dxa"/>
              <w:bottom w:w="90" w:type="dxa"/>
              <w:end w:w="120" w:type="dxa"/>
            </w:tcMar>
          </w:tcPr>
          <w:p>
            <w:pPr>
              <w:spacing w:after="0"/>
            </w:pPr>
            <w:r>
              <w:rPr>
                <w:rFonts w:ascii="Aptos" w:hAnsi="Aptos"/>
                <w:b/>
                <w:color w:val="FFFFFF"/>
                <w:sz w:val="14"/>
              </w:rPr>
              <w:t>Submission readiness</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4"/>
              </w:rPr>
              <w:t>Google — Aug 31</w:t>
            </w:r>
          </w:p>
        </w:tc>
        <w:tc>
          <w:tcPr>
            <w:tcW w:type="dxa" w:w="4536"/>
            <w:vAlign w:val="center"/>
            <w:tcMar>
              <w:top w:w="90" w:type="dxa"/>
              <w:start w:w="120" w:type="dxa"/>
              <w:bottom w:w="90" w:type="dxa"/>
              <w:end w:w="120" w:type="dxa"/>
            </w:tcMar>
          </w:tcPr>
          <w:p>
            <w:pPr>
              <w:spacing w:after="0"/>
            </w:pPr>
            <w:r>
              <w:rPr>
                <w:rFonts w:ascii="Aptos" w:hAnsi="Aptos"/>
                <w:color w:val="17212B"/>
                <w:sz w:val="14"/>
              </w:rPr>
              <w:t>Complete agentic loop using Google ADK/Gemini/Google Cloud adapter; meaningful tool use; deployed/reproducible demo</w:t>
            </w:r>
          </w:p>
        </w:tc>
        <w:tc>
          <w:tcPr>
            <w:tcW w:type="dxa" w:w="3024"/>
            <w:vAlign w:val="center"/>
            <w:tcMar>
              <w:top w:w="90" w:type="dxa"/>
              <w:start w:w="120" w:type="dxa"/>
              <w:bottom w:w="90" w:type="dxa"/>
              <w:end w:w="120" w:type="dxa"/>
            </w:tcMar>
          </w:tcPr>
          <w:p>
            <w:pPr>
              <w:spacing w:after="0"/>
            </w:pPr>
            <w:r>
              <w:rPr>
                <w:rFonts w:ascii="Aptos" w:hAnsi="Aptos"/>
                <w:color w:val="17212B"/>
                <w:sz w:val="14"/>
              </w:rPr>
              <w:t>Rules rechecked; eligible services visible; public demo/video/source/docs as required; credentials removed</w:t>
            </w:r>
          </w:p>
        </w:tc>
      </w:tr>
      <w:tr>
        <w:trPr>
          <w:cantSplit/>
        </w:trPr>
        <w:tc>
          <w:tcPr>
            <w:tcW w:type="dxa" w:w="1800"/>
            <w:vAlign w:val="center"/>
            <w:tcMar>
              <w:top w:w="90" w:type="dxa"/>
              <w:start w:w="120" w:type="dxa"/>
              <w:bottom w:w="90" w:type="dxa"/>
              <w:end w:w="120" w:type="dxa"/>
            </w:tcMar>
            <w:shd w:fill="F8FAFB"/>
          </w:tcPr>
          <w:p>
            <w:pPr>
              <w:spacing w:after="0"/>
            </w:pPr>
            <w:r>
              <w:rPr>
                <w:rFonts w:ascii="Aptos" w:hAnsi="Aptos"/>
                <w:color w:val="17212B"/>
                <w:sz w:val="14"/>
              </w:rPr>
              <w:t>AWS — Sep 14</w:t>
            </w:r>
          </w:p>
        </w:tc>
        <w:tc>
          <w:tcPr>
            <w:tcW w:type="dxa" w:w="4536"/>
            <w:vAlign w:val="center"/>
            <w:tcMar>
              <w:top w:w="90" w:type="dxa"/>
              <w:start w:w="120" w:type="dxa"/>
              <w:bottom w:w="90" w:type="dxa"/>
              <w:end w:w="120" w:type="dxa"/>
            </w:tcMar>
            <w:shd w:fill="F8FAFB"/>
          </w:tcPr>
          <w:p>
            <w:pPr>
              <w:spacing w:after="0"/>
            </w:pPr>
            <w:r>
              <w:rPr>
                <w:rFonts w:ascii="Aptos" w:hAnsi="Aptos"/>
                <w:color w:val="17212B"/>
                <w:sz w:val="14"/>
              </w:rPr>
              <w:t>Non-trivial Strands agents, Bedrock/AgentCore adapter, durable work, memory/governance, HITL, observability</w:t>
            </w:r>
          </w:p>
        </w:tc>
        <w:tc>
          <w:tcPr>
            <w:tcW w:type="dxa" w:w="3024"/>
            <w:vAlign w:val="center"/>
            <w:tcMar>
              <w:top w:w="90" w:type="dxa"/>
              <w:start w:w="120" w:type="dxa"/>
              <w:bottom w:w="90" w:type="dxa"/>
              <w:end w:w="120" w:type="dxa"/>
            </w:tcMar>
            <w:shd w:fill="F8FAFB"/>
          </w:tcPr>
          <w:p>
            <w:pPr>
              <w:spacing w:after="0"/>
            </w:pPr>
            <w:r>
              <w:rPr>
                <w:rFonts w:ascii="Aptos" w:hAnsi="Aptos"/>
                <w:color w:val="17212B"/>
                <w:sz w:val="14"/>
              </w:rPr>
              <w:t>Deadline/timezone rechecked; ≤5-minute video if rule remains; architecture/deployment evidence; test credentials</w:t>
            </w:r>
          </w:p>
        </w:tc>
      </w:tr>
      <w:tr>
        <w:trPr>
          <w:cantSplit/>
        </w:trPr>
        <w:tc>
          <w:tcPr>
            <w:tcW w:type="dxa" w:w="1800"/>
            <w:vAlign w:val="center"/>
            <w:tcMar>
              <w:top w:w="90" w:type="dxa"/>
              <w:start w:w="120" w:type="dxa"/>
              <w:bottom w:w="90" w:type="dxa"/>
              <w:end w:w="120" w:type="dxa"/>
            </w:tcMar>
          </w:tcPr>
          <w:p>
            <w:pPr>
              <w:spacing w:after="0"/>
            </w:pPr>
            <w:r>
              <w:rPr>
                <w:rFonts w:ascii="Aptos" w:hAnsi="Aptos"/>
                <w:color w:val="17212B"/>
                <w:sz w:val="14"/>
              </w:rPr>
              <w:t>RevenueCat — Sep 30</w:t>
            </w:r>
          </w:p>
        </w:tc>
        <w:tc>
          <w:tcPr>
            <w:tcW w:type="dxa" w:w="4536"/>
            <w:vAlign w:val="center"/>
            <w:tcMar>
              <w:top w:w="90" w:type="dxa"/>
              <w:start w:w="120" w:type="dxa"/>
              <w:bottom w:w="90" w:type="dxa"/>
              <w:end w:w="120" w:type="dxa"/>
            </w:tcMar>
          </w:tcPr>
          <w:p>
            <w:pPr>
              <w:spacing w:after="0"/>
            </w:pPr>
            <w:r>
              <w:rPr>
                <w:rFonts w:ascii="Aptos" w:hAnsi="Aptos"/>
                <w:color w:val="17212B"/>
                <w:sz w:val="14"/>
              </w:rPr>
              <w:t>FUTURE PRODUCTIZATION / historical Shipaton row only — not current acceptance and does not authorize native work. Current mobile = responsive web.</w:t>
            </w:r>
          </w:p>
        </w:tc>
        <w:tc>
          <w:tcPr>
            <w:tcW w:type="dxa" w:w="3024"/>
            <w:vAlign w:val="center"/>
            <w:tcMar>
              <w:top w:w="90" w:type="dxa"/>
              <w:start w:w="120" w:type="dxa"/>
              <w:bottom w:w="90" w:type="dxa"/>
              <w:end w:w="120" w:type="dxa"/>
            </w:tcMar>
          </w:tcPr>
          <w:p>
            <w:pPr>
              <w:spacing w:after="0"/>
            </w:pPr>
            <w:r>
              <w:rPr>
                <w:rFonts w:ascii="Aptos" w:hAnsi="Aptos"/>
                <w:color w:val="17212B"/>
                <w:sz w:val="14"/>
              </w:rPr>
              <w:t>Public listing; ≤2-minute on-device video; 1024 icon; required screenshot; free trial/promo; purchase/restore works</w:t>
            </w:r>
          </w:p>
        </w:tc>
      </w:tr>
    </w:tbl>
    <w:p>
      <w:pPr>
        <w:spacing w:after="20"/>
      </w:pPr>
    </w:p>
    <w:p>
      <w:pPr>
        <w:pStyle w:val="Heading2"/>
      </w:pPr>
      <w:r>
        <w:t>18.2 Competition-specific risks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2232"/>
            <w:shd w:fill="17324D"/>
            <w:tcMar>
              <w:top w:w="90" w:type="dxa"/>
              <w:start w:w="120" w:type="dxa"/>
              <w:bottom w:w="90" w:type="dxa"/>
              <w:end w:w="120" w:type="dxa"/>
            </w:tcMar>
          </w:tcPr>
          <w:p>
            <w:pPr>
              <w:spacing w:after="0"/>
            </w:pPr>
            <w:r>
              <w:rPr>
                <w:rFonts w:ascii="Aptos" w:hAnsi="Aptos"/>
                <w:b/>
                <w:color w:val="FFFFFF"/>
                <w:sz w:val="15"/>
              </w:rPr>
              <w:t>Risk</w:t>
            </w:r>
          </w:p>
        </w:tc>
        <w:tc>
          <w:tcPr>
            <w:tcW w:type="dxa" w:w="1728"/>
            <w:shd w:fill="17324D"/>
            <w:tcMar>
              <w:top w:w="90" w:type="dxa"/>
              <w:start w:w="120" w:type="dxa"/>
              <w:bottom w:w="90" w:type="dxa"/>
              <w:end w:w="120" w:type="dxa"/>
            </w:tcMar>
          </w:tcPr>
          <w:p>
            <w:pPr>
              <w:spacing w:after="0"/>
            </w:pPr>
            <w:r>
              <w:rPr>
                <w:rFonts w:ascii="Aptos" w:hAnsi="Aptos"/>
                <w:b/>
                <w:color w:val="FFFFFF"/>
                <w:sz w:val="15"/>
              </w:rPr>
              <w:t>Probability / impact</w:t>
            </w:r>
          </w:p>
        </w:tc>
        <w:tc>
          <w:tcPr>
            <w:tcW w:type="dxa" w:w="5400"/>
            <w:shd w:fill="17324D"/>
            <w:tcMar>
              <w:top w:w="90" w:type="dxa"/>
              <w:start w:w="120" w:type="dxa"/>
              <w:bottom w:w="90" w:type="dxa"/>
              <w:end w:w="120" w:type="dxa"/>
            </w:tcMar>
          </w:tcPr>
          <w:p>
            <w:pPr>
              <w:spacing w:after="0"/>
            </w:pPr>
            <w:r>
              <w:rPr>
                <w:rFonts w:ascii="Aptos" w:hAnsi="Aptos"/>
                <w:b/>
                <w:color w:val="FFFFFF"/>
                <w:sz w:val="15"/>
              </w:rPr>
              <w:t>Mitigation / trigger</w:t>
            </w:r>
          </w:p>
        </w:tc>
      </w:tr>
      <w:tr>
        <w:trPr>
          <w:cantSplit/>
        </w:trPr>
        <w:tc>
          <w:tcPr>
            <w:tcW w:type="dxa" w:w="2232"/>
            <w:vAlign w:val="center"/>
            <w:tcMar>
              <w:top w:w="90" w:type="dxa"/>
              <w:start w:w="120" w:type="dxa"/>
              <w:bottom w:w="90" w:type="dxa"/>
              <w:end w:w="120" w:type="dxa"/>
            </w:tcMar>
          </w:tcPr>
          <w:p>
            <w:pPr>
              <w:spacing w:after="0"/>
            </w:pPr>
            <w:r>
              <w:rPr>
                <w:rFonts w:ascii="Aptos" w:hAnsi="Aptos"/>
                <w:color w:val="17212B"/>
                <w:sz w:val="15"/>
              </w:rPr>
              <w:t>Rules change or inaccessible details</w:t>
            </w:r>
          </w:p>
        </w:tc>
        <w:tc>
          <w:tcPr>
            <w:tcW w:type="dxa" w:w="1728"/>
            <w:vAlign w:val="center"/>
            <w:tcMar>
              <w:top w:w="90" w:type="dxa"/>
              <w:start w:w="120" w:type="dxa"/>
              <w:bottom w:w="90" w:type="dxa"/>
              <w:end w:w="120" w:type="dxa"/>
            </w:tcMar>
          </w:tcPr>
          <w:p>
            <w:pPr>
              <w:spacing w:after="0"/>
            </w:pPr>
            <w:r>
              <w:rPr>
                <w:rFonts w:ascii="Aptos" w:hAnsi="Aptos"/>
                <w:color w:val="17212B"/>
                <w:sz w:val="15"/>
              </w:rPr>
              <w:t>M / H</w:t>
            </w:r>
          </w:p>
        </w:tc>
        <w:tc>
          <w:tcPr>
            <w:tcW w:type="dxa" w:w="5400"/>
            <w:vAlign w:val="center"/>
            <w:tcMar>
              <w:top w:w="90" w:type="dxa"/>
              <w:start w:w="120" w:type="dxa"/>
              <w:bottom w:w="90" w:type="dxa"/>
              <w:end w:w="120" w:type="dxa"/>
            </w:tcMar>
          </w:tcPr>
          <w:p>
            <w:pPr>
              <w:spacing w:after="0"/>
            </w:pPr>
            <w:r>
              <w:rPr>
                <w:rFonts w:ascii="Aptos" w:hAnsi="Aptos"/>
                <w:color w:val="17212B"/>
                <w:sz w:val="15"/>
              </w:rPr>
              <w:t>Owner rechecks official overview/rules/FAQ 7 days and 24 hours before submission; capture dated evidence</w:t>
            </w:r>
          </w:p>
        </w:tc>
      </w:tr>
      <w:tr>
        <w:trPr>
          <w:cantSplit/>
        </w:trPr>
        <w:tc>
          <w:tcPr>
            <w:tcW w:type="dxa" w:w="2232"/>
            <w:vAlign w:val="center"/>
            <w:tcMar>
              <w:top w:w="90" w:type="dxa"/>
              <w:start w:w="120" w:type="dxa"/>
              <w:bottom w:w="90" w:type="dxa"/>
              <w:end w:w="120" w:type="dxa"/>
            </w:tcMar>
            <w:shd w:fill="F8FAFB"/>
          </w:tcPr>
          <w:p>
            <w:pPr>
              <w:spacing w:after="0"/>
            </w:pPr>
            <w:r>
              <w:rPr>
                <w:rFonts w:ascii="Aptos" w:hAnsi="Aptos"/>
                <w:color w:val="17212B"/>
                <w:sz w:val="15"/>
              </w:rPr>
              <w:t>Google integration appears superficial</w:t>
            </w:r>
          </w:p>
        </w:tc>
        <w:tc>
          <w:tcPr>
            <w:tcW w:type="dxa" w:w="1728"/>
            <w:vAlign w:val="center"/>
            <w:tcMar>
              <w:top w:w="90" w:type="dxa"/>
              <w:start w:w="120" w:type="dxa"/>
              <w:bottom w:w="90" w:type="dxa"/>
              <w:end w:w="120" w:type="dxa"/>
            </w:tcMar>
            <w:shd w:fill="F8FAFB"/>
          </w:tcPr>
          <w:p>
            <w:pPr>
              <w:spacing w:after="0"/>
            </w:pPr>
            <w:r>
              <w:rPr>
                <w:rFonts w:ascii="Aptos" w:hAnsi="Aptos"/>
                <w:color w:val="17212B"/>
                <w:sz w:val="15"/>
              </w:rPr>
              <w:t>M / H</w:t>
            </w:r>
          </w:p>
        </w:tc>
        <w:tc>
          <w:tcPr>
            <w:tcW w:type="dxa" w:w="5400"/>
            <w:vAlign w:val="center"/>
            <w:tcMar>
              <w:top w:w="90" w:type="dxa"/>
              <w:start w:w="120" w:type="dxa"/>
              <w:bottom w:w="90" w:type="dxa"/>
              <w:end w:w="120" w:type="dxa"/>
            </w:tcMar>
            <w:shd w:fill="F8FAFB"/>
          </w:tcPr>
          <w:p>
            <w:pPr>
              <w:spacing w:after="0"/>
            </w:pPr>
            <w:r>
              <w:rPr>
                <w:rFonts w:ascii="Aptos" w:hAnsi="Aptos"/>
                <w:color w:val="17212B"/>
                <w:sz w:val="15"/>
              </w:rPr>
              <w:t>Run visible orchestration/tool flow; include adapter tests and cloud deployment evidence</w:t>
            </w:r>
          </w:p>
        </w:tc>
      </w:tr>
      <w:tr>
        <w:trPr>
          <w:cantSplit/>
        </w:trPr>
        <w:tc>
          <w:tcPr>
            <w:tcW w:type="dxa" w:w="2232"/>
            <w:vAlign w:val="center"/>
            <w:tcMar>
              <w:top w:w="90" w:type="dxa"/>
              <w:start w:w="120" w:type="dxa"/>
              <w:bottom w:w="90" w:type="dxa"/>
              <w:end w:w="120" w:type="dxa"/>
            </w:tcMar>
          </w:tcPr>
          <w:p>
            <w:pPr>
              <w:spacing w:after="0"/>
            </w:pPr>
            <w:r>
              <w:rPr>
                <w:rFonts w:ascii="Aptos" w:hAnsi="Aptos"/>
                <w:color w:val="17212B"/>
                <w:sz w:val="15"/>
              </w:rPr>
              <w:t>AWS implementation duplicates core</w:t>
            </w:r>
          </w:p>
        </w:tc>
        <w:tc>
          <w:tcPr>
            <w:tcW w:type="dxa" w:w="1728"/>
            <w:vAlign w:val="center"/>
            <w:tcMar>
              <w:top w:w="90" w:type="dxa"/>
              <w:start w:w="120" w:type="dxa"/>
              <w:bottom w:w="90" w:type="dxa"/>
              <w:end w:w="120" w:type="dxa"/>
            </w:tcMar>
          </w:tcPr>
          <w:p>
            <w:pPr>
              <w:spacing w:after="0"/>
            </w:pPr>
            <w:r>
              <w:rPr>
                <w:rFonts w:ascii="Aptos" w:hAnsi="Aptos"/>
                <w:color w:val="17212B"/>
                <w:sz w:val="15"/>
              </w:rPr>
              <w:t>M / H</w:t>
            </w:r>
          </w:p>
        </w:tc>
        <w:tc>
          <w:tcPr>
            <w:tcW w:type="dxa" w:w="5400"/>
            <w:vAlign w:val="center"/>
            <w:tcMar>
              <w:top w:w="90" w:type="dxa"/>
              <w:start w:w="120" w:type="dxa"/>
              <w:bottom w:w="90" w:type="dxa"/>
              <w:end w:w="120" w:type="dxa"/>
            </w:tcMar>
          </w:tcPr>
          <w:p>
            <w:pPr>
              <w:spacing w:after="0"/>
            </w:pPr>
            <w:r>
              <w:rPr>
                <w:rFonts w:ascii="Aptos" w:hAnsi="Aptos"/>
                <w:color w:val="17212B"/>
                <w:sz w:val="15"/>
              </w:rPr>
              <w:t>Keep Strands/AgentCore strictly behind ports; demonstrate conformance suite</w:t>
            </w:r>
          </w:p>
        </w:tc>
      </w:tr>
      <w:tr>
        <w:trPr>
          <w:cantSplit/>
        </w:trPr>
        <w:tc>
          <w:tcPr>
            <w:tcW w:type="dxa" w:w="2232"/>
            <w:vAlign w:val="center"/>
            <w:tcMar>
              <w:top w:w="90" w:type="dxa"/>
              <w:start w:w="120" w:type="dxa"/>
              <w:bottom w:w="90" w:type="dxa"/>
              <w:end w:w="120" w:type="dxa"/>
            </w:tcMar>
            <w:shd w:fill="F8FAFB"/>
          </w:tcPr>
          <w:p>
            <w:pPr>
              <w:spacing w:after="0"/>
            </w:pPr>
            <w:r>
              <w:rPr>
                <w:rFonts w:ascii="Aptos" w:hAnsi="Aptos"/>
                <w:color w:val="17212B"/>
                <w:sz w:val="15"/>
              </w:rPr>
              <w:t>Provider service access/region issue</w:t>
            </w:r>
          </w:p>
        </w:tc>
        <w:tc>
          <w:tcPr>
            <w:tcW w:type="dxa" w:w="1728"/>
            <w:vAlign w:val="center"/>
            <w:tcMar>
              <w:top w:w="90" w:type="dxa"/>
              <w:start w:w="120" w:type="dxa"/>
              <w:bottom w:w="90" w:type="dxa"/>
              <w:end w:w="120" w:type="dxa"/>
            </w:tcMar>
            <w:shd w:fill="F8FAFB"/>
          </w:tcPr>
          <w:p>
            <w:pPr>
              <w:spacing w:after="0"/>
            </w:pPr>
            <w:r>
              <w:rPr>
                <w:rFonts w:ascii="Aptos" w:hAnsi="Aptos"/>
                <w:color w:val="17212B"/>
                <w:sz w:val="15"/>
              </w:rPr>
              <w:t>M / H</w:t>
            </w:r>
          </w:p>
        </w:tc>
        <w:tc>
          <w:tcPr>
            <w:tcW w:type="dxa" w:w="5400"/>
            <w:vAlign w:val="center"/>
            <w:tcMar>
              <w:top w:w="90" w:type="dxa"/>
              <w:start w:w="120" w:type="dxa"/>
              <w:bottom w:w="90" w:type="dxa"/>
              <w:end w:w="120" w:type="dxa"/>
            </w:tcMar>
            <w:shd w:fill="F8FAFB"/>
          </w:tcPr>
          <w:p>
            <w:pPr>
              <w:spacing w:after="0"/>
            </w:pPr>
            <w:r>
              <w:rPr>
                <w:rFonts w:ascii="Aptos" w:hAnsi="Aptos"/>
                <w:color w:val="17212B"/>
                <w:sz w:val="15"/>
              </w:rPr>
              <w:t>Validate accounts/models/quotas by Aug 18; maintain eligible fallback deployment profile</w:t>
            </w:r>
          </w:p>
        </w:tc>
      </w:tr>
      <w:tr>
        <w:trPr>
          <w:cantSplit/>
        </w:trPr>
        <w:tc>
          <w:tcPr>
            <w:tcW w:type="dxa" w:w="2232"/>
            <w:vAlign w:val="center"/>
            <w:tcMar>
              <w:top w:w="90" w:type="dxa"/>
              <w:start w:w="120" w:type="dxa"/>
              <w:bottom w:w="90" w:type="dxa"/>
              <w:end w:w="120" w:type="dxa"/>
            </w:tcMar>
          </w:tcPr>
          <w:p>
            <w:pPr>
              <w:spacing w:after="0"/>
            </w:pPr>
            <w:r>
              <w:rPr>
                <w:rFonts w:ascii="Aptos" w:hAnsi="Aptos"/>
                <w:color w:val="17212B"/>
                <w:sz w:val="15"/>
              </w:rPr>
              <w:t>Demo mistaken for real commerce</w:t>
            </w:r>
          </w:p>
        </w:tc>
        <w:tc>
          <w:tcPr>
            <w:tcW w:type="dxa" w:w="1728"/>
            <w:vAlign w:val="center"/>
            <w:tcMar>
              <w:top w:w="90" w:type="dxa"/>
              <w:start w:w="120" w:type="dxa"/>
              <w:bottom w:w="90" w:type="dxa"/>
              <w:end w:w="120" w:type="dxa"/>
            </w:tcMar>
          </w:tcPr>
          <w:p>
            <w:pPr>
              <w:spacing w:after="0"/>
            </w:pPr>
            <w:r>
              <w:rPr>
                <w:rFonts w:ascii="Aptos" w:hAnsi="Aptos"/>
                <w:color w:val="17212B"/>
                <w:sz w:val="15"/>
              </w:rPr>
              <w:t>M / H</w:t>
            </w:r>
          </w:p>
        </w:tc>
        <w:tc>
          <w:tcPr>
            <w:tcW w:type="dxa" w:w="5400"/>
            <w:vAlign w:val="center"/>
            <w:tcMar>
              <w:top w:w="90" w:type="dxa"/>
              <w:start w:w="120" w:type="dxa"/>
              <w:bottom w:w="90" w:type="dxa"/>
              <w:end w:w="120" w:type="dxa"/>
            </w:tcMar>
          </w:tcPr>
          <w:p>
            <w:pPr>
              <w:spacing w:after="0"/>
            </w:pPr>
            <w:r>
              <w:rPr>
                <w:rFonts w:ascii="Aptos" w:hAnsi="Aptos"/>
                <w:color w:val="17212B"/>
                <w:sz w:val="15"/>
              </w:rPr>
              <w:t>Persistent SIMULATED labels, scripted narration, README scope table</w:t>
            </w:r>
          </w:p>
        </w:tc>
      </w:tr>
      <w:tr>
        <w:trPr>
          <w:cantSplit/>
        </w:trPr>
        <w:tc>
          <w:tcPr>
            <w:tcW w:type="dxa" w:w="2232"/>
            <w:vAlign w:val="center"/>
            <w:tcMar>
              <w:top w:w="90" w:type="dxa"/>
              <w:start w:w="120" w:type="dxa"/>
              <w:bottom w:w="90" w:type="dxa"/>
              <w:end w:w="120" w:type="dxa"/>
            </w:tcMar>
            <w:shd w:fill="F8FAFB"/>
          </w:tcPr>
          <w:p>
            <w:pPr>
              <w:spacing w:after="0"/>
            </w:pPr>
            <w:r>
              <w:rPr>
                <w:rFonts w:ascii="Aptos" w:hAnsi="Aptos"/>
                <w:color w:val="17212B"/>
                <w:sz w:val="15"/>
              </w:rPr>
              <w:t>App store rejection/review delay</w:t>
            </w:r>
          </w:p>
        </w:tc>
        <w:tc>
          <w:tcPr>
            <w:tcW w:type="dxa" w:w="1728"/>
            <w:vAlign w:val="center"/>
            <w:tcMar>
              <w:top w:w="90" w:type="dxa"/>
              <w:start w:w="120" w:type="dxa"/>
              <w:bottom w:w="90" w:type="dxa"/>
              <w:end w:w="120" w:type="dxa"/>
            </w:tcMar>
            <w:shd w:fill="F8FAFB"/>
          </w:tcPr>
          <w:p>
            <w:pPr>
              <w:spacing w:after="0"/>
            </w:pPr>
            <w:r>
              <w:rPr>
                <w:rFonts w:ascii="Aptos" w:hAnsi="Aptos"/>
                <w:color w:val="17212B"/>
                <w:sz w:val="15"/>
              </w:rPr>
              <w:t>H / H</w:t>
            </w:r>
          </w:p>
        </w:tc>
        <w:tc>
          <w:tcPr>
            <w:tcW w:type="dxa" w:w="5400"/>
            <w:vAlign w:val="center"/>
            <w:tcMar>
              <w:top w:w="90" w:type="dxa"/>
              <w:start w:w="120" w:type="dxa"/>
              <w:bottom w:w="90" w:type="dxa"/>
              <w:end w:w="120" w:type="dxa"/>
            </w:tcMar>
            <w:shd w:fill="F8FAFB"/>
          </w:tcPr>
          <w:p>
            <w:pPr>
              <w:spacing w:after="0"/>
            </w:pPr>
            <w:r>
              <w:rPr>
                <w:rFonts w:ascii="Aptos" w:hAnsi="Aptos"/>
                <w:color w:val="17212B"/>
                <w:sz w:val="15"/>
              </w:rPr>
              <w:t>Submit Sep 18–21; preflight privacy, purchases, account deletion, metadata; maintain buffer</w:t>
            </w:r>
          </w:p>
        </w:tc>
      </w:tr>
      <w:tr>
        <w:trPr>
          <w:cantSplit/>
        </w:trPr>
        <w:tc>
          <w:tcPr>
            <w:tcW w:type="dxa" w:w="2232"/>
            <w:vAlign w:val="center"/>
            <w:tcMar>
              <w:top w:w="90" w:type="dxa"/>
              <w:start w:w="120" w:type="dxa"/>
              <w:bottom w:w="90" w:type="dxa"/>
              <w:end w:w="120" w:type="dxa"/>
            </w:tcMar>
          </w:tcPr>
          <w:p>
            <w:pPr>
              <w:spacing w:after="0"/>
            </w:pPr>
            <w:r>
              <w:rPr>
                <w:rFonts w:ascii="Aptos" w:hAnsi="Aptos"/>
                <w:color w:val="17212B"/>
                <w:sz w:val="15"/>
              </w:rPr>
              <w:t>RevenueCat purchase fails for judges</w:t>
            </w:r>
          </w:p>
        </w:tc>
        <w:tc>
          <w:tcPr>
            <w:tcW w:type="dxa" w:w="1728"/>
            <w:vAlign w:val="center"/>
            <w:tcMar>
              <w:top w:w="90" w:type="dxa"/>
              <w:start w:w="120" w:type="dxa"/>
              <w:bottom w:w="90" w:type="dxa"/>
              <w:end w:w="120" w:type="dxa"/>
            </w:tcMar>
          </w:tcPr>
          <w:p>
            <w:pPr>
              <w:spacing w:after="0"/>
            </w:pPr>
            <w:r>
              <w:rPr>
                <w:rFonts w:ascii="Aptos" w:hAnsi="Aptos"/>
                <w:color w:val="17212B"/>
                <w:sz w:val="15"/>
              </w:rPr>
              <w:t>M / H</w:t>
            </w:r>
          </w:p>
        </w:tc>
        <w:tc>
          <w:tcPr>
            <w:tcW w:type="dxa" w:w="5400"/>
            <w:vAlign w:val="center"/>
            <w:tcMar>
              <w:top w:w="90" w:type="dxa"/>
              <w:start w:w="120" w:type="dxa"/>
              <w:bottom w:w="90" w:type="dxa"/>
              <w:end w:w="120" w:type="dxa"/>
            </w:tcMar>
          </w:tcPr>
          <w:p>
            <w:pPr>
              <w:spacing w:after="0"/>
            </w:pPr>
            <w:r>
              <w:rPr>
                <w:rFonts w:ascii="Aptos" w:hAnsi="Aptos"/>
                <w:color w:val="17212B"/>
                <w:sz w:val="15"/>
              </w:rPr>
              <w:t>Test clean accounts, restore, sandbox-to-production config, promo/trial</w:t>
            </w:r>
          </w:p>
        </w:tc>
      </w:tr>
      <w:tr>
        <w:trPr>
          <w:cantSplit/>
        </w:trPr>
        <w:tc>
          <w:tcPr>
            <w:tcW w:type="dxa" w:w="2232"/>
            <w:vAlign w:val="center"/>
            <w:tcMar>
              <w:top w:w="90" w:type="dxa"/>
              <w:start w:w="120" w:type="dxa"/>
              <w:bottom w:w="90" w:type="dxa"/>
              <w:end w:w="120" w:type="dxa"/>
            </w:tcMar>
            <w:shd w:fill="F8FAFB"/>
          </w:tcPr>
          <w:p>
            <w:pPr>
              <w:spacing w:after="0"/>
            </w:pPr>
            <w:r>
              <w:rPr>
                <w:rFonts w:ascii="Aptos" w:hAnsi="Aptos"/>
                <w:color w:val="17212B"/>
                <w:sz w:val="15"/>
              </w:rPr>
              <w:t>Insufficient growth window</w:t>
            </w:r>
          </w:p>
        </w:tc>
        <w:tc>
          <w:tcPr>
            <w:tcW w:type="dxa" w:w="1728"/>
            <w:vAlign w:val="center"/>
            <w:tcMar>
              <w:top w:w="90" w:type="dxa"/>
              <w:start w:w="120" w:type="dxa"/>
              <w:bottom w:w="90" w:type="dxa"/>
              <w:end w:w="120" w:type="dxa"/>
            </w:tcMar>
            <w:shd w:fill="F8FAFB"/>
          </w:tcPr>
          <w:p>
            <w:pPr>
              <w:spacing w:after="0"/>
            </w:pPr>
            <w:r>
              <w:rPr>
                <w:rFonts w:ascii="Aptos" w:hAnsi="Aptos"/>
                <w:color w:val="17212B"/>
                <w:sz w:val="15"/>
              </w:rPr>
              <w:t>H / M</w:t>
            </w:r>
          </w:p>
        </w:tc>
        <w:tc>
          <w:tcPr>
            <w:tcW w:type="dxa" w:w="5400"/>
            <w:vAlign w:val="center"/>
            <w:tcMar>
              <w:top w:w="90" w:type="dxa"/>
              <w:start w:w="120" w:type="dxa"/>
              <w:bottom w:w="90" w:type="dxa"/>
              <w:end w:w="120" w:type="dxa"/>
            </w:tcMar>
            <w:shd w:fill="F8FAFB"/>
          </w:tcPr>
          <w:p>
            <w:pPr>
              <w:spacing w:after="0"/>
            </w:pPr>
            <w:r>
              <w:rPr>
                <w:rFonts w:ascii="Aptos" w:hAnsi="Aptos"/>
                <w:color w:val="17212B"/>
                <w:sz w:val="15"/>
              </w:rPr>
              <w:t>Launch early, instrument consented funnel, recruit focused beta cohort; optimize activation not vanity reach</w:t>
            </w:r>
          </w:p>
        </w:tc>
      </w:tr>
      <w:tr>
        <w:trPr>
          <w:cantSplit/>
        </w:trPr>
        <w:tc>
          <w:tcPr>
            <w:tcW w:type="dxa" w:w="2232"/>
            <w:vAlign w:val="center"/>
            <w:tcMar>
              <w:top w:w="90" w:type="dxa"/>
              <w:start w:w="120" w:type="dxa"/>
              <w:bottom w:w="90" w:type="dxa"/>
              <w:end w:w="120" w:type="dxa"/>
            </w:tcMar>
          </w:tcPr>
          <w:p>
            <w:pPr>
              <w:spacing w:after="0"/>
            </w:pPr>
            <w:r>
              <w:rPr>
                <w:rFonts w:ascii="Aptos" w:hAnsi="Aptos"/>
                <w:color w:val="17212B"/>
                <w:sz w:val="15"/>
              </w:rPr>
              <w:t>Privacy claim contradicted by telemetry</w:t>
            </w:r>
          </w:p>
        </w:tc>
        <w:tc>
          <w:tcPr>
            <w:tcW w:type="dxa" w:w="1728"/>
            <w:vAlign w:val="center"/>
            <w:tcMar>
              <w:top w:w="90" w:type="dxa"/>
              <w:start w:w="120" w:type="dxa"/>
              <w:bottom w:w="90" w:type="dxa"/>
              <w:end w:w="120" w:type="dxa"/>
            </w:tcMar>
          </w:tcPr>
          <w:p>
            <w:pPr>
              <w:spacing w:after="0"/>
            </w:pPr>
            <w:r>
              <w:rPr>
                <w:rFonts w:ascii="Aptos" w:hAnsi="Aptos"/>
                <w:color w:val="17212B"/>
                <w:sz w:val="15"/>
              </w:rPr>
              <w:t>M / H</w:t>
            </w:r>
          </w:p>
        </w:tc>
        <w:tc>
          <w:tcPr>
            <w:tcW w:type="dxa" w:w="5400"/>
            <w:vAlign w:val="center"/>
            <w:tcMar>
              <w:top w:w="90" w:type="dxa"/>
              <w:start w:w="120" w:type="dxa"/>
              <w:bottom w:w="90" w:type="dxa"/>
              <w:end w:w="120" w:type="dxa"/>
            </w:tcMar>
          </w:tcPr>
          <w:p>
            <w:pPr>
              <w:spacing w:after="0"/>
            </w:pPr>
            <w:r>
              <w:rPr>
                <w:rFonts w:ascii="Aptos" w:hAnsi="Aptos"/>
                <w:color w:val="17212B"/>
                <w:sz w:val="15"/>
              </w:rPr>
              <w:t>Telemetry schema denylist, automated scans, log sampling, red-team</w:t>
            </w:r>
          </w:p>
        </w:tc>
      </w:tr>
    </w:tbl>
    <w:p>
      <w:pPr>
        <w:spacing w:after="20"/>
      </w:pPr>
    </w:p>
    <w:p>
      <w:pPr>
        <w:pStyle w:val="Heading2"/>
      </w:pPr>
      <w:r>
        <w:t>18.3 Revalidation checklist</w:t>
      </w:r>
    </w:p>
    <w:p>
      <w:pPr>
        <w:pStyle w:val="ListBullet"/>
        <w:ind w:left="403" w:hanging="259"/>
      </w:pPr>
      <w:r>
        <w:t>Confirm exact close time and timezone on official page.</w:t>
      </w:r>
    </w:p>
    <w:p>
      <w:pPr>
        <w:pStyle w:val="ListBullet"/>
        <w:ind w:left="403" w:hanging="259"/>
      </w:pPr>
      <w:r>
        <w:t>Confirm eligibility, team size, geography, account and new-work rules.</w:t>
      </w:r>
    </w:p>
    <w:p>
      <w:pPr>
        <w:pStyle w:val="ListBullet"/>
        <w:ind w:left="403" w:hanging="259"/>
      </w:pPr>
      <w:r>
        <w:t>Confirm mandatory technologies and how use must be demonstrated.</w:t>
      </w:r>
    </w:p>
    <w:p>
      <w:pPr>
        <w:pStyle w:val="ListBullet"/>
        <w:ind w:left="403" w:hanging="259"/>
      </w:pPr>
      <w:r>
        <w:t>Confirm repository/public access and license requirements.</w:t>
      </w:r>
    </w:p>
    <w:p>
      <w:pPr>
        <w:pStyle w:val="ListBullet"/>
        <w:ind w:left="403" w:hanging="259"/>
      </w:pPr>
      <w:r>
        <w:t>Confirm video duration, hosting, visibility, music/trademark restrictions, and judging window.</w:t>
      </w:r>
    </w:p>
    <w:p>
      <w:pPr>
        <w:pStyle w:val="ListBullet"/>
        <w:ind w:left="403" w:hanging="259"/>
      </w:pPr>
      <w:r>
        <w:t>Confirm store, RevenueCat, icon, screenshot, trial/promo, and first-public-release requirements.</w:t>
      </w:r>
    </w:p>
    <w:p>
      <w:pPr>
        <w:pStyle w:val="ListBullet"/>
        <w:ind w:left="403" w:hanging="259"/>
      </w:pPr>
      <w:r>
        <w:t>Record each check with date, official URL, screenshot/PDF, owner, and pass/fail.</w:t>
      </w:r>
    </w:p>
    <w:p>
      <w:r>
        <w:br w:type="page"/>
      </w:r>
    </w:p>
    <w:p>
      <w:pPr>
        <w:pStyle w:val="Heading1"/>
      </w:pPr>
      <w:r>
        <w:t>19. Commercialization roadmap</w:t>
      </w:r>
    </w:p>
    <w:p>
      <w:pPr>
        <w:pStyle w:val="Heading2"/>
      </w:pPr>
      <w:r>
        <w:t>19.1 Business model</w:t>
      </w:r>
    </w:p>
    <w:tbl>
      <w:tblPr>
        <w:tblStyle w:val="TableGrid"/>
        <w:tblW w:type="dxa" w:w="9360"/>
        <w:jc w:val="center"/>
        <w:tblLayout w:type="fixed"/>
        <w:tblLook w:firstColumn="1" w:firstRow="1" w:lastColumn="0" w:lastRow="0" w:noHBand="0" w:noVBand="1" w:val="04A0"/>
        <w:tblInd w:w="120" w:type="dxa"/>
      </w:tblPr>
      <w:tblGrid>
        <w:gridCol w:w="2426"/>
        <w:gridCol w:w="2426"/>
        <w:gridCol w:w="2426"/>
        <w:gridCol w:w="2426"/>
      </w:tblGrid>
      <w:tr>
        <w:trPr>
          <w:tblHeader w:val="true"/>
          <w:cantSplit/>
        </w:trPr>
        <w:tc>
          <w:tcPr>
            <w:tcW w:type="dxa" w:w="1512"/>
            <w:shd w:fill="17324D"/>
            <w:tcMar>
              <w:top w:w="90" w:type="dxa"/>
              <w:start w:w="120" w:type="dxa"/>
              <w:bottom w:w="90" w:type="dxa"/>
              <w:end w:w="120" w:type="dxa"/>
            </w:tcMar>
          </w:tcPr>
          <w:p>
            <w:pPr>
              <w:spacing w:after="0"/>
            </w:pPr>
            <w:r>
              <w:rPr>
                <w:rFonts w:ascii="Aptos" w:hAnsi="Aptos"/>
                <w:b/>
                <w:color w:val="FFFFFF"/>
                <w:sz w:val="15"/>
              </w:rPr>
              <w:t>Stage</w:t>
            </w:r>
          </w:p>
        </w:tc>
        <w:tc>
          <w:tcPr>
            <w:tcW w:type="dxa" w:w="2448"/>
            <w:shd w:fill="17324D"/>
            <w:tcMar>
              <w:top w:w="90" w:type="dxa"/>
              <w:start w:w="120" w:type="dxa"/>
              <w:bottom w:w="90" w:type="dxa"/>
              <w:end w:w="120" w:type="dxa"/>
            </w:tcMar>
          </w:tcPr>
          <w:p>
            <w:pPr>
              <w:spacing w:after="0"/>
            </w:pPr>
            <w:r>
              <w:rPr>
                <w:rFonts w:ascii="Aptos" w:hAnsi="Aptos"/>
                <w:b/>
                <w:color w:val="FFFFFF"/>
                <w:sz w:val="15"/>
              </w:rPr>
              <w:t>Buyer economics</w:t>
            </w:r>
          </w:p>
        </w:tc>
        <w:tc>
          <w:tcPr>
            <w:tcW w:type="dxa" w:w="3168"/>
            <w:shd w:fill="17324D"/>
            <w:tcMar>
              <w:top w:w="90" w:type="dxa"/>
              <w:start w:w="120" w:type="dxa"/>
              <w:bottom w:w="90" w:type="dxa"/>
              <w:end w:w="120" w:type="dxa"/>
            </w:tcMar>
          </w:tcPr>
          <w:p>
            <w:pPr>
              <w:spacing w:after="0"/>
            </w:pPr>
            <w:r>
              <w:rPr>
                <w:rFonts w:ascii="Aptos" w:hAnsi="Aptos"/>
                <w:b/>
                <w:color w:val="FFFFFF"/>
                <w:sz w:val="15"/>
              </w:rPr>
              <w:t>Supplier economics</w:t>
            </w:r>
          </w:p>
        </w:tc>
        <w:tc>
          <w:tcPr>
            <w:tcW w:type="dxa" w:w="2232"/>
            <w:shd w:fill="17324D"/>
            <w:tcMar>
              <w:top w:w="90" w:type="dxa"/>
              <w:start w:w="120" w:type="dxa"/>
              <w:bottom w:w="90" w:type="dxa"/>
              <w:end w:w="120" w:type="dxa"/>
            </w:tcMar>
          </w:tcPr>
          <w:p>
            <w:pPr>
              <w:spacing w:after="0"/>
            </w:pPr>
            <w:r>
              <w:rPr>
                <w:rFonts w:ascii="Aptos" w:hAnsi="Aptos"/>
                <w:b/>
                <w:color w:val="FFFFFF"/>
                <w:sz w:val="15"/>
              </w:rPr>
              <w:t>Trust rule</w:t>
            </w:r>
          </w:p>
        </w:tc>
      </w:tr>
      <w:tr>
        <w:trPr>
          <w:cantSplit/>
        </w:trPr>
        <w:tc>
          <w:tcPr>
            <w:tcW w:type="dxa" w:w="1512"/>
            <w:vAlign w:val="center"/>
            <w:tcMar>
              <w:top w:w="90" w:type="dxa"/>
              <w:start w:w="120" w:type="dxa"/>
              <w:bottom w:w="90" w:type="dxa"/>
              <w:end w:w="120" w:type="dxa"/>
            </w:tcMar>
          </w:tcPr>
          <w:p>
            <w:pPr>
              <w:spacing w:after="0"/>
            </w:pPr>
            <w:r>
              <w:rPr>
                <w:rFonts w:ascii="Aptos" w:hAnsi="Aptos"/>
                <w:color w:val="17212B"/>
                <w:sz w:val="15"/>
              </w:rPr>
              <w:t>v1</w:t>
            </w:r>
          </w:p>
        </w:tc>
        <w:tc>
          <w:tcPr>
            <w:tcW w:type="dxa" w:w="2448"/>
            <w:vAlign w:val="center"/>
            <w:tcMar>
              <w:top w:w="90" w:type="dxa"/>
              <w:start w:w="120" w:type="dxa"/>
              <w:bottom w:w="90" w:type="dxa"/>
              <w:end w:w="120" w:type="dxa"/>
            </w:tcMar>
          </w:tcPr>
          <w:p>
            <w:pPr>
              <w:spacing w:after="0"/>
            </w:pPr>
            <w:r>
              <w:rPr>
                <w:rFonts w:ascii="Aptos" w:hAnsi="Aptos"/>
                <w:color w:val="17212B"/>
                <w:sz w:val="15"/>
              </w:rPr>
              <w:t>Free + Pro subscription experiment</w:t>
            </w:r>
          </w:p>
        </w:tc>
        <w:tc>
          <w:tcPr>
            <w:tcW w:type="dxa" w:w="3168"/>
            <w:vAlign w:val="center"/>
            <w:tcMar>
              <w:top w:w="90" w:type="dxa"/>
              <w:start w:w="120" w:type="dxa"/>
              <w:bottom w:w="90" w:type="dxa"/>
              <w:end w:w="120" w:type="dxa"/>
            </w:tcMar>
          </w:tcPr>
          <w:p>
            <w:pPr>
              <w:spacing w:after="0"/>
            </w:pPr>
            <w:r>
              <w:rPr>
                <w:rFonts w:ascii="Aptos" w:hAnsi="Aptos"/>
                <w:color w:val="17212B"/>
                <w:sz w:val="15"/>
              </w:rPr>
              <w:t>None; simulated suppliers</w:t>
            </w:r>
          </w:p>
        </w:tc>
        <w:tc>
          <w:tcPr>
            <w:tcW w:type="dxa" w:w="2232"/>
            <w:vAlign w:val="center"/>
            <w:tcMar>
              <w:top w:w="90" w:type="dxa"/>
              <w:start w:w="120" w:type="dxa"/>
              <w:bottom w:w="90" w:type="dxa"/>
              <w:end w:w="120" w:type="dxa"/>
            </w:tcMar>
          </w:tcPr>
          <w:p>
            <w:pPr>
              <w:spacing w:after="0"/>
            </w:pPr>
            <w:r>
              <w:rPr>
                <w:rFonts w:ascii="Aptos" w:hAnsi="Aptos"/>
                <w:color w:val="17212B"/>
                <w:sz w:val="15"/>
              </w:rPr>
              <w:t>No hidden commission; simulation disclosed</w:t>
            </w:r>
          </w:p>
        </w:tc>
      </w:tr>
      <w:tr>
        <w:trPr>
          <w:cantSplit/>
        </w:trPr>
        <w:tc>
          <w:tcPr>
            <w:tcW w:type="dxa" w:w="1512"/>
            <w:vAlign w:val="center"/>
            <w:tcMar>
              <w:top w:w="90" w:type="dxa"/>
              <w:start w:w="120" w:type="dxa"/>
              <w:bottom w:w="90" w:type="dxa"/>
              <w:end w:w="120" w:type="dxa"/>
            </w:tcMar>
            <w:shd w:fill="F8FAFB"/>
          </w:tcPr>
          <w:p>
            <w:pPr>
              <w:spacing w:after="0"/>
            </w:pPr>
            <w:r>
              <w:rPr>
                <w:rFonts w:ascii="Aptos" w:hAnsi="Aptos"/>
                <w:color w:val="17212B"/>
                <w:sz w:val="15"/>
              </w:rPr>
              <w:t>Pilot</w:t>
            </w:r>
          </w:p>
        </w:tc>
        <w:tc>
          <w:tcPr>
            <w:tcW w:type="dxa" w:w="2448"/>
            <w:vAlign w:val="center"/>
            <w:tcMar>
              <w:top w:w="90" w:type="dxa"/>
              <w:start w:w="120" w:type="dxa"/>
              <w:bottom w:w="90" w:type="dxa"/>
              <w:end w:w="120" w:type="dxa"/>
            </w:tcMar>
            <w:shd w:fill="F8FAFB"/>
          </w:tcPr>
          <w:p>
            <w:pPr>
              <w:spacing w:after="0"/>
            </w:pPr>
            <w:r>
              <w:rPr>
                <w:rFonts w:ascii="Aptos" w:hAnsi="Aptos"/>
                <w:color w:val="17212B"/>
                <w:sz w:val="15"/>
              </w:rPr>
              <w:t>Subscription or transaction-free buyer access</w:t>
            </w:r>
          </w:p>
        </w:tc>
        <w:tc>
          <w:tcPr>
            <w:tcW w:type="dxa" w:w="3168"/>
            <w:vAlign w:val="center"/>
            <w:tcMar>
              <w:top w:w="90" w:type="dxa"/>
              <w:start w:w="120" w:type="dxa"/>
              <w:bottom w:w="90" w:type="dxa"/>
              <w:end w:w="120" w:type="dxa"/>
            </w:tcMar>
            <w:shd w:fill="F8FAFB"/>
          </w:tcPr>
          <w:p>
            <w:pPr>
              <w:spacing w:after="0"/>
            </w:pPr>
            <w:r>
              <w:rPr>
                <w:rFonts w:ascii="Aptos" w:hAnsi="Aptos"/>
                <w:color w:val="17212B"/>
                <w:sz w:val="15"/>
              </w:rPr>
              <w:t>Fixed lead/acquisition fee for completed qualified action</w:t>
            </w:r>
          </w:p>
        </w:tc>
        <w:tc>
          <w:tcPr>
            <w:tcW w:type="dxa" w:w="2232"/>
            <w:vAlign w:val="center"/>
            <w:tcMar>
              <w:top w:w="90" w:type="dxa"/>
              <w:start w:w="120" w:type="dxa"/>
              <w:bottom w:w="90" w:type="dxa"/>
              <w:end w:w="120" w:type="dxa"/>
            </w:tcMar>
            <w:shd w:fill="F8FAFB"/>
          </w:tcPr>
          <w:p>
            <w:pPr>
              <w:spacing w:after="0"/>
            </w:pPr>
            <w:r>
              <w:rPr>
                <w:rFonts w:ascii="Aptos" w:hAnsi="Aptos"/>
                <w:color w:val="17212B"/>
                <w:sz w:val="15"/>
              </w:rPr>
              <w:t>Recommendation score excludes fee</w:t>
            </w:r>
          </w:p>
        </w:tc>
      </w:tr>
      <w:tr>
        <w:trPr>
          <w:cantSplit/>
        </w:trPr>
        <w:tc>
          <w:tcPr>
            <w:tcW w:type="dxa" w:w="1512"/>
            <w:vAlign w:val="center"/>
            <w:tcMar>
              <w:top w:w="90" w:type="dxa"/>
              <w:start w:w="120" w:type="dxa"/>
              <w:bottom w:w="90" w:type="dxa"/>
              <w:end w:w="120" w:type="dxa"/>
            </w:tcMar>
          </w:tcPr>
          <w:p>
            <w:pPr>
              <w:spacing w:after="0"/>
            </w:pPr>
            <w:r>
              <w:rPr>
                <w:rFonts w:ascii="Aptos" w:hAnsi="Aptos"/>
                <w:color w:val="17212B"/>
                <w:sz w:val="15"/>
              </w:rPr>
              <w:t>Marketplace</w:t>
            </w:r>
          </w:p>
        </w:tc>
        <w:tc>
          <w:tcPr>
            <w:tcW w:type="dxa" w:w="2448"/>
            <w:vAlign w:val="center"/>
            <w:tcMar>
              <w:top w:w="90" w:type="dxa"/>
              <w:start w:w="120" w:type="dxa"/>
              <w:bottom w:w="90" w:type="dxa"/>
              <w:end w:w="120" w:type="dxa"/>
            </w:tcMar>
          </w:tcPr>
          <w:p>
            <w:pPr>
              <w:spacing w:after="0"/>
            </w:pPr>
            <w:r>
              <w:rPr>
                <w:rFonts w:ascii="Aptos" w:hAnsi="Aptos"/>
                <w:color w:val="17212B"/>
                <w:sz w:val="15"/>
              </w:rPr>
              <w:t>Low/free buyer fee</w:t>
            </w:r>
          </w:p>
        </w:tc>
        <w:tc>
          <w:tcPr>
            <w:tcW w:type="dxa" w:w="3168"/>
            <w:vAlign w:val="center"/>
            <w:tcMar>
              <w:top w:w="90" w:type="dxa"/>
              <w:start w:w="120" w:type="dxa"/>
              <w:bottom w:w="90" w:type="dxa"/>
              <w:end w:w="120" w:type="dxa"/>
            </w:tcMar>
          </w:tcPr>
          <w:p>
            <w:pPr>
              <w:spacing w:after="0"/>
            </w:pPr>
            <w:r>
              <w:rPr>
                <w:rFonts w:ascii="Aptos" w:hAnsi="Aptos"/>
                <w:color w:val="17212B"/>
                <w:sz w:val="15"/>
              </w:rPr>
              <w:t>Success fee, supplier SaaS, optional sponsored eligibility—not rank</w:t>
            </w:r>
          </w:p>
        </w:tc>
        <w:tc>
          <w:tcPr>
            <w:tcW w:type="dxa" w:w="2232"/>
            <w:vAlign w:val="center"/>
            <w:tcMar>
              <w:top w:w="90" w:type="dxa"/>
              <w:start w:w="120" w:type="dxa"/>
              <w:bottom w:w="90" w:type="dxa"/>
              <w:end w:w="120" w:type="dxa"/>
            </w:tcMar>
          </w:tcPr>
          <w:p>
            <w:pPr>
              <w:spacing w:after="0"/>
            </w:pPr>
            <w:r>
              <w:rPr>
                <w:rFonts w:ascii="Aptos" w:hAnsi="Aptos"/>
                <w:color w:val="17212B"/>
                <w:sz w:val="15"/>
              </w:rPr>
              <w:t>Commercial relationships disclosed; ranking firewall</w:t>
            </w:r>
          </w:p>
        </w:tc>
      </w:tr>
      <w:tr>
        <w:trPr>
          <w:cantSplit/>
        </w:trPr>
        <w:tc>
          <w:tcPr>
            <w:tcW w:type="dxa" w:w="1512"/>
            <w:vAlign w:val="center"/>
            <w:tcMar>
              <w:top w:w="90" w:type="dxa"/>
              <w:start w:w="120" w:type="dxa"/>
              <w:bottom w:w="90" w:type="dxa"/>
              <w:end w:w="120" w:type="dxa"/>
            </w:tcMar>
            <w:shd w:fill="F8FAFB"/>
          </w:tcPr>
          <w:p>
            <w:pPr>
              <w:spacing w:after="0"/>
            </w:pPr>
            <w:r>
              <w:rPr>
                <w:rFonts w:ascii="Aptos" w:hAnsi="Aptos"/>
                <w:color w:val="17212B"/>
                <w:sz w:val="15"/>
              </w:rPr>
              <w:t>Scale</w:t>
            </w:r>
          </w:p>
        </w:tc>
        <w:tc>
          <w:tcPr>
            <w:tcW w:type="dxa" w:w="2448"/>
            <w:vAlign w:val="center"/>
            <w:tcMar>
              <w:top w:w="90" w:type="dxa"/>
              <w:start w:w="120" w:type="dxa"/>
              <w:bottom w:w="90" w:type="dxa"/>
              <w:end w:w="120" w:type="dxa"/>
            </w:tcMar>
            <w:shd w:fill="F8FAFB"/>
          </w:tcPr>
          <w:p>
            <w:pPr>
              <w:spacing w:after="0"/>
            </w:pPr>
            <w:r>
              <w:rPr>
                <w:rFonts w:ascii="Aptos" w:hAnsi="Aptos"/>
                <w:color w:val="17212B"/>
                <w:sz w:val="15"/>
              </w:rPr>
              <w:t>Household procurement membership</w:t>
            </w:r>
          </w:p>
        </w:tc>
        <w:tc>
          <w:tcPr>
            <w:tcW w:type="dxa" w:w="3168"/>
            <w:vAlign w:val="center"/>
            <w:tcMar>
              <w:top w:w="90" w:type="dxa"/>
              <w:start w:w="120" w:type="dxa"/>
              <w:bottom w:w="90" w:type="dxa"/>
              <w:end w:w="120" w:type="dxa"/>
            </w:tcMar>
            <w:shd w:fill="F8FAFB"/>
          </w:tcPr>
          <w:p>
            <w:pPr>
              <w:spacing w:after="0"/>
            </w:pPr>
            <w:r>
              <w:rPr>
                <w:rFonts w:ascii="Aptos" w:hAnsi="Aptos"/>
                <w:color w:val="17212B"/>
                <w:sz w:val="15"/>
              </w:rPr>
              <w:t>Transaction network, premium supplier tooling/API</w:t>
            </w:r>
          </w:p>
        </w:tc>
        <w:tc>
          <w:tcPr>
            <w:tcW w:type="dxa" w:w="2232"/>
            <w:vAlign w:val="center"/>
            <w:tcMar>
              <w:top w:w="90" w:type="dxa"/>
              <w:start w:w="120" w:type="dxa"/>
              <w:bottom w:w="90" w:type="dxa"/>
              <w:end w:w="120" w:type="dxa"/>
            </w:tcMar>
            <w:shd w:fill="F8FAFB"/>
          </w:tcPr>
          <w:p>
            <w:pPr>
              <w:spacing w:after="0"/>
            </w:pPr>
            <w:r>
              <w:rPr>
                <w:rFonts w:ascii="Aptos" w:hAnsi="Aptos"/>
                <w:color w:val="17212B"/>
                <w:sz w:val="15"/>
              </w:rPr>
              <w:t>Buyer profile never sold; consented purpose limitation</w:t>
            </w:r>
          </w:p>
        </w:tc>
      </w:tr>
    </w:tbl>
    <w:p>
      <w:pPr>
        <w:spacing w:after="20"/>
      </w:pPr>
    </w:p>
    <w:p>
      <w:pPr>
        <w:pStyle w:val="Heading2"/>
      </w:pPr>
      <w:r>
        <w:t>19.2 Phase 2: anonymous aggregated demand</w:t>
      </w:r>
    </w:p>
    <w:p>
      <w:r>
        <w:t>Phase 2 may allow buyers to opt into cohort formation so suppliers can respond to aggregate, non-identifying demand—for example, “27 travelers need JFK parking during a defined window.” This can improve price discovery and supplier economics without revealing individual buyer profiles. It is a separate consent purpose and must not be inferred from v1 participation.</w:t>
      </w:r>
    </w:p>
    <w:tbl>
      <w:tblPr>
        <w:tblStyle w:val="TableGrid"/>
        <w:tblW w:type="dxa" w:w="9360"/>
        <w:jc w:val="center"/>
        <w:tblLayout w:type="fixed"/>
        <w:tblLook w:firstColumn="1" w:firstRow="1" w:lastColumn="0" w:lastRow="0" w:noHBand="0" w:noVBand="1" w:val="04A0"/>
        <w:tblInd w:w="120" w:type="dxa"/>
      </w:tblPr>
      <w:tblGrid>
        <w:gridCol w:w="4853"/>
        <w:gridCol w:w="4853"/>
      </w:tblGrid>
      <w:tr>
        <w:trPr>
          <w:tblHeader w:val="true"/>
          <w:cantSplit/>
        </w:trPr>
        <w:tc>
          <w:tcPr>
            <w:tcW w:type="dxa" w:w="2016"/>
            <w:shd w:fill="17324D"/>
            <w:tcMar>
              <w:top w:w="90" w:type="dxa"/>
              <w:start w:w="120" w:type="dxa"/>
              <w:bottom w:w="90" w:type="dxa"/>
              <w:end w:w="120" w:type="dxa"/>
            </w:tcMar>
          </w:tcPr>
          <w:p>
            <w:pPr>
              <w:spacing w:after="0"/>
            </w:pPr>
            <w:r>
              <w:rPr>
                <w:rFonts w:ascii="Aptos" w:hAnsi="Aptos"/>
                <w:b/>
                <w:color w:val="FFFFFF"/>
                <w:sz w:val="16"/>
              </w:rPr>
              <w:t>Requirement</w:t>
            </w:r>
          </w:p>
        </w:tc>
        <w:tc>
          <w:tcPr>
            <w:tcW w:type="dxa" w:w="7344"/>
            <w:shd w:fill="17324D"/>
            <w:tcMar>
              <w:top w:w="90" w:type="dxa"/>
              <w:start w:w="120" w:type="dxa"/>
              <w:bottom w:w="90" w:type="dxa"/>
              <w:end w:w="120" w:type="dxa"/>
            </w:tcMar>
          </w:tcPr>
          <w:p>
            <w:pPr>
              <w:spacing w:after="0"/>
            </w:pPr>
            <w:r>
              <w:rPr>
                <w:rFonts w:ascii="Aptos" w:hAnsi="Aptos"/>
                <w:b/>
                <w:color w:val="FFFFFF"/>
                <w:sz w:val="16"/>
              </w:rPr>
              <w:t>Phase 2 direction</w:t>
            </w:r>
          </w:p>
        </w:tc>
      </w:tr>
      <w:tr>
        <w:trPr>
          <w:cantSplit/>
        </w:trPr>
        <w:tc>
          <w:tcPr>
            <w:tcW w:type="dxa" w:w="2016"/>
            <w:vAlign w:val="center"/>
            <w:tcMar>
              <w:top w:w="90" w:type="dxa"/>
              <w:start w:w="120" w:type="dxa"/>
              <w:bottom w:w="90" w:type="dxa"/>
              <w:end w:w="120" w:type="dxa"/>
            </w:tcMar>
          </w:tcPr>
          <w:p>
            <w:pPr>
              <w:spacing w:after="0"/>
            </w:pPr>
            <w:r>
              <w:rPr>
                <w:rFonts w:ascii="Aptos" w:hAnsi="Aptos"/>
                <w:color w:val="17212B"/>
                <w:sz w:val="16"/>
              </w:rPr>
              <w:t>Consent</w:t>
            </w:r>
          </w:p>
        </w:tc>
        <w:tc>
          <w:tcPr>
            <w:tcW w:type="dxa" w:w="7344"/>
            <w:vAlign w:val="center"/>
            <w:tcMar>
              <w:top w:w="90" w:type="dxa"/>
              <w:start w:w="120" w:type="dxa"/>
              <w:bottom w:w="90" w:type="dxa"/>
              <w:end w:w="120" w:type="dxa"/>
            </w:tcMar>
          </w:tcPr>
          <w:p>
            <w:pPr>
              <w:spacing w:after="0"/>
            </w:pPr>
            <w:r>
              <w:rPr>
                <w:rFonts w:ascii="Aptos" w:hAnsi="Aptos"/>
                <w:color w:val="17212B"/>
                <w:sz w:val="16"/>
              </w:rPr>
              <w:t>Explicit, revocable, separate from individual solicitation</w:t>
            </w:r>
          </w:p>
        </w:tc>
      </w:tr>
      <w:tr>
        <w:trPr>
          <w:cantSplit/>
        </w:trPr>
        <w:tc>
          <w:tcPr>
            <w:tcW w:type="dxa" w:w="2016"/>
            <w:vAlign w:val="center"/>
            <w:tcMar>
              <w:top w:w="90" w:type="dxa"/>
              <w:start w:w="120" w:type="dxa"/>
              <w:bottom w:w="90" w:type="dxa"/>
              <w:end w:w="120" w:type="dxa"/>
            </w:tcMar>
            <w:shd w:fill="F8FAFB"/>
          </w:tcPr>
          <w:p>
            <w:pPr>
              <w:spacing w:after="0"/>
            </w:pPr>
            <w:r>
              <w:rPr>
                <w:rFonts w:ascii="Aptos" w:hAnsi="Aptos"/>
                <w:color w:val="17212B"/>
                <w:sz w:val="16"/>
              </w:rPr>
              <w:t>Threshold</w:t>
            </w:r>
          </w:p>
        </w:tc>
        <w:tc>
          <w:tcPr>
            <w:tcW w:type="dxa" w:w="7344"/>
            <w:vAlign w:val="center"/>
            <w:tcMar>
              <w:top w:w="90" w:type="dxa"/>
              <w:start w:w="120" w:type="dxa"/>
              <w:bottom w:w="90" w:type="dxa"/>
              <w:end w:w="120" w:type="dxa"/>
            </w:tcMar>
            <w:shd w:fill="F8FAFB"/>
          </w:tcPr>
          <w:p>
            <w:pPr>
              <w:spacing w:after="0"/>
            </w:pPr>
            <w:r>
              <w:rPr>
                <w:rFonts w:ascii="Aptos" w:hAnsi="Aptos"/>
                <w:color w:val="17212B"/>
                <w:sz w:val="16"/>
              </w:rPr>
              <w:t>Minimum cohort size and anti-singling rules before release</w:t>
            </w:r>
          </w:p>
        </w:tc>
      </w:tr>
      <w:tr>
        <w:trPr>
          <w:cantSplit/>
        </w:trPr>
        <w:tc>
          <w:tcPr>
            <w:tcW w:type="dxa" w:w="2016"/>
            <w:vAlign w:val="center"/>
            <w:tcMar>
              <w:top w:w="90" w:type="dxa"/>
              <w:start w:w="120" w:type="dxa"/>
              <w:bottom w:w="90" w:type="dxa"/>
              <w:end w:w="120" w:type="dxa"/>
            </w:tcMar>
          </w:tcPr>
          <w:p>
            <w:pPr>
              <w:spacing w:after="0"/>
            </w:pPr>
            <w:r>
              <w:rPr>
                <w:rFonts w:ascii="Aptos" w:hAnsi="Aptos"/>
                <w:color w:val="17212B"/>
                <w:sz w:val="16"/>
              </w:rPr>
              <w:t>Privacy</w:t>
            </w:r>
          </w:p>
        </w:tc>
        <w:tc>
          <w:tcPr>
            <w:tcW w:type="dxa" w:w="7344"/>
            <w:vAlign w:val="center"/>
            <w:tcMar>
              <w:top w:w="90" w:type="dxa"/>
              <w:start w:w="120" w:type="dxa"/>
              <w:bottom w:w="90" w:type="dxa"/>
              <w:end w:w="120" w:type="dxa"/>
            </w:tcMar>
          </w:tcPr>
          <w:p>
            <w:pPr>
              <w:spacing w:after="0"/>
            </w:pPr>
            <w:r>
              <w:rPr>
                <w:rFonts w:ascii="Aptos" w:hAnsi="Aptos"/>
                <w:color w:val="17212B"/>
                <w:sz w:val="16"/>
              </w:rPr>
              <w:t>No raw context, stable buyer token, rare attribute combination, or exact itinerary</w:t>
            </w:r>
          </w:p>
        </w:tc>
      </w:tr>
      <w:tr>
        <w:trPr>
          <w:cantSplit/>
        </w:trPr>
        <w:tc>
          <w:tcPr>
            <w:tcW w:type="dxa" w:w="2016"/>
            <w:vAlign w:val="center"/>
            <w:tcMar>
              <w:top w:w="90" w:type="dxa"/>
              <w:start w:w="120" w:type="dxa"/>
              <w:bottom w:w="90" w:type="dxa"/>
              <w:end w:w="120" w:type="dxa"/>
            </w:tcMar>
            <w:shd w:fill="F8FAFB"/>
          </w:tcPr>
          <w:p>
            <w:pPr>
              <w:spacing w:after="0"/>
            </w:pPr>
            <w:r>
              <w:rPr>
                <w:rFonts w:ascii="Aptos" w:hAnsi="Aptos"/>
                <w:color w:val="17212B"/>
                <w:sz w:val="16"/>
              </w:rPr>
              <w:t>Economics</w:t>
            </w:r>
          </w:p>
        </w:tc>
        <w:tc>
          <w:tcPr>
            <w:tcW w:type="dxa" w:w="7344"/>
            <w:vAlign w:val="center"/>
            <w:tcMar>
              <w:top w:w="90" w:type="dxa"/>
              <w:start w:w="120" w:type="dxa"/>
              <w:bottom w:w="90" w:type="dxa"/>
              <w:end w:w="120" w:type="dxa"/>
            </w:tcMar>
            <w:shd w:fill="F8FAFB"/>
          </w:tcPr>
          <w:p>
            <w:pPr>
              <w:spacing w:after="0"/>
            </w:pPr>
            <w:r>
              <w:rPr>
                <w:rFonts w:ascii="Aptos" w:hAnsi="Aptos"/>
                <w:color w:val="17212B"/>
                <w:sz w:val="16"/>
              </w:rPr>
              <w:t>Suppliers bid on cohort terms; allocation rules disclosed</w:t>
            </w:r>
          </w:p>
        </w:tc>
      </w:tr>
      <w:tr>
        <w:trPr>
          <w:cantSplit/>
        </w:trPr>
        <w:tc>
          <w:tcPr>
            <w:tcW w:type="dxa" w:w="2016"/>
            <w:vAlign w:val="center"/>
            <w:tcMar>
              <w:top w:w="90" w:type="dxa"/>
              <w:start w:w="120" w:type="dxa"/>
              <w:bottom w:w="90" w:type="dxa"/>
              <w:end w:w="120" w:type="dxa"/>
            </w:tcMar>
          </w:tcPr>
          <w:p>
            <w:pPr>
              <w:spacing w:after="0"/>
            </w:pPr>
            <w:r>
              <w:rPr>
                <w:rFonts w:ascii="Aptos" w:hAnsi="Aptos"/>
                <w:color w:val="17212B"/>
                <w:sz w:val="16"/>
              </w:rPr>
              <w:t>Fairness</w:t>
            </w:r>
          </w:p>
        </w:tc>
        <w:tc>
          <w:tcPr>
            <w:tcW w:type="dxa" w:w="7344"/>
            <w:vAlign w:val="center"/>
            <w:tcMar>
              <w:top w:w="90" w:type="dxa"/>
              <w:start w:w="120" w:type="dxa"/>
              <w:bottom w:w="90" w:type="dxa"/>
              <w:end w:w="120" w:type="dxa"/>
            </w:tcMar>
          </w:tcPr>
          <w:p>
            <w:pPr>
              <w:spacing w:after="0"/>
            </w:pPr>
            <w:r>
              <w:rPr>
                <w:rFonts w:ascii="Aptos" w:hAnsi="Aptos"/>
                <w:color w:val="17212B"/>
                <w:sz w:val="16"/>
              </w:rPr>
              <w:t>No sensitive-attribute pricing or exclusion; monitor disparate outcomes</w:t>
            </w:r>
          </w:p>
        </w:tc>
      </w:tr>
      <w:tr>
        <w:trPr>
          <w:cantSplit/>
        </w:trPr>
        <w:tc>
          <w:tcPr>
            <w:tcW w:type="dxa" w:w="2016"/>
            <w:vAlign w:val="center"/>
            <w:tcMar>
              <w:top w:w="90" w:type="dxa"/>
              <w:start w:w="120" w:type="dxa"/>
              <w:bottom w:w="90" w:type="dxa"/>
              <w:end w:w="120" w:type="dxa"/>
            </w:tcMar>
            <w:shd w:fill="F8FAFB"/>
          </w:tcPr>
          <w:p>
            <w:pPr>
              <w:spacing w:after="0"/>
            </w:pPr>
            <w:r>
              <w:rPr>
                <w:rFonts w:ascii="Aptos" w:hAnsi="Aptos"/>
                <w:color w:val="17212B"/>
                <w:sz w:val="16"/>
              </w:rPr>
              <w:t>Security</w:t>
            </w:r>
          </w:p>
        </w:tc>
        <w:tc>
          <w:tcPr>
            <w:tcW w:type="dxa" w:w="7344"/>
            <w:vAlign w:val="center"/>
            <w:tcMar>
              <w:top w:w="90" w:type="dxa"/>
              <w:start w:w="120" w:type="dxa"/>
              <w:bottom w:w="90" w:type="dxa"/>
              <w:end w:w="120" w:type="dxa"/>
            </w:tcMar>
            <w:shd w:fill="F8FAFB"/>
          </w:tcPr>
          <w:p>
            <w:pPr>
              <w:spacing w:after="0"/>
            </w:pPr>
            <w:r>
              <w:rPr>
                <w:rFonts w:ascii="Aptos" w:hAnsi="Aptos"/>
                <w:color w:val="17212B"/>
                <w:sz w:val="16"/>
              </w:rPr>
              <w:t>Aggregation service isolated from supplier identity plane; privacy budget/threshold review</w:t>
            </w:r>
          </w:p>
        </w:tc>
      </w:tr>
      <w:tr>
        <w:trPr>
          <w:cantSplit/>
        </w:trPr>
        <w:tc>
          <w:tcPr>
            <w:tcW w:type="dxa" w:w="2016"/>
            <w:vAlign w:val="center"/>
            <w:tcMar>
              <w:top w:w="90" w:type="dxa"/>
              <w:start w:w="120" w:type="dxa"/>
              <w:bottom w:w="90" w:type="dxa"/>
              <w:end w:w="120" w:type="dxa"/>
            </w:tcMar>
          </w:tcPr>
          <w:p>
            <w:pPr>
              <w:spacing w:after="0"/>
            </w:pPr>
            <w:r>
              <w:rPr>
                <w:rFonts w:ascii="Aptos" w:hAnsi="Aptos"/>
                <w:color w:val="17212B"/>
                <w:sz w:val="16"/>
              </w:rPr>
              <w:t>Buyer control</w:t>
            </w:r>
          </w:p>
        </w:tc>
        <w:tc>
          <w:tcPr>
            <w:tcW w:type="dxa" w:w="7344"/>
            <w:vAlign w:val="center"/>
            <w:tcMar>
              <w:top w:w="90" w:type="dxa"/>
              <w:start w:w="120" w:type="dxa"/>
              <w:bottom w:w="90" w:type="dxa"/>
              <w:end w:w="120" w:type="dxa"/>
            </w:tcMar>
          </w:tcPr>
          <w:p>
            <w:pPr>
              <w:spacing w:after="0"/>
            </w:pPr>
            <w:r>
              <w:rPr>
                <w:rFonts w:ascii="Aptos" w:hAnsi="Aptos"/>
                <w:color w:val="17212B"/>
                <w:sz w:val="16"/>
              </w:rPr>
              <w:t>Preview aggregate fields and expected benefit; opt out without product penalty</w:t>
            </w:r>
          </w:p>
        </w:tc>
      </w:tr>
    </w:tbl>
    <w:p>
      <w:pPr>
        <w:spacing w:after="20"/>
      </w:pPr>
    </w:p>
    <w:p>
      <w:pPr>
        <w:pStyle w:val="Heading2"/>
      </w:pPr>
      <w:r>
        <w:t>19.3 Roadmap</w:t>
      </w:r>
    </w:p>
    <w:tbl>
      <w:tblPr>
        <w:tblStyle w:val="TableGrid"/>
        <w:tblW w:type="dxa" w:w="9360"/>
        <w:jc w:val="center"/>
        <w:tblLayout w:type="fixed"/>
        <w:tblLook w:firstColumn="1" w:firstRow="1" w:lastColumn="0" w:lastRow="0" w:noHBand="0" w:noVBand="1" w:val="04A0"/>
        <w:tblInd w:w="120" w:type="dxa"/>
      </w:tblPr>
      <w:tblGrid>
        <w:gridCol w:w="4853"/>
        <w:gridCol w:w="4853"/>
      </w:tblGrid>
      <w:tr>
        <w:trPr>
          <w:tblHeader w:val="true"/>
          <w:cantSplit/>
        </w:trPr>
        <w:tc>
          <w:tcPr>
            <w:tcW w:type="dxa" w:w="2016"/>
            <w:shd w:fill="17324D"/>
            <w:tcMar>
              <w:top w:w="90" w:type="dxa"/>
              <w:start w:w="120" w:type="dxa"/>
              <w:bottom w:w="90" w:type="dxa"/>
              <w:end w:w="120" w:type="dxa"/>
            </w:tcMar>
          </w:tcPr>
          <w:p>
            <w:pPr>
              <w:spacing w:after="0"/>
            </w:pPr>
            <w:r>
              <w:rPr>
                <w:rFonts w:ascii="Aptos" w:hAnsi="Aptos"/>
                <w:b/>
                <w:color w:val="FFFFFF"/>
                <w:sz w:val="16"/>
              </w:rPr>
              <w:t>Horizon</w:t>
            </w:r>
          </w:p>
        </w:tc>
        <w:tc>
          <w:tcPr>
            <w:tcW w:type="dxa" w:w="7344"/>
            <w:shd w:fill="17324D"/>
            <w:tcMar>
              <w:top w:w="90" w:type="dxa"/>
              <w:start w:w="120" w:type="dxa"/>
              <w:bottom w:w="90" w:type="dxa"/>
              <w:end w:w="120" w:type="dxa"/>
            </w:tcMar>
          </w:tcPr>
          <w:p>
            <w:pPr>
              <w:spacing w:after="0"/>
            </w:pPr>
            <w:r>
              <w:rPr>
                <w:rFonts w:ascii="Aptos" w:hAnsi="Aptos"/>
                <w:b/>
                <w:color w:val="FFFFFF"/>
                <w:sz w:val="16"/>
              </w:rPr>
              <w:t>Outcome</w:t>
            </w:r>
          </w:p>
        </w:tc>
      </w:tr>
      <w:tr>
        <w:trPr>
          <w:cantSplit/>
        </w:trPr>
        <w:tc>
          <w:tcPr>
            <w:tcW w:type="dxa" w:w="2016"/>
            <w:vAlign w:val="center"/>
            <w:tcMar>
              <w:top w:w="90" w:type="dxa"/>
              <w:start w:w="120" w:type="dxa"/>
              <w:bottom w:w="90" w:type="dxa"/>
              <w:end w:w="120" w:type="dxa"/>
            </w:tcMar>
          </w:tcPr>
          <w:p>
            <w:pPr>
              <w:spacing w:after="0"/>
            </w:pPr>
            <w:r>
              <w:rPr>
                <w:rFonts w:ascii="Aptos" w:hAnsi="Aptos"/>
                <w:color w:val="17212B"/>
                <w:sz w:val="16"/>
              </w:rPr>
              <w:t>0–6 weeks</w:t>
            </w:r>
          </w:p>
        </w:tc>
        <w:tc>
          <w:tcPr>
            <w:tcW w:type="dxa" w:w="7344"/>
            <w:vAlign w:val="center"/>
            <w:tcMar>
              <w:top w:w="90" w:type="dxa"/>
              <w:start w:w="120" w:type="dxa"/>
              <w:bottom w:w="90" w:type="dxa"/>
              <w:end w:w="120" w:type="dxa"/>
            </w:tcMar>
          </w:tcPr>
          <w:p>
            <w:pPr>
              <w:spacing w:after="0"/>
            </w:pPr>
            <w:r>
              <w:rPr>
                <w:rFonts w:ascii="Aptos" w:hAnsi="Aptos"/>
                <w:color w:val="17212B"/>
                <w:sz w:val="16"/>
              </w:rPr>
              <w:t>Ship three gates; validate completion, privacy comprehension, willingness to share, and Pro interest</w:t>
            </w:r>
          </w:p>
        </w:tc>
      </w:tr>
      <w:tr>
        <w:trPr>
          <w:cantSplit/>
        </w:trPr>
        <w:tc>
          <w:tcPr>
            <w:tcW w:type="dxa" w:w="2016"/>
            <w:vAlign w:val="center"/>
            <w:tcMar>
              <w:top w:w="90" w:type="dxa"/>
              <w:start w:w="120" w:type="dxa"/>
              <w:bottom w:w="90" w:type="dxa"/>
              <w:end w:w="120" w:type="dxa"/>
            </w:tcMar>
            <w:shd w:fill="F8FAFB"/>
          </w:tcPr>
          <w:p>
            <w:pPr>
              <w:spacing w:after="0"/>
            </w:pPr>
            <w:r>
              <w:rPr>
                <w:rFonts w:ascii="Aptos" w:hAnsi="Aptos"/>
                <w:color w:val="17212B"/>
                <w:sz w:val="16"/>
              </w:rPr>
              <w:t>2–3 months</w:t>
            </w:r>
          </w:p>
        </w:tc>
        <w:tc>
          <w:tcPr>
            <w:tcW w:type="dxa" w:w="7344"/>
            <w:vAlign w:val="center"/>
            <w:tcMar>
              <w:top w:w="90" w:type="dxa"/>
              <w:start w:w="120" w:type="dxa"/>
              <w:bottom w:w="90" w:type="dxa"/>
              <w:end w:w="120" w:type="dxa"/>
            </w:tcMar>
            <w:shd w:fill="F8FAFB"/>
          </w:tcPr>
          <w:p>
            <w:pPr>
              <w:spacing w:after="0"/>
            </w:pPr>
            <w:r>
              <w:rPr>
                <w:rFonts w:ascii="Aptos" w:hAnsi="Aptos"/>
                <w:color w:val="17212B"/>
                <w:sz w:val="16"/>
              </w:rPr>
              <w:t>Real parking supplier pilot; sandbox-to-production reservation adapter; support/refund process</w:t>
            </w:r>
          </w:p>
        </w:tc>
      </w:tr>
      <w:tr>
        <w:trPr>
          <w:cantSplit/>
        </w:trPr>
        <w:tc>
          <w:tcPr>
            <w:tcW w:type="dxa" w:w="2016"/>
            <w:vAlign w:val="center"/>
            <w:tcMar>
              <w:top w:w="90" w:type="dxa"/>
              <w:start w:w="120" w:type="dxa"/>
              <w:bottom w:w="90" w:type="dxa"/>
              <w:end w:w="120" w:type="dxa"/>
            </w:tcMar>
          </w:tcPr>
          <w:p>
            <w:pPr>
              <w:spacing w:after="0"/>
            </w:pPr>
            <w:r>
              <w:rPr>
                <w:rFonts w:ascii="Aptos" w:hAnsi="Aptos"/>
                <w:color w:val="17212B"/>
                <w:sz w:val="16"/>
              </w:rPr>
              <w:t>3–6 months</w:t>
            </w:r>
          </w:p>
        </w:tc>
        <w:tc>
          <w:tcPr>
            <w:tcW w:type="dxa" w:w="7344"/>
            <w:vAlign w:val="center"/>
            <w:tcMar>
              <w:top w:w="90" w:type="dxa"/>
              <w:start w:w="120" w:type="dxa"/>
              <w:bottom w:w="90" w:type="dxa"/>
              <w:end w:w="120" w:type="dxa"/>
            </w:tcMar>
          </w:tcPr>
          <w:p>
            <w:pPr>
              <w:spacing w:after="0"/>
            </w:pPr>
            <w:r>
              <w:rPr>
                <w:rFonts w:ascii="Aptos" w:hAnsi="Aptos"/>
                <w:color w:val="17212B"/>
                <w:sz w:val="16"/>
              </w:rPr>
              <w:t>Add a second low-risk service category; supplier portal/API; verified trust data</w:t>
            </w:r>
          </w:p>
        </w:tc>
      </w:tr>
      <w:tr>
        <w:trPr>
          <w:cantSplit/>
        </w:trPr>
        <w:tc>
          <w:tcPr>
            <w:tcW w:type="dxa" w:w="2016"/>
            <w:vAlign w:val="center"/>
            <w:tcMar>
              <w:top w:w="90" w:type="dxa"/>
              <w:start w:w="120" w:type="dxa"/>
              <w:bottom w:w="90" w:type="dxa"/>
              <w:end w:w="120" w:type="dxa"/>
            </w:tcMar>
            <w:shd w:fill="F8FAFB"/>
          </w:tcPr>
          <w:p>
            <w:pPr>
              <w:spacing w:after="0"/>
            </w:pPr>
            <w:r>
              <w:rPr>
                <w:rFonts w:ascii="Aptos" w:hAnsi="Aptos"/>
                <w:color w:val="17212B"/>
                <w:sz w:val="16"/>
              </w:rPr>
              <w:t>6–12 months</w:t>
            </w:r>
          </w:p>
        </w:tc>
        <w:tc>
          <w:tcPr>
            <w:tcW w:type="dxa" w:w="7344"/>
            <w:vAlign w:val="center"/>
            <w:tcMar>
              <w:top w:w="90" w:type="dxa"/>
              <w:start w:w="120" w:type="dxa"/>
              <w:bottom w:w="90" w:type="dxa"/>
              <w:end w:w="120" w:type="dxa"/>
            </w:tcMar>
            <w:shd w:fill="F8FAFB"/>
          </w:tcPr>
          <w:p>
            <w:pPr>
              <w:spacing w:after="0"/>
            </w:pPr>
            <w:r>
              <w:rPr>
                <w:rFonts w:ascii="Aptos" w:hAnsi="Aptos"/>
                <w:color w:val="17212B"/>
                <w:sz w:val="16"/>
              </w:rPr>
              <w:t>Opt-in anonymous demand pilots, supplier network economics, regional expansion, independent security/privacy review</w:t>
            </w:r>
          </w:p>
        </w:tc>
      </w:tr>
    </w:tbl>
    <w:p>
      <w:pPr>
        <w:spacing w:after="20"/>
      </w:pPr>
    </w:p>
    <w:p>
      <w:pPr>
        <w:pStyle w:val="Heading2"/>
      </w:pPr>
      <w:r>
        <w:t>19.4 Commercial success metrics</w:t>
      </w:r>
    </w:p>
    <w:p>
      <w:pPr>
        <w:pStyle w:val="ListBullet"/>
        <w:ind w:left="403" w:hanging="259"/>
      </w:pPr>
      <w:r>
        <w:t>Activation: first intent reaches a decision card within the first session/day.</w:t>
      </w:r>
    </w:p>
    <w:p>
      <w:pPr>
        <w:pStyle w:val="ListBullet"/>
        <w:ind w:left="403" w:hanging="259"/>
      </w:pPr>
      <w:r>
        <w:t>Value: median time saved, user-rated decision quality, and savings/term improvement versus public baseline.</w:t>
      </w:r>
    </w:p>
    <w:p>
      <w:pPr>
        <w:pStyle w:val="ListBullet"/>
        <w:ind w:left="403" w:hanging="259"/>
      </w:pPr>
      <w:r>
        <w:t>Trust: disclosure approval rate, privacy comprehension, correction/deletion use, and complaint rate.</w:t>
      </w:r>
    </w:p>
    <w:p>
      <w:pPr>
        <w:pStyle w:val="ListBullet"/>
        <w:ind w:left="403" w:hanging="259"/>
      </w:pPr>
      <w:r>
        <w:t>Marketplace: supplier response, eligible-offer coverage, offer improvement, fulfillment success, refund/dispute rate.</w:t>
      </w:r>
    </w:p>
    <w:p>
      <w:pPr>
        <w:pStyle w:val="ListBullet"/>
        <w:ind w:left="403" w:hanging="259"/>
      </w:pPr>
      <w:r>
        <w:t>Revenue: paywall conversion, trial-to-paid, retention, revenue per active buyer, and cost per completed intent.</w:t>
      </w:r>
    </w:p>
    <w:p>
      <w:r>
        <w:br w:type="page"/>
      </w:r>
    </w:p>
    <w:p>
      <w:pPr>
        <w:pStyle w:val="Heading1"/>
      </w:pPr>
      <w:r>
        <w:t>Appendix A — Complete schema field requirements</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1872"/>
            <w:shd w:fill="17324D"/>
            <w:tcMar>
              <w:top w:w="90" w:type="dxa"/>
              <w:start w:w="120" w:type="dxa"/>
              <w:bottom w:w="90" w:type="dxa"/>
              <w:end w:w="120" w:type="dxa"/>
            </w:tcMar>
          </w:tcPr>
          <w:p>
            <w:pPr>
              <w:spacing w:after="0"/>
            </w:pPr>
            <w:r>
              <w:rPr>
                <w:rFonts w:ascii="Aptos" w:hAnsi="Aptos"/>
                <w:b/>
                <w:color w:val="FFFFFF"/>
                <w:sz w:val="14"/>
              </w:rPr>
              <w:t>Contract</w:t>
            </w:r>
          </w:p>
        </w:tc>
        <w:tc>
          <w:tcPr>
            <w:tcW w:type="dxa" w:w="4392"/>
            <w:shd w:fill="17324D"/>
            <w:tcMar>
              <w:top w:w="90" w:type="dxa"/>
              <w:start w:w="120" w:type="dxa"/>
              <w:bottom w:w="90" w:type="dxa"/>
              <w:end w:w="120" w:type="dxa"/>
            </w:tcMar>
          </w:tcPr>
          <w:p>
            <w:pPr>
              <w:spacing w:after="0"/>
            </w:pPr>
            <w:r>
              <w:rPr>
                <w:rFonts w:ascii="Aptos" w:hAnsi="Aptos"/>
                <w:b/>
                <w:color w:val="FFFFFF"/>
                <w:sz w:val="14"/>
              </w:rPr>
              <w:t>Required fields</w:t>
            </w:r>
          </w:p>
        </w:tc>
        <w:tc>
          <w:tcPr>
            <w:tcW w:type="dxa" w:w="3096"/>
            <w:shd w:fill="17324D"/>
            <w:tcMar>
              <w:top w:w="90" w:type="dxa"/>
              <w:start w:w="120" w:type="dxa"/>
              <w:bottom w:w="90" w:type="dxa"/>
              <w:end w:w="120" w:type="dxa"/>
            </w:tcMar>
          </w:tcPr>
          <w:p>
            <w:pPr>
              <w:spacing w:after="0"/>
            </w:pPr>
            <w:r>
              <w:rPr>
                <w:rFonts w:ascii="Aptos" w:hAnsi="Aptos"/>
                <w:b/>
                <w:color w:val="FFFFFF"/>
                <w:sz w:val="14"/>
              </w:rPr>
              <w:t>Key invariants</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4"/>
              </w:rPr>
              <w:t>PurchaseIntent</w:t>
            </w:r>
          </w:p>
        </w:tc>
        <w:tc>
          <w:tcPr>
            <w:tcW w:type="dxa" w:w="4392"/>
            <w:vAlign w:val="center"/>
            <w:tcMar>
              <w:top w:w="90" w:type="dxa"/>
              <w:start w:w="120" w:type="dxa"/>
              <w:bottom w:w="90" w:type="dxa"/>
              <w:end w:w="120" w:type="dxa"/>
            </w:tcMar>
          </w:tcPr>
          <w:p>
            <w:pPr>
              <w:spacing w:after="0"/>
            </w:pPr>
            <w:r>
              <w:rPr>
                <w:rFonts w:ascii="Aptos" w:hAnsi="Aptos"/>
                <w:color w:val="17212B"/>
                <w:sz w:val="14"/>
              </w:rPr>
              <w:t>schemaVersion, intentId, buyerToken, category, location, serviceWindow, requirements, constraints, disclosure, solicitation, createdAt, expiresAt</w:t>
            </w:r>
          </w:p>
        </w:tc>
        <w:tc>
          <w:tcPr>
            <w:tcW w:type="dxa" w:w="3096"/>
            <w:vAlign w:val="center"/>
            <w:tcMar>
              <w:top w:w="90" w:type="dxa"/>
              <w:start w:w="120" w:type="dxa"/>
              <w:bottom w:w="90" w:type="dxa"/>
              <w:end w:w="120" w:type="dxa"/>
            </w:tcMar>
          </w:tcPr>
          <w:p>
            <w:pPr>
              <w:spacing w:after="0"/>
            </w:pPr>
            <w:r>
              <w:rPr>
                <w:rFonts w:ascii="Aptos" w:hAnsi="Aptos"/>
                <w:color w:val="17212B"/>
                <w:sz w:val="14"/>
              </w:rPr>
              <w:t>Minimized; no direct identifier; approved hash matches serialized payload; expiry after response deadline</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4"/>
              </w:rPr>
              <w:t>Offer</w:t>
            </w:r>
          </w:p>
        </w:tc>
        <w:tc>
          <w:tcPr>
            <w:tcW w:type="dxa" w:w="4392"/>
            <w:vAlign w:val="center"/>
            <w:tcMar>
              <w:top w:w="90" w:type="dxa"/>
              <w:start w:w="120" w:type="dxa"/>
              <w:bottom w:w="90" w:type="dxa"/>
              <w:end w:w="120" w:type="dxa"/>
            </w:tcMar>
            <w:shd w:fill="F8FAFB"/>
          </w:tcPr>
          <w:p>
            <w:pPr>
              <w:spacing w:after="0"/>
            </w:pPr>
            <w:r>
              <w:rPr>
                <w:rFonts w:ascii="Aptos" w:hAnsi="Aptos"/>
                <w:color w:val="17212B"/>
                <w:sz w:val="14"/>
              </w:rPr>
              <w:t>schemaVersion, offerId, intentId, supplierToken, version, status, price, service, terms, validFrom/Until, evidence, simulation, signature</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4"/>
              </w:rPr>
              <w:t>Total equals components; same currency; policy compliant; unexpired; correct supplier invitation</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4"/>
              </w:rPr>
              <w:t>CounterOffer</w:t>
            </w:r>
          </w:p>
        </w:tc>
        <w:tc>
          <w:tcPr>
            <w:tcW w:type="dxa" w:w="4392"/>
            <w:vAlign w:val="center"/>
            <w:tcMar>
              <w:top w:w="90" w:type="dxa"/>
              <w:start w:w="120" w:type="dxa"/>
              <w:bottom w:w="90" w:type="dxa"/>
              <w:end w:w="120" w:type="dxa"/>
            </w:tcMar>
          </w:tcPr>
          <w:p>
            <w:pPr>
              <w:spacing w:after="0"/>
            </w:pPr>
            <w:r>
              <w:rPr>
                <w:rFonts w:ascii="Aptos" w:hAnsi="Aptos"/>
                <w:color w:val="17212B"/>
                <w:sz w:val="14"/>
              </w:rPr>
              <w:t>counterOfferId, intentId, parentOfferId, proposedChanges, initiatedBy, createdAt, expiresAt, status, signature</w:t>
            </w:r>
          </w:p>
        </w:tc>
        <w:tc>
          <w:tcPr>
            <w:tcW w:type="dxa" w:w="3096"/>
            <w:vAlign w:val="center"/>
            <w:tcMar>
              <w:top w:w="90" w:type="dxa"/>
              <w:start w:w="120" w:type="dxa"/>
              <w:bottom w:w="90" w:type="dxa"/>
              <w:end w:w="120" w:type="dxa"/>
            </w:tcMar>
          </w:tcPr>
          <w:p>
            <w:pPr>
              <w:spacing w:after="0"/>
            </w:pPr>
            <w:r>
              <w:rPr>
                <w:rFonts w:ascii="Aptos" w:hAnsi="Aptos"/>
                <w:color w:val="17212B"/>
                <w:sz w:val="14"/>
              </w:rPr>
              <w:t>Allowed fields only; one round in v1; cannot worsen undisclosed terms</w:t>
            </w:r>
          </w:p>
        </w:tc>
      </w:tr>
      <w:tr>
        <w:trPr>
          <w:cantSplit/>
        </w:trPr>
        <w:tc>
          <w:tcPr>
            <w:tcW w:type="dxa" w:w="1872"/>
            <w:vAlign w:val="center"/>
            <w:tcMar>
              <w:top w:w="90" w:type="dxa"/>
              <w:start w:w="120" w:type="dxa"/>
              <w:bottom w:w="90" w:type="dxa"/>
              <w:end w:w="120" w:type="dxa"/>
            </w:tcMar>
            <w:shd w:fill="F8FAFB"/>
          </w:tcPr>
          <w:p>
            <w:pPr>
              <w:spacing w:after="0"/>
            </w:pPr>
            <w:r>
              <w:rPr>
                <w:rFonts w:ascii="Aptos" w:hAnsi="Aptos"/>
                <w:color w:val="17212B"/>
                <w:sz w:val="14"/>
              </w:rPr>
              <w:t>Acceptance</w:t>
            </w:r>
          </w:p>
        </w:tc>
        <w:tc>
          <w:tcPr>
            <w:tcW w:type="dxa" w:w="4392"/>
            <w:vAlign w:val="center"/>
            <w:tcMar>
              <w:top w:w="90" w:type="dxa"/>
              <w:start w:w="120" w:type="dxa"/>
              <w:bottom w:w="90" w:type="dxa"/>
              <w:end w:w="120" w:type="dxa"/>
            </w:tcMar>
            <w:shd w:fill="F8FAFB"/>
          </w:tcPr>
          <w:p>
            <w:pPr>
              <w:spacing w:after="0"/>
            </w:pPr>
            <w:r>
              <w:rPr>
                <w:rFonts w:ascii="Aptos" w:hAnsi="Aptos"/>
                <w:color w:val="17212B"/>
                <w:sz w:val="14"/>
              </w:rPr>
              <w:t>acceptanceId, intentId, offerId/version, acceptedTermsHash, buyerApprovalId, createdAt, expiresAt, status</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4"/>
              </w:rPr>
              <w:t>Offer eligible and current; exact terms hash; approval actor owns intent</w:t>
            </w:r>
          </w:p>
        </w:tc>
      </w:tr>
      <w:tr>
        <w:trPr>
          <w:cantSplit/>
        </w:trPr>
        <w:tc>
          <w:tcPr>
            <w:tcW w:type="dxa" w:w="1872"/>
            <w:vAlign w:val="center"/>
            <w:tcMar>
              <w:top w:w="90" w:type="dxa"/>
              <w:start w:w="120" w:type="dxa"/>
              <w:bottom w:w="90" w:type="dxa"/>
              <w:end w:w="120" w:type="dxa"/>
            </w:tcMar>
          </w:tcPr>
          <w:p>
            <w:pPr>
              <w:spacing w:after="0"/>
            </w:pPr>
            <w:r>
              <w:rPr>
                <w:rFonts w:ascii="Aptos" w:hAnsi="Aptos"/>
                <w:color w:val="17212B"/>
                <w:sz w:val="14"/>
              </w:rPr>
              <w:t>TransactionAuthorization</w:t>
            </w:r>
          </w:p>
        </w:tc>
        <w:tc>
          <w:tcPr>
            <w:tcW w:type="dxa" w:w="4392"/>
            <w:vAlign w:val="center"/>
            <w:tcMar>
              <w:top w:w="90" w:type="dxa"/>
              <w:start w:w="120" w:type="dxa"/>
              <w:bottom w:w="90" w:type="dxa"/>
              <w:end w:w="120" w:type="dxa"/>
            </w:tcMar>
          </w:tcPr>
          <w:p>
            <w:pPr>
              <w:spacing w:after="0"/>
            </w:pPr>
            <w:r>
              <w:rPr>
                <w:rFonts w:ascii="Aptos" w:hAnsi="Aptos"/>
                <w:color w:val="17212B"/>
                <w:sz w:val="14"/>
              </w:rPr>
              <w:t>authorizationId, acceptanceId, action, amount/currency, supplierToken, mode, idempotencyKey, userApprovalId, authorizedAt/expiresAt, receiptSignature</w:t>
            </w:r>
          </w:p>
        </w:tc>
        <w:tc>
          <w:tcPr>
            <w:tcW w:type="dxa" w:w="3096"/>
            <w:vAlign w:val="center"/>
            <w:tcMar>
              <w:top w:w="90" w:type="dxa"/>
              <w:start w:w="120" w:type="dxa"/>
              <w:bottom w:w="90" w:type="dxa"/>
              <w:end w:w="120" w:type="dxa"/>
            </w:tcMar>
          </w:tcPr>
          <w:p>
            <w:pPr>
              <w:spacing w:after="0"/>
            </w:pPr>
            <w:r>
              <w:rPr>
                <w:rFonts w:ascii="Aptos" w:hAnsi="Aptos"/>
                <w:color w:val="17212B"/>
                <w:sz w:val="14"/>
              </w:rPr>
              <w:t>Fresh separate approval; amount/merchant/action exact; SIMULATED in MVP; one receipt per key</w:t>
            </w:r>
          </w:p>
        </w:tc>
      </w:tr>
    </w:tbl>
    <w:p>
      <w:pPr>
        <w:spacing w:after="20"/>
      </w:pPr>
    </w:p>
    <w:p>
      <w:pPr>
        <w:pStyle w:val="Heading1"/>
      </w:pPr>
      <w:r>
        <w:t>Appendix B — Requirement traceability</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2448"/>
            <w:shd w:fill="17324D"/>
            <w:tcMar>
              <w:top w:w="90" w:type="dxa"/>
              <w:start w:w="120" w:type="dxa"/>
              <w:bottom w:w="90" w:type="dxa"/>
              <w:end w:w="120" w:type="dxa"/>
            </w:tcMar>
          </w:tcPr>
          <w:p>
            <w:pPr>
              <w:spacing w:after="0"/>
            </w:pPr>
            <w:r>
              <w:rPr>
                <w:rFonts w:ascii="Aptos" w:hAnsi="Aptos"/>
                <w:b/>
                <w:color w:val="FFFFFF"/>
                <w:sz w:val="15"/>
              </w:rPr>
              <w:t>Outcome</w:t>
            </w:r>
          </w:p>
        </w:tc>
        <w:tc>
          <w:tcPr>
            <w:tcW w:type="dxa" w:w="3312"/>
            <w:shd w:fill="17324D"/>
            <w:tcMar>
              <w:top w:w="90" w:type="dxa"/>
              <w:start w:w="120" w:type="dxa"/>
              <w:bottom w:w="90" w:type="dxa"/>
              <w:end w:w="120" w:type="dxa"/>
            </w:tcMar>
          </w:tcPr>
          <w:p>
            <w:pPr>
              <w:spacing w:after="0"/>
            </w:pPr>
            <w:r>
              <w:rPr>
                <w:rFonts w:ascii="Aptos" w:hAnsi="Aptos"/>
                <w:b/>
                <w:color w:val="FFFFFF"/>
                <w:sz w:val="15"/>
              </w:rPr>
              <w:t>Requirements</w:t>
            </w:r>
          </w:p>
        </w:tc>
        <w:tc>
          <w:tcPr>
            <w:tcW w:type="dxa" w:w="3600"/>
            <w:shd w:fill="17324D"/>
            <w:tcMar>
              <w:top w:w="90" w:type="dxa"/>
              <w:start w:w="120" w:type="dxa"/>
              <w:bottom w:w="90" w:type="dxa"/>
              <w:end w:w="120" w:type="dxa"/>
            </w:tcMar>
          </w:tcPr>
          <w:p>
            <w:pPr>
              <w:spacing w:after="0"/>
            </w:pPr>
            <w:r>
              <w:rPr>
                <w:rFonts w:ascii="Aptos" w:hAnsi="Aptos"/>
                <w:b/>
                <w:color w:val="FFFFFF"/>
                <w:sz w:val="15"/>
              </w:rPr>
              <w:t>Primary tests</w:t>
            </w:r>
          </w:p>
        </w:tc>
      </w:tr>
      <w:tr>
        <w:trPr>
          <w:cantSplit/>
        </w:trPr>
        <w:tc>
          <w:tcPr>
            <w:tcW w:type="dxa" w:w="2448"/>
            <w:vAlign w:val="center"/>
            <w:tcMar>
              <w:top w:w="90" w:type="dxa"/>
              <w:start w:w="120" w:type="dxa"/>
              <w:bottom w:w="90" w:type="dxa"/>
              <w:end w:w="120" w:type="dxa"/>
            </w:tcMar>
          </w:tcPr>
          <w:p>
            <w:pPr>
              <w:spacing w:after="0"/>
            </w:pPr>
            <w:r>
              <w:rPr>
                <w:rFonts w:ascii="Aptos" w:hAnsi="Aptos"/>
                <w:color w:val="17212B"/>
                <w:sz w:val="15"/>
              </w:rPr>
              <w:t>Private intent dispatch</w:t>
            </w:r>
          </w:p>
        </w:tc>
        <w:tc>
          <w:tcPr>
            <w:tcW w:type="dxa" w:w="3312"/>
            <w:vAlign w:val="center"/>
            <w:tcMar>
              <w:top w:w="90" w:type="dxa"/>
              <w:start w:w="120" w:type="dxa"/>
              <w:bottom w:w="90" w:type="dxa"/>
              <w:end w:w="120" w:type="dxa"/>
            </w:tcMar>
          </w:tcPr>
          <w:p>
            <w:pPr>
              <w:spacing w:after="0"/>
            </w:pPr>
            <w:r>
              <w:rPr>
                <w:rFonts w:ascii="Aptos" w:hAnsi="Aptos"/>
                <w:color w:val="17212B"/>
                <w:sz w:val="15"/>
              </w:rPr>
              <w:t>FR-012–015, NFR-004</w:t>
            </w:r>
          </w:p>
        </w:tc>
        <w:tc>
          <w:tcPr>
            <w:tcW w:type="dxa" w:w="3600"/>
            <w:vAlign w:val="center"/>
            <w:tcMar>
              <w:top w:w="90" w:type="dxa"/>
              <w:start w:w="120" w:type="dxa"/>
              <w:bottom w:w="90" w:type="dxa"/>
              <w:end w:w="120" w:type="dxa"/>
            </w:tcMar>
          </w:tcPr>
          <w:p>
            <w:pPr>
              <w:spacing w:after="0"/>
            </w:pPr>
            <w:r>
              <w:rPr>
                <w:rFonts w:ascii="Aptos" w:hAnsi="Aptos"/>
                <w:color w:val="17212B"/>
                <w:sz w:val="15"/>
              </w:rPr>
              <w:t>Disclosure snapshots, hash binding, supplier auth matrix</w:t>
            </w:r>
          </w:p>
        </w:tc>
      </w:tr>
      <w:tr>
        <w:trPr>
          <w:cantSplit/>
        </w:trPr>
        <w:tc>
          <w:tcPr>
            <w:tcW w:type="dxa" w:w="2448"/>
            <w:vAlign w:val="center"/>
            <w:tcMar>
              <w:top w:w="90" w:type="dxa"/>
              <w:start w:w="120" w:type="dxa"/>
              <w:bottom w:w="90" w:type="dxa"/>
              <w:end w:w="120" w:type="dxa"/>
            </w:tcMar>
            <w:shd w:fill="F8FAFB"/>
          </w:tcPr>
          <w:p>
            <w:pPr>
              <w:spacing w:after="0"/>
            </w:pPr>
            <w:r>
              <w:rPr>
                <w:rFonts w:ascii="Aptos" w:hAnsi="Aptos"/>
                <w:color w:val="17212B"/>
                <w:sz w:val="15"/>
              </w:rPr>
              <w:t>Independent competition</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FR-014–015, FR-020–022, NFR-003</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Three-agent e2e, no-cross-read red team, timeout/decline</w:t>
            </w:r>
          </w:p>
        </w:tc>
      </w:tr>
      <w:tr>
        <w:trPr>
          <w:cantSplit/>
        </w:trPr>
        <w:tc>
          <w:tcPr>
            <w:tcW w:type="dxa" w:w="2448"/>
            <w:vAlign w:val="center"/>
            <w:tcMar>
              <w:top w:w="90" w:type="dxa"/>
              <w:start w:w="120" w:type="dxa"/>
              <w:bottom w:w="90" w:type="dxa"/>
              <w:end w:w="120" w:type="dxa"/>
            </w:tcMar>
          </w:tcPr>
          <w:p>
            <w:pPr>
              <w:spacing w:after="0"/>
            </w:pPr>
            <w:r>
              <w:rPr>
                <w:rFonts w:ascii="Aptos" w:hAnsi="Aptos"/>
                <w:color w:val="17212B"/>
                <w:sz w:val="15"/>
              </w:rPr>
              <w:t>Explainable decision</w:t>
            </w:r>
          </w:p>
        </w:tc>
        <w:tc>
          <w:tcPr>
            <w:tcW w:type="dxa" w:w="3312"/>
            <w:vAlign w:val="center"/>
            <w:tcMar>
              <w:top w:w="90" w:type="dxa"/>
              <w:start w:w="120" w:type="dxa"/>
              <w:bottom w:w="90" w:type="dxa"/>
              <w:end w:w="120" w:type="dxa"/>
            </w:tcMar>
          </w:tcPr>
          <w:p>
            <w:pPr>
              <w:spacing w:after="0"/>
            </w:pPr>
            <w:r>
              <w:rPr>
                <w:rFonts w:ascii="Aptos" w:hAnsi="Aptos"/>
                <w:color w:val="17212B"/>
                <w:sz w:val="15"/>
              </w:rPr>
              <w:t>FR-010–011, FR-023–025</w:t>
            </w:r>
          </w:p>
        </w:tc>
        <w:tc>
          <w:tcPr>
            <w:tcW w:type="dxa" w:w="3600"/>
            <w:vAlign w:val="center"/>
            <w:tcMar>
              <w:top w:w="90" w:type="dxa"/>
              <w:start w:w="120" w:type="dxa"/>
              <w:bottom w:w="90" w:type="dxa"/>
              <w:end w:w="120" w:type="dxa"/>
            </w:tcMar>
          </w:tcPr>
          <w:p>
            <w:pPr>
              <w:spacing w:after="0"/>
            </w:pPr>
            <w:r>
              <w:rPr>
                <w:rFonts w:ascii="Aptos" w:hAnsi="Aptos"/>
                <w:color w:val="17212B"/>
                <w:sz w:val="15"/>
              </w:rPr>
              <w:t>Provenance coverage, ranking vectors, explanation consistency</w:t>
            </w:r>
          </w:p>
        </w:tc>
      </w:tr>
      <w:tr>
        <w:trPr>
          <w:cantSplit/>
        </w:trPr>
        <w:tc>
          <w:tcPr>
            <w:tcW w:type="dxa" w:w="2448"/>
            <w:vAlign w:val="center"/>
            <w:tcMar>
              <w:top w:w="90" w:type="dxa"/>
              <w:start w:w="120" w:type="dxa"/>
              <w:bottom w:w="90" w:type="dxa"/>
              <w:end w:w="120" w:type="dxa"/>
            </w:tcMar>
            <w:shd w:fill="F8FAFB"/>
          </w:tcPr>
          <w:p>
            <w:pPr>
              <w:spacing w:after="0"/>
            </w:pPr>
            <w:r>
              <w:rPr>
                <w:rFonts w:ascii="Aptos" w:hAnsi="Aptos"/>
                <w:color w:val="17212B"/>
                <w:sz w:val="15"/>
              </w:rPr>
              <w:t>Controlled action</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FR-030–033, NFR-005–006</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Approval transitions, expiry, idempotency/replay, simulated receipt</w:t>
            </w:r>
          </w:p>
        </w:tc>
      </w:tr>
      <w:tr>
        <w:trPr>
          <w:cantSplit/>
        </w:trPr>
        <w:tc>
          <w:tcPr>
            <w:tcW w:type="dxa" w:w="2448"/>
            <w:vAlign w:val="center"/>
            <w:tcMar>
              <w:top w:w="90" w:type="dxa"/>
              <w:start w:w="120" w:type="dxa"/>
              <w:bottom w:w="90" w:type="dxa"/>
              <w:end w:w="120" w:type="dxa"/>
            </w:tcMar>
          </w:tcPr>
          <w:p>
            <w:pPr>
              <w:spacing w:after="0"/>
            </w:pPr>
            <w:r>
              <w:rPr>
                <w:rFonts w:ascii="Aptos" w:hAnsi="Aptos"/>
                <w:color w:val="17212B"/>
                <w:sz w:val="15"/>
              </w:rPr>
              <w:t>Responsible learning</w:t>
            </w:r>
          </w:p>
        </w:tc>
        <w:tc>
          <w:tcPr>
            <w:tcW w:type="dxa" w:w="3312"/>
            <w:vAlign w:val="center"/>
            <w:tcMar>
              <w:top w:w="90" w:type="dxa"/>
              <w:start w:w="120" w:type="dxa"/>
              <w:bottom w:w="90" w:type="dxa"/>
              <w:end w:w="120" w:type="dxa"/>
            </w:tcMar>
          </w:tcPr>
          <w:p>
            <w:pPr>
              <w:spacing w:after="0"/>
            </w:pPr>
            <w:r>
              <w:rPr>
                <w:rFonts w:ascii="Aptos" w:hAnsi="Aptos"/>
                <w:color w:val="17212B"/>
                <w:sz w:val="15"/>
              </w:rPr>
              <w:t>FR-040–042</w:t>
            </w:r>
          </w:p>
        </w:tc>
        <w:tc>
          <w:tcPr>
            <w:tcW w:type="dxa" w:w="3600"/>
            <w:vAlign w:val="center"/>
            <w:tcMar>
              <w:top w:w="90" w:type="dxa"/>
              <w:start w:w="120" w:type="dxa"/>
              <w:bottom w:w="90" w:type="dxa"/>
              <w:end w:w="120" w:type="dxa"/>
            </w:tcMar>
          </w:tcPr>
          <w:p>
            <w:pPr>
              <w:spacing w:after="0"/>
            </w:pPr>
            <w:r>
              <w:rPr>
                <w:rFonts w:ascii="Aptos" w:hAnsi="Aptos"/>
                <w:color w:val="17212B"/>
                <w:sz w:val="15"/>
              </w:rPr>
              <w:t>Context mismatch, confidence/decay, correction/deletion</w:t>
            </w:r>
          </w:p>
        </w:tc>
      </w:tr>
      <w:tr>
        <w:trPr>
          <w:cantSplit/>
        </w:trPr>
        <w:tc>
          <w:tcPr>
            <w:tcW w:type="dxa" w:w="2448"/>
            <w:vAlign w:val="center"/>
            <w:tcMar>
              <w:top w:w="90" w:type="dxa"/>
              <w:start w:w="120" w:type="dxa"/>
              <w:bottom w:w="90" w:type="dxa"/>
              <w:end w:w="120" w:type="dxa"/>
            </w:tcMar>
            <w:shd w:fill="F8FAFB"/>
          </w:tcPr>
          <w:p>
            <w:pPr>
              <w:spacing w:after="0"/>
            </w:pPr>
            <w:r>
              <w:rPr>
                <w:rFonts w:ascii="Aptos" w:hAnsi="Aptos"/>
                <w:color w:val="17212B"/>
                <w:sz w:val="15"/>
              </w:rPr>
              <w:t>Commercial mobile product</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5"/>
              </w:rPr>
              <w:t>FR-002, FR-043, NFR-008–010</w:t>
            </w:r>
          </w:p>
        </w:tc>
        <w:tc>
          <w:tcPr>
            <w:tcW w:type="dxa" w:w="3600"/>
            <w:vAlign w:val="center"/>
            <w:tcMar>
              <w:top w:w="90" w:type="dxa"/>
              <w:start w:w="120" w:type="dxa"/>
              <w:bottom w:w="90" w:type="dxa"/>
              <w:end w:w="120" w:type="dxa"/>
            </w:tcMar>
            <w:shd w:fill="F8FAFB"/>
          </w:tcPr>
          <w:p>
            <w:pPr>
              <w:spacing w:after="0"/>
            </w:pPr>
            <w:r>
              <w:rPr>
                <w:rFonts w:ascii="Aptos" w:hAnsi="Aptos"/>
                <w:color w:val="17212B"/>
                <w:sz w:val="15"/>
              </w:rPr>
              <w:t>Current: accessibility on responsive web. Share extension, purchase/restore, store checklist = future productization only.</w:t>
            </w:r>
          </w:p>
        </w:tc>
      </w:tr>
    </w:tbl>
    <w:p>
      <w:pPr>
        <w:spacing w:after="20"/>
      </w:pPr>
    </w:p>
    <w:p>
      <w:pPr>
        <w:pStyle w:val="Heading1"/>
      </w:pPr>
      <w:r>
        <w:t>Appendix C — Decision log</w:t>
      </w:r>
    </w:p>
    <w:tbl>
      <w:tblPr>
        <w:tblStyle w:val="TableGrid"/>
        <w:tblW w:type="dxa" w:w="9360"/>
        <w:jc w:val="center"/>
        <w:tblLayout w:type="fixed"/>
        <w:tblLook w:firstColumn="1" w:firstRow="1" w:lastColumn="0" w:lastRow="0" w:noHBand="0" w:noVBand="1" w:val="04A0"/>
        <w:tblInd w:w="120" w:type="dxa"/>
      </w:tblPr>
      <w:tblGrid>
        <w:gridCol w:w="1941"/>
        <w:gridCol w:w="1941"/>
        <w:gridCol w:w="1941"/>
        <w:gridCol w:w="1941"/>
        <w:gridCol w:w="1941"/>
      </w:tblGrid>
      <w:tr>
        <w:trPr>
          <w:tblHeader w:val="true"/>
          <w:cantSplit/>
        </w:trPr>
        <w:tc>
          <w:tcPr>
            <w:tcW w:type="dxa" w:w="936"/>
            <w:shd w:fill="17324D"/>
            <w:tcMar>
              <w:top w:w="90" w:type="dxa"/>
              <w:start w:w="120" w:type="dxa"/>
              <w:bottom w:w="90" w:type="dxa"/>
              <w:end w:w="120" w:type="dxa"/>
            </w:tcMar>
          </w:tcPr>
          <w:p>
            <w:pPr>
              <w:spacing w:after="0"/>
            </w:pPr>
            <w:r>
              <w:rPr>
                <w:rFonts w:ascii="Aptos" w:hAnsi="Aptos"/>
                <w:b/>
                <w:color w:val="FFFFFF"/>
                <w:sz w:val="13"/>
              </w:rPr>
              <w:t>ID</w:t>
            </w:r>
          </w:p>
        </w:tc>
        <w:tc>
          <w:tcPr>
            <w:tcW w:type="dxa" w:w="1944"/>
            <w:shd w:fill="17324D"/>
            <w:tcMar>
              <w:top w:w="90" w:type="dxa"/>
              <w:start w:w="120" w:type="dxa"/>
              <w:bottom w:w="90" w:type="dxa"/>
              <w:end w:w="120" w:type="dxa"/>
            </w:tcMar>
          </w:tcPr>
          <w:p>
            <w:pPr>
              <w:spacing w:after="0"/>
            </w:pPr>
            <w:r>
              <w:rPr>
                <w:rFonts w:ascii="Aptos" w:hAnsi="Aptos"/>
                <w:b/>
                <w:color w:val="FFFFFF"/>
                <w:sz w:val="13"/>
              </w:rPr>
              <w:t>Decision</w:t>
            </w:r>
          </w:p>
        </w:tc>
        <w:tc>
          <w:tcPr>
            <w:tcW w:type="dxa" w:w="2520"/>
            <w:shd w:fill="17324D"/>
            <w:tcMar>
              <w:top w:w="90" w:type="dxa"/>
              <w:start w:w="120" w:type="dxa"/>
              <w:bottom w:w="90" w:type="dxa"/>
              <w:end w:w="120" w:type="dxa"/>
            </w:tcMar>
          </w:tcPr>
          <w:p>
            <w:pPr>
              <w:spacing w:after="0"/>
            </w:pPr>
            <w:r>
              <w:rPr>
                <w:rFonts w:ascii="Aptos" w:hAnsi="Aptos"/>
                <w:b/>
                <w:color w:val="FFFFFF"/>
                <w:sz w:val="13"/>
              </w:rPr>
              <w:t>Rationale</w:t>
            </w:r>
          </w:p>
        </w:tc>
        <w:tc>
          <w:tcPr>
            <w:tcW w:type="dxa" w:w="3096"/>
            <w:shd w:fill="17324D"/>
            <w:tcMar>
              <w:top w:w="90" w:type="dxa"/>
              <w:start w:w="120" w:type="dxa"/>
              <w:bottom w:w="90" w:type="dxa"/>
              <w:end w:w="120" w:type="dxa"/>
            </w:tcMar>
          </w:tcPr>
          <w:p>
            <w:pPr>
              <w:spacing w:after="0"/>
            </w:pPr>
            <w:r>
              <w:rPr>
                <w:rFonts w:ascii="Aptos" w:hAnsi="Aptos"/>
                <w:b/>
                <w:color w:val="FFFFFF"/>
                <w:sz w:val="13"/>
              </w:rPr>
              <w:t>Consequence</w:t>
            </w:r>
          </w:p>
        </w:tc>
        <w:tc>
          <w:tcPr>
            <w:tcW w:type="dxa" w:w="864"/>
            <w:shd w:fill="17324D"/>
            <w:tcMar>
              <w:top w:w="90" w:type="dxa"/>
              <w:start w:w="120" w:type="dxa"/>
              <w:bottom w:w="90" w:type="dxa"/>
              <w:end w:w="120" w:type="dxa"/>
            </w:tcMar>
          </w:tcPr>
          <w:p>
            <w:pPr>
              <w:spacing w:after="0"/>
            </w:pPr>
            <w:r>
              <w:rPr>
                <w:rFonts w:ascii="Aptos" w:hAnsi="Aptos"/>
                <w:b/>
                <w:color w:val="FFFFFF"/>
                <w:sz w:val="13"/>
              </w:rPr>
              <w:t>Status</w:t>
            </w:r>
          </w:p>
        </w:tc>
      </w:tr>
      <w:tr>
        <w:trPr>
          <w:cantSplit/>
        </w:trPr>
        <w:tc>
          <w:tcPr>
            <w:tcW w:type="dxa" w:w="936"/>
            <w:vAlign w:val="center"/>
            <w:tcMar>
              <w:top w:w="90" w:type="dxa"/>
              <w:start w:w="120" w:type="dxa"/>
              <w:bottom w:w="90" w:type="dxa"/>
              <w:end w:w="120" w:type="dxa"/>
            </w:tcMar>
          </w:tcPr>
          <w:p>
            <w:pPr>
              <w:spacing w:after="0"/>
            </w:pPr>
            <w:r>
              <w:rPr>
                <w:rFonts w:ascii="Aptos" w:hAnsi="Aptos"/>
                <w:color w:val="17212B"/>
                <w:sz w:val="13"/>
              </w:rPr>
              <w:t>ADR-001</w:t>
            </w:r>
          </w:p>
        </w:tc>
        <w:tc>
          <w:tcPr>
            <w:tcW w:type="dxa" w:w="1944"/>
            <w:vAlign w:val="center"/>
            <w:tcMar>
              <w:top w:w="90" w:type="dxa"/>
              <w:start w:w="120" w:type="dxa"/>
              <w:bottom w:w="90" w:type="dxa"/>
              <w:end w:w="120" w:type="dxa"/>
            </w:tcMar>
          </w:tcPr>
          <w:p>
            <w:pPr>
              <w:spacing w:after="0"/>
            </w:pPr>
            <w:r>
              <w:rPr>
                <w:rFonts w:ascii="Aptos" w:hAnsi="Aptos"/>
                <w:color w:val="17212B"/>
                <w:sz w:val="13"/>
              </w:rPr>
              <w:t>Freeze ideation; execute one narrow proof</w:t>
            </w:r>
          </w:p>
        </w:tc>
        <w:tc>
          <w:tcPr>
            <w:tcW w:type="dxa" w:w="2520"/>
            <w:vAlign w:val="center"/>
            <w:tcMar>
              <w:top w:w="90" w:type="dxa"/>
              <w:start w:w="120" w:type="dxa"/>
              <w:bottom w:w="90" w:type="dxa"/>
              <w:end w:w="120" w:type="dxa"/>
            </w:tcMar>
          </w:tcPr>
          <w:p>
            <w:pPr>
              <w:spacing w:after="0"/>
            </w:pPr>
            <w:r>
              <w:rPr>
                <w:rFonts w:ascii="Aptos" w:hAnsi="Aptos"/>
                <w:color w:val="17212B"/>
                <w:sz w:val="13"/>
              </w:rPr>
              <w:t>A broad personal procurement vision needs a credible wedge.</w:t>
            </w:r>
          </w:p>
        </w:tc>
        <w:tc>
          <w:tcPr>
            <w:tcW w:type="dxa" w:w="3096"/>
            <w:vAlign w:val="center"/>
            <w:tcMar>
              <w:top w:w="90" w:type="dxa"/>
              <w:start w:w="120" w:type="dxa"/>
              <w:bottom w:w="90" w:type="dxa"/>
              <w:end w:w="120" w:type="dxa"/>
            </w:tcMar>
          </w:tcPr>
          <w:p>
            <w:pPr>
              <w:spacing w:after="0"/>
            </w:pPr>
            <w:r>
              <w:rPr>
                <w:rFonts w:ascii="Aptos" w:hAnsi="Aptos"/>
                <w:color w:val="17212B"/>
                <w:sz w:val="13"/>
              </w:rPr>
              <w:t>Airport parking is the v1 live golden path (parking-first implementation). Other domains are architecture/roadmap or simulated fixtures, not current production capability.</w:t>
            </w:r>
          </w:p>
        </w:tc>
        <w:tc>
          <w:tcPr>
            <w:tcW w:type="dxa" w:w="864"/>
            <w:vAlign w:val="center"/>
            <w:tcMar>
              <w:top w:w="90" w:type="dxa"/>
              <w:start w:w="120" w:type="dxa"/>
              <w:bottom w:w="90" w:type="dxa"/>
              <w:end w:w="120" w:type="dxa"/>
            </w:tcMar>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ADR-002</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Buyer agent owns buyer data</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Supplier competition does not justify sharing the buyer profile.</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Raw context and preference evidence never leave Layer 1.</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tcPr>
          <w:p>
            <w:pPr>
              <w:spacing w:after="0"/>
            </w:pPr>
            <w:r>
              <w:rPr>
                <w:rFonts w:ascii="Aptos" w:hAnsi="Aptos"/>
                <w:color w:val="17212B"/>
                <w:sz w:val="13"/>
              </w:rPr>
              <w:t>ADR-003</w:t>
            </w:r>
          </w:p>
        </w:tc>
        <w:tc>
          <w:tcPr>
            <w:tcW w:type="dxa" w:w="1944"/>
            <w:vAlign w:val="center"/>
            <w:tcMar>
              <w:top w:w="90" w:type="dxa"/>
              <w:start w:w="120" w:type="dxa"/>
              <w:bottom w:w="90" w:type="dxa"/>
              <w:end w:w="120" w:type="dxa"/>
            </w:tcMar>
          </w:tcPr>
          <w:p>
            <w:pPr>
              <w:spacing w:after="0"/>
            </w:pPr>
            <w:r>
              <w:rPr>
                <w:rFonts w:ascii="Aptos" w:hAnsi="Aptos"/>
                <w:color w:val="17212B"/>
                <w:sz w:val="13"/>
              </w:rPr>
              <w:t>Minimum disclosure with explicit preview</w:t>
            </w:r>
          </w:p>
        </w:tc>
        <w:tc>
          <w:tcPr>
            <w:tcW w:type="dxa" w:w="2520"/>
            <w:vAlign w:val="center"/>
            <w:tcMar>
              <w:top w:w="90" w:type="dxa"/>
              <w:start w:w="120" w:type="dxa"/>
              <w:bottom w:w="90" w:type="dxa"/>
              <w:end w:w="120" w:type="dxa"/>
            </w:tcMar>
          </w:tcPr>
          <w:p>
            <w:pPr>
              <w:spacing w:after="0"/>
            </w:pPr>
            <w:r>
              <w:rPr>
                <w:rFonts w:ascii="Aptos" w:hAnsi="Aptos"/>
                <w:color w:val="17212B"/>
                <w:sz w:val="13"/>
              </w:rPr>
              <w:t>Consent must be specific and reviewable.</w:t>
            </w:r>
          </w:p>
        </w:tc>
        <w:tc>
          <w:tcPr>
            <w:tcW w:type="dxa" w:w="3096"/>
            <w:vAlign w:val="center"/>
            <w:tcMar>
              <w:top w:w="90" w:type="dxa"/>
              <w:start w:w="120" w:type="dxa"/>
              <w:bottom w:w="90" w:type="dxa"/>
              <w:end w:w="120" w:type="dxa"/>
            </w:tcMar>
          </w:tcPr>
          <w:p>
            <w:pPr>
              <w:spacing w:after="0"/>
            </w:pPr>
            <w:r>
              <w:rPr>
                <w:rFonts w:ascii="Aptos" w:hAnsi="Aptos"/>
                <w:color w:val="17212B"/>
                <w:sz w:val="13"/>
              </w:rPr>
              <w:t>Purchase Intent is schema-minimized and approval is hash-bound.</w:t>
            </w:r>
          </w:p>
        </w:tc>
        <w:tc>
          <w:tcPr>
            <w:tcW w:type="dxa" w:w="864"/>
            <w:vAlign w:val="center"/>
            <w:tcMar>
              <w:top w:w="90" w:type="dxa"/>
              <w:start w:w="120" w:type="dxa"/>
              <w:bottom w:w="90" w:type="dxa"/>
              <w:end w:w="120" w:type="dxa"/>
            </w:tcMar>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ADR-004</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Supplier offers are isolated</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Competition requires information asymmetry and prevents price anchoring/collusion.</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Separate principals, partitions, prompts, tokens, traces, and channels.</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tcPr>
          <w:p>
            <w:pPr>
              <w:spacing w:after="0"/>
            </w:pPr>
            <w:r>
              <w:rPr>
                <w:rFonts w:ascii="Aptos" w:hAnsi="Aptos"/>
                <w:color w:val="17212B"/>
                <w:sz w:val="13"/>
              </w:rPr>
              <w:t>ADR-005</w:t>
            </w:r>
          </w:p>
        </w:tc>
        <w:tc>
          <w:tcPr>
            <w:tcW w:type="dxa" w:w="1944"/>
            <w:vAlign w:val="center"/>
            <w:tcMar>
              <w:top w:w="90" w:type="dxa"/>
              <w:start w:w="120" w:type="dxa"/>
              <w:bottom w:w="90" w:type="dxa"/>
              <w:end w:w="120" w:type="dxa"/>
            </w:tcMar>
          </w:tcPr>
          <w:p>
            <w:pPr>
              <w:spacing w:after="0"/>
            </w:pPr>
            <w:r>
              <w:rPr>
                <w:rFonts w:ascii="Aptos" w:hAnsi="Aptos"/>
                <w:color w:val="17212B"/>
                <w:sz w:val="13"/>
              </w:rPr>
              <w:t>Multidimensional offers</w:t>
            </w:r>
          </w:p>
        </w:tc>
        <w:tc>
          <w:tcPr>
            <w:tcW w:type="dxa" w:w="2520"/>
            <w:vAlign w:val="center"/>
            <w:tcMar>
              <w:top w:w="90" w:type="dxa"/>
              <w:start w:w="120" w:type="dxa"/>
              <w:bottom w:w="90" w:type="dxa"/>
              <w:end w:w="120" w:type="dxa"/>
            </w:tcMar>
          </w:tcPr>
          <w:p>
            <w:pPr>
              <w:spacing w:after="0"/>
            </w:pPr>
            <w:r>
              <w:rPr>
                <w:rFonts w:ascii="Aptos" w:hAnsi="Aptos"/>
                <w:color w:val="17212B"/>
                <w:sz w:val="13"/>
              </w:rPr>
              <w:t>Lowest price alone does not represent buyer value.</w:t>
            </w:r>
          </w:p>
        </w:tc>
        <w:tc>
          <w:tcPr>
            <w:tcW w:type="dxa" w:w="3096"/>
            <w:vAlign w:val="center"/>
            <w:tcMar>
              <w:top w:w="90" w:type="dxa"/>
              <w:start w:w="120" w:type="dxa"/>
              <w:bottom w:w="90" w:type="dxa"/>
              <w:end w:w="120" w:type="dxa"/>
            </w:tcMar>
          </w:tcPr>
          <w:p>
            <w:pPr>
              <w:spacing w:after="0"/>
            </w:pPr>
            <w:r>
              <w:rPr>
                <w:rFonts w:ascii="Aptos" w:hAnsi="Aptos"/>
                <w:color w:val="17212B"/>
                <w:sz w:val="13"/>
              </w:rPr>
              <w:t>Terms, convenience, reliability, coverage, add-ons, validity, and trust are first-class.</w:t>
            </w:r>
          </w:p>
        </w:tc>
        <w:tc>
          <w:tcPr>
            <w:tcW w:type="dxa" w:w="864"/>
            <w:vAlign w:val="center"/>
            <w:tcMar>
              <w:top w:w="90" w:type="dxa"/>
              <w:start w:w="120" w:type="dxa"/>
              <w:bottom w:w="90" w:type="dxa"/>
              <w:end w:w="120" w:type="dxa"/>
            </w:tcMar>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ADR-006</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Buyer and supplier guardrails</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Both sides need enforceable boundaries.</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Deterministic policy gates sit outside model reasoning.</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tcPr>
          <w:p>
            <w:pPr>
              <w:spacing w:after="0"/>
            </w:pPr>
            <w:r>
              <w:rPr>
                <w:rFonts w:ascii="Aptos" w:hAnsi="Aptos"/>
                <w:color w:val="17212B"/>
                <w:sz w:val="13"/>
              </w:rPr>
              <w:t>ADR-007</w:t>
            </w:r>
          </w:p>
        </w:tc>
        <w:tc>
          <w:tcPr>
            <w:tcW w:type="dxa" w:w="1944"/>
            <w:vAlign w:val="center"/>
            <w:tcMar>
              <w:top w:w="90" w:type="dxa"/>
              <w:start w:w="120" w:type="dxa"/>
              <w:bottom w:w="90" w:type="dxa"/>
              <w:end w:w="120" w:type="dxa"/>
            </w:tcMar>
          </w:tcPr>
          <w:p>
            <w:pPr>
              <w:spacing w:after="0"/>
            </w:pPr>
            <w:r>
              <w:rPr>
                <w:rFonts w:ascii="Aptos" w:hAnsi="Aptos"/>
                <w:color w:val="17212B"/>
                <w:sz w:val="13"/>
              </w:rPr>
              <w:t>Autonomy until consequence</w:t>
            </w:r>
          </w:p>
        </w:tc>
        <w:tc>
          <w:tcPr>
            <w:tcW w:type="dxa" w:w="2520"/>
            <w:vAlign w:val="center"/>
            <w:tcMar>
              <w:top w:w="90" w:type="dxa"/>
              <w:start w:w="120" w:type="dxa"/>
              <w:bottom w:w="90" w:type="dxa"/>
              <w:end w:w="120" w:type="dxa"/>
            </w:tcMar>
          </w:tcPr>
          <w:p>
            <w:pPr>
              <w:spacing w:after="0"/>
            </w:pPr>
            <w:r>
              <w:rPr>
                <w:rFonts w:ascii="Aptos" w:hAnsi="Aptos"/>
                <w:color w:val="17212B"/>
                <w:sz w:val="13"/>
              </w:rPr>
              <w:t>Background work is valuable; disclosure and money require human control.</w:t>
            </w:r>
          </w:p>
        </w:tc>
        <w:tc>
          <w:tcPr>
            <w:tcW w:type="dxa" w:w="3096"/>
            <w:vAlign w:val="center"/>
            <w:tcMar>
              <w:top w:w="90" w:type="dxa"/>
              <w:start w:w="120" w:type="dxa"/>
              <w:bottom w:w="90" w:type="dxa"/>
              <w:end w:w="120" w:type="dxa"/>
            </w:tcMar>
          </w:tcPr>
          <w:p>
            <w:pPr>
              <w:spacing w:after="0"/>
            </w:pPr>
            <w:r>
              <w:rPr>
                <w:rFonts w:ascii="Aptos" w:hAnsi="Aptos"/>
                <w:color w:val="17212B"/>
                <w:sz w:val="13"/>
              </w:rPr>
              <w:t>Separate A2 intent and A4 transaction approvals.</w:t>
            </w:r>
          </w:p>
        </w:tc>
        <w:tc>
          <w:tcPr>
            <w:tcW w:type="dxa" w:w="864"/>
            <w:vAlign w:val="center"/>
            <w:tcMar>
              <w:top w:w="90" w:type="dxa"/>
              <w:start w:w="120" w:type="dxa"/>
              <w:bottom w:w="90" w:type="dxa"/>
              <w:end w:w="120" w:type="dxa"/>
            </w:tcMar>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ADR-008</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Simulate suppliers and transaction in MVP</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Real integrations would endanger schedule and imply unsupported commerce.</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Three realistic supplier agents and signed SIMULATED authorization receipt.</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tcPr>
          <w:p>
            <w:pPr>
              <w:spacing w:after="0"/>
            </w:pPr>
            <w:r>
              <w:rPr>
                <w:rFonts w:ascii="Aptos" w:hAnsi="Aptos"/>
                <w:color w:val="17212B"/>
                <w:sz w:val="13"/>
              </w:rPr>
              <w:t>ADR-009</w:t>
            </w:r>
          </w:p>
        </w:tc>
        <w:tc>
          <w:tcPr>
            <w:tcW w:type="dxa" w:w="1944"/>
            <w:vAlign w:val="center"/>
            <w:tcMar>
              <w:top w:w="90" w:type="dxa"/>
              <w:start w:w="120" w:type="dxa"/>
              <w:bottom w:w="90" w:type="dxa"/>
              <w:end w:w="120" w:type="dxa"/>
            </w:tcMar>
          </w:tcPr>
          <w:p>
            <w:pPr>
              <w:spacing w:after="0"/>
            </w:pPr>
            <w:r>
              <w:rPr>
                <w:rFonts w:ascii="Aptos" w:hAnsi="Aptos"/>
                <w:color w:val="17212B"/>
                <w:sz w:val="13"/>
              </w:rPr>
              <w:t>Cloud-neutral core with adapters</w:t>
            </w:r>
          </w:p>
        </w:tc>
        <w:tc>
          <w:tcPr>
            <w:tcW w:type="dxa" w:w="2520"/>
            <w:vAlign w:val="center"/>
            <w:tcMar>
              <w:top w:w="90" w:type="dxa"/>
              <w:start w:w="120" w:type="dxa"/>
              <w:bottom w:w="90" w:type="dxa"/>
              <w:end w:w="120" w:type="dxa"/>
            </w:tcMar>
          </w:tcPr>
          <w:p>
            <w:pPr>
              <w:spacing w:after="0"/>
            </w:pPr>
            <w:r>
              <w:rPr>
                <w:rFonts w:ascii="Aptos" w:hAnsi="Aptos"/>
                <w:color w:val="17212B"/>
                <w:sz w:val="13"/>
              </w:rPr>
              <w:t>Three gates should compound, not create code forks.</w:t>
            </w:r>
          </w:p>
        </w:tc>
        <w:tc>
          <w:tcPr>
            <w:tcW w:type="dxa" w:w="3096"/>
            <w:vAlign w:val="center"/>
            <w:tcMar>
              <w:top w:w="90" w:type="dxa"/>
              <w:start w:w="120" w:type="dxa"/>
              <w:bottom w:w="90" w:type="dxa"/>
              <w:end w:w="120" w:type="dxa"/>
            </w:tcMar>
          </w:tcPr>
          <w:p>
            <w:pPr>
              <w:spacing w:after="0"/>
            </w:pPr>
            <w:r>
              <w:rPr>
                <w:rFonts w:ascii="Aptos" w:hAnsi="Aptos"/>
                <w:color w:val="17212B"/>
                <w:sz w:val="13"/>
              </w:rPr>
              <w:t>Google and AWS implementations conform to ports/contracts.</w:t>
            </w:r>
          </w:p>
        </w:tc>
        <w:tc>
          <w:tcPr>
            <w:tcW w:type="dxa" w:w="864"/>
            <w:vAlign w:val="center"/>
            <w:tcMar>
              <w:top w:w="90" w:type="dxa"/>
              <w:start w:w="120" w:type="dxa"/>
              <w:bottom w:w="90" w:type="dxa"/>
              <w:end w:w="120" w:type="dxa"/>
            </w:tcMar>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ADR-010</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Share to ReservEdge is future G3 UX (historical/internal label Share-to-ITAA)</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OS share is deliberate, privacy-compatible, and avoids privileged platform access.</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Share to ReservEdge / native share extension is future G3 productization only, not a current requirement. Historical/internal label: Share-to-ITAA.</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tcPr>
          <w:p>
            <w:pPr>
              <w:spacing w:after="0"/>
            </w:pPr>
            <w:r>
              <w:rPr>
                <w:rFonts w:ascii="Aptos" w:hAnsi="Aptos"/>
                <w:color w:val="17212B"/>
                <w:sz w:val="13"/>
              </w:rPr>
              <w:t>ADR-011</w:t>
            </w:r>
          </w:p>
        </w:tc>
        <w:tc>
          <w:tcPr>
            <w:tcW w:type="dxa" w:w="1944"/>
            <w:vAlign w:val="center"/>
            <w:tcMar>
              <w:top w:w="90" w:type="dxa"/>
              <w:start w:w="120" w:type="dxa"/>
              <w:bottom w:w="90" w:type="dxa"/>
              <w:end w:w="120" w:type="dxa"/>
            </w:tcMar>
          </w:tcPr>
          <w:p>
            <w:pPr>
              <w:spacing w:after="0"/>
            </w:pPr>
            <w:r>
              <w:rPr>
                <w:rFonts w:ascii="Aptos" w:hAnsi="Aptos"/>
                <w:color w:val="17212B"/>
                <w:sz w:val="13"/>
              </w:rPr>
              <w:t>RevenueCat is commercialization, not a disposable hack</w:t>
            </w:r>
          </w:p>
        </w:tc>
        <w:tc>
          <w:tcPr>
            <w:tcW w:type="dxa" w:w="2520"/>
            <w:vAlign w:val="center"/>
            <w:tcMar>
              <w:top w:w="90" w:type="dxa"/>
              <w:start w:w="120" w:type="dxa"/>
              <w:bottom w:w="90" w:type="dxa"/>
              <w:end w:w="120" w:type="dxa"/>
            </w:tcMar>
          </w:tcPr>
          <w:p>
            <w:pPr>
              <w:spacing w:after="0"/>
            </w:pPr>
            <w:r>
              <w:rPr>
                <w:rFonts w:ascii="Aptos" w:hAnsi="Aptos"/>
                <w:color w:val="17212B"/>
                <w:sz w:val="13"/>
              </w:rPr>
              <w:t>A product must test willingness to pay and public distribution.</w:t>
            </w:r>
          </w:p>
        </w:tc>
        <w:tc>
          <w:tcPr>
            <w:tcW w:type="dxa" w:w="3096"/>
            <w:vAlign w:val="center"/>
            <w:tcMar>
              <w:top w:w="90" w:type="dxa"/>
              <w:start w:w="120" w:type="dxa"/>
              <w:bottom w:w="90" w:type="dxa"/>
              <w:end w:w="120" w:type="dxa"/>
            </w:tcMar>
          </w:tcPr>
          <w:p>
            <w:pPr>
              <w:spacing w:after="0"/>
            </w:pPr>
            <w:r>
              <w:rPr>
                <w:rFonts w:ascii="Aptos" w:hAnsi="Aptos"/>
                <w:color w:val="17212B"/>
                <w:sz w:val="13"/>
              </w:rPr>
              <w:t>Pro entitlement, store release, onboarding, and growth instrumentation.</w:t>
            </w:r>
          </w:p>
        </w:tc>
        <w:tc>
          <w:tcPr>
            <w:tcW w:type="dxa" w:w="864"/>
            <w:vAlign w:val="center"/>
            <w:tcMar>
              <w:top w:w="90" w:type="dxa"/>
              <w:start w:w="120" w:type="dxa"/>
              <w:bottom w:w="90" w:type="dxa"/>
              <w:end w:w="120" w:type="dxa"/>
            </w:tcMar>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ADR-012</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Anonymous aggregate demand deferred</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Potential value is high but privacy and market design require separate consent and controls.</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Phase 2 only, thresholded and opt-in.</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tcPr>
          <w:p>
            <w:pPr>
              <w:spacing w:after="0"/>
            </w:pPr>
            <w:r>
              <w:rPr>
                <w:rFonts w:ascii="Aptos" w:hAnsi="Aptos"/>
                <w:color w:val="17212B"/>
                <w:sz w:val="13"/>
              </w:rPr>
              <w:t>ADR-013</w:t>
            </w:r>
          </w:p>
        </w:tc>
        <w:tc>
          <w:tcPr>
            <w:tcW w:type="dxa" w:w="1944"/>
            <w:vAlign w:val="center"/>
            <w:tcMar>
              <w:top w:w="90" w:type="dxa"/>
              <w:start w:w="120" w:type="dxa"/>
              <w:bottom w:w="90" w:type="dxa"/>
              <w:end w:w="120" w:type="dxa"/>
            </w:tcMar>
          </w:tcPr>
          <w:p>
            <w:pPr>
              <w:spacing w:after="0"/>
            </w:pPr>
            <w:r>
              <w:rPr>
                <w:rFonts w:ascii="Aptos" w:hAnsi="Aptos"/>
                <w:color w:val="17212B"/>
                <w:sz w:val="13"/>
              </w:rPr>
              <w:t>Deterministic ranking; generated explanation</w:t>
            </w:r>
          </w:p>
        </w:tc>
        <w:tc>
          <w:tcPr>
            <w:tcW w:type="dxa" w:w="2520"/>
            <w:vAlign w:val="center"/>
            <w:tcMar>
              <w:top w:w="90" w:type="dxa"/>
              <w:start w:w="120" w:type="dxa"/>
              <w:bottom w:w="90" w:type="dxa"/>
              <w:end w:w="120" w:type="dxa"/>
            </w:tcMar>
          </w:tcPr>
          <w:p>
            <w:pPr>
              <w:spacing w:after="0"/>
            </w:pPr>
            <w:r>
              <w:rPr>
                <w:rFonts w:ascii="Aptos" w:hAnsi="Aptos"/>
                <w:color w:val="17212B"/>
                <w:sz w:val="13"/>
              </w:rPr>
              <w:t>Recommendation must be reproducible and auditable.</w:t>
            </w:r>
          </w:p>
        </w:tc>
        <w:tc>
          <w:tcPr>
            <w:tcW w:type="dxa" w:w="3096"/>
            <w:vAlign w:val="center"/>
            <w:tcMar>
              <w:top w:w="90" w:type="dxa"/>
              <w:start w:w="120" w:type="dxa"/>
              <w:bottom w:w="90" w:type="dxa"/>
              <w:end w:w="120" w:type="dxa"/>
            </w:tcMar>
          </w:tcPr>
          <w:p>
            <w:pPr>
              <w:spacing w:after="0"/>
            </w:pPr>
            <w:r>
              <w:rPr>
                <w:rFonts w:ascii="Aptos" w:hAnsi="Aptos"/>
                <w:color w:val="17212B"/>
                <w:sz w:val="13"/>
              </w:rPr>
              <w:t>Models may narrate stored score facts but cannot alter eligibility/score.</w:t>
            </w:r>
          </w:p>
        </w:tc>
        <w:tc>
          <w:tcPr>
            <w:tcW w:type="dxa" w:w="864"/>
            <w:vAlign w:val="center"/>
            <w:tcMar>
              <w:top w:w="90" w:type="dxa"/>
              <w:start w:w="120" w:type="dxa"/>
              <w:bottom w:w="90" w:type="dxa"/>
              <w:end w:w="120" w:type="dxa"/>
            </w:tcMar>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ADR-014</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Intent inbox over chat-first UI</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The product should surface decisions, not require continuous conversation.</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Structured cards and timelines are primary; chat only clarifies.</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Accepted</w:t>
            </w:r>
          </w:p>
        </w:tc>
      </w:tr>
      <w:tr>
        <w:trPr>
          <w:cantSplit/>
        </w:trPr>
        <w:tc>
          <w:tcPr>
            <w:tcW w:type="dxa" w:w="936"/>
            <w:vAlign w:val="center"/>
            <w:tcMar>
              <w:top w:w="90" w:type="dxa"/>
              <w:start w:w="120" w:type="dxa"/>
              <w:bottom w:w="90" w:type="dxa"/>
              <w:end w:w="120" w:type="dxa"/>
            </w:tcMar>
            <w:shd w:fill="F8FAFB"/>
          </w:tcPr>
          <w:p>
            <w:pPr>
              <w:spacing w:after="0"/>
            </w:pPr>
            <w:r>
              <w:rPr>
                <w:rFonts w:ascii="Aptos" w:hAnsi="Aptos"/>
                <w:color w:val="17212B"/>
                <w:sz w:val="13"/>
              </w:rPr>
              <w:t>ADR-015</w:t>
            </w:r>
          </w:p>
        </w:tc>
        <w:tc>
          <w:tcPr>
            <w:tcW w:type="dxa" w:w="1944"/>
            <w:vAlign w:val="center"/>
            <w:tcMar>
              <w:top w:w="90" w:type="dxa"/>
              <w:start w:w="120" w:type="dxa"/>
              <w:bottom w:w="90" w:type="dxa"/>
              <w:end w:w="120" w:type="dxa"/>
            </w:tcMar>
            <w:shd w:fill="F8FAFB"/>
          </w:tcPr>
          <w:p>
            <w:pPr>
              <w:spacing w:after="0"/>
            </w:pPr>
            <w:r>
              <w:rPr>
                <w:rFonts w:ascii="Aptos" w:hAnsi="Aptos"/>
                <w:color w:val="17212B"/>
                <w:sz w:val="13"/>
              </w:rPr>
              <w:t>Intent-first orchestration</w:t>
            </w:r>
          </w:p>
        </w:tc>
        <w:tc>
          <w:tcPr>
            <w:tcW w:type="dxa" w:w="2520"/>
            <w:vAlign w:val="center"/>
            <w:tcMar>
              <w:top w:w="90" w:type="dxa"/>
              <w:start w:w="120" w:type="dxa"/>
              <w:bottom w:w="90" w:type="dxa"/>
              <w:end w:w="120" w:type="dxa"/>
            </w:tcMar>
            <w:shd w:fill="F8FAFB"/>
          </w:tcPr>
          <w:p>
            <w:pPr>
              <w:spacing w:after="0"/>
            </w:pPr>
            <w:r>
              <w:rPr>
                <w:rFonts w:ascii="Aptos" w:hAnsi="Aptos"/>
                <w:color w:val="17212B"/>
                <w:sz w:val="13"/>
              </w:rPr>
              <w:t>Accepted DEFINITION_GATE.md freeze, 31 August 2026.</w:t>
            </w:r>
          </w:p>
        </w:tc>
        <w:tc>
          <w:tcPr>
            <w:tcW w:type="dxa" w:w="3096"/>
            <w:vAlign w:val="center"/>
            <w:tcMar>
              <w:top w:w="90" w:type="dxa"/>
              <w:start w:w="120" w:type="dxa"/>
              <w:bottom w:w="90" w:type="dxa"/>
              <w:end w:w="120" w:type="dxa"/>
            </w:tcMar>
            <w:shd w:fill="F8FAFB"/>
          </w:tcPr>
          <w:p>
            <w:pPr>
              <w:spacing w:after="0"/>
            </w:pPr>
            <w:r>
              <w:rPr>
                <w:rFonts w:ascii="Aptos" w:hAnsi="Aptos"/>
                <w:color w:val="17212B"/>
                <w:sz w:val="13"/>
              </w:rPr>
              <w:t>Parent is Intent; conversation vs structured authority; parking-first multi-domain; Cost Ledger; A4 is not Booking. See repository ADR-0006.</w:t>
            </w:r>
          </w:p>
        </w:tc>
        <w:tc>
          <w:tcPr>
            <w:tcW w:type="dxa" w:w="864"/>
            <w:vAlign w:val="center"/>
            <w:tcMar>
              <w:top w:w="90" w:type="dxa"/>
              <w:start w:w="120" w:type="dxa"/>
              <w:bottom w:w="90" w:type="dxa"/>
              <w:end w:w="120" w:type="dxa"/>
            </w:tcMar>
            <w:shd w:fill="F8FAFB"/>
          </w:tcPr>
          <w:p>
            <w:pPr>
              <w:spacing w:after="0"/>
            </w:pPr>
            <w:r>
              <w:rPr>
                <w:rFonts w:ascii="Aptos" w:hAnsi="Aptos"/>
                <w:color w:val="17212B"/>
                <w:sz w:val="13"/>
              </w:rPr>
              <w:t>Candidate</w:t>
            </w:r>
          </w:p>
        </w:tc>
      </w:tr>
    </w:tbl>
    <w:p>
      <w:pPr>
        <w:spacing w:after="20"/>
      </w:pPr>
    </w:p>
    <w:p>
      <w:pPr>
        <w:pStyle w:val="Heading1"/>
      </w:pPr>
      <w:r>
        <w:t>Appendix D — Official sources and assumptions</w:t>
      </w:r>
    </w:p>
    <w:p>
      <w:r>
        <w:t>The following sources support the competition-planning section. Requirements can change; the dated revalidation checklist is authoritative at submission time.</w:t>
      </w:r>
    </w:p>
    <w:tbl>
      <w:tblPr>
        <w:tblStyle w:val="TableGrid"/>
        <w:tblW w:type="dxa" w:w="9360"/>
        <w:jc w:val="center"/>
        <w:tblLayout w:type="fixed"/>
        <w:tblLook w:firstColumn="1" w:firstRow="1" w:lastColumn="0" w:lastRow="0" w:noHBand="0" w:noVBand="1" w:val="04A0"/>
        <w:tblInd w:w="120" w:type="dxa"/>
      </w:tblPr>
      <w:tblGrid>
        <w:gridCol w:w="3235"/>
        <w:gridCol w:w="3235"/>
        <w:gridCol w:w="3235"/>
      </w:tblGrid>
      <w:tr>
        <w:trPr>
          <w:tblHeader w:val="true"/>
          <w:cantSplit/>
        </w:trPr>
        <w:tc>
          <w:tcPr>
            <w:tcW w:type="dxa" w:w="2376"/>
            <w:shd w:fill="17324D"/>
            <w:tcMar>
              <w:top w:w="90" w:type="dxa"/>
              <w:start w:w="120" w:type="dxa"/>
              <w:bottom w:w="90" w:type="dxa"/>
              <w:end w:w="120" w:type="dxa"/>
            </w:tcMar>
          </w:tcPr>
          <w:p>
            <w:pPr>
              <w:spacing w:after="0"/>
            </w:pPr>
            <w:r>
              <w:rPr>
                <w:rFonts w:ascii="Aptos" w:hAnsi="Aptos"/>
                <w:b/>
                <w:color w:val="FFFFFF"/>
                <w:sz w:val="14"/>
              </w:rPr>
              <w:t>Source</w:t>
            </w:r>
          </w:p>
        </w:tc>
        <w:tc>
          <w:tcPr>
            <w:tcW w:type="dxa" w:w="3312"/>
            <w:shd w:fill="17324D"/>
            <w:tcMar>
              <w:top w:w="90" w:type="dxa"/>
              <w:start w:w="120" w:type="dxa"/>
              <w:bottom w:w="90" w:type="dxa"/>
              <w:end w:w="120" w:type="dxa"/>
            </w:tcMar>
          </w:tcPr>
          <w:p>
            <w:pPr>
              <w:spacing w:after="0"/>
            </w:pPr>
            <w:r>
              <w:rPr>
                <w:rFonts w:ascii="Aptos" w:hAnsi="Aptos"/>
                <w:b/>
                <w:color w:val="FFFFFF"/>
                <w:sz w:val="14"/>
              </w:rPr>
              <w:t>URL</w:t>
            </w:r>
          </w:p>
        </w:tc>
        <w:tc>
          <w:tcPr>
            <w:tcW w:type="dxa" w:w="3672"/>
            <w:shd w:fill="17324D"/>
            <w:tcMar>
              <w:top w:w="90" w:type="dxa"/>
              <w:start w:w="120" w:type="dxa"/>
              <w:bottom w:w="90" w:type="dxa"/>
              <w:end w:w="120" w:type="dxa"/>
            </w:tcMar>
          </w:tcPr>
          <w:p>
            <w:pPr>
              <w:spacing w:after="0"/>
            </w:pPr>
            <w:r>
              <w:rPr>
                <w:rFonts w:ascii="Aptos" w:hAnsi="Aptos"/>
                <w:b/>
                <w:color w:val="FFFFFF"/>
                <w:sz w:val="14"/>
              </w:rPr>
              <w:t>Use / caveat</w:t>
            </w:r>
          </w:p>
        </w:tc>
      </w:tr>
      <w:tr>
        <w:trPr>
          <w:cantSplit/>
        </w:trPr>
        <w:tc>
          <w:tcPr>
            <w:tcW w:type="dxa" w:w="2376"/>
            <w:vAlign w:val="center"/>
            <w:tcMar>
              <w:top w:w="90" w:type="dxa"/>
              <w:start w:w="120" w:type="dxa"/>
              <w:bottom w:w="90" w:type="dxa"/>
              <w:end w:w="120" w:type="dxa"/>
            </w:tcMar>
          </w:tcPr>
          <w:p>
            <w:pPr>
              <w:spacing w:after="0"/>
            </w:pPr>
            <w:r>
              <w:rPr>
                <w:rFonts w:ascii="Aptos" w:hAnsi="Aptos"/>
                <w:color w:val="17212B"/>
                <w:sz w:val="14"/>
              </w:rPr>
              <w:t>Google All Things Agentic Hackathon — Devpost overview</w:t>
            </w:r>
          </w:p>
        </w:tc>
        <w:tc>
          <w:tcPr>
            <w:tcW w:type="dxa" w:w="3312"/>
            <w:vAlign w:val="center"/>
            <w:tcMar>
              <w:top w:w="90" w:type="dxa"/>
              <w:start w:w="120" w:type="dxa"/>
              <w:bottom w:w="90" w:type="dxa"/>
              <w:end w:w="120" w:type="dxa"/>
            </w:tcMar>
          </w:tcPr>
          <w:p>
            <w:pPr>
              <w:spacing w:after="0"/>
            </w:pPr>
            <w:r>
              <w:rPr>
                <w:rFonts w:ascii="Aptos" w:hAnsi="Aptos"/>
                <w:color w:val="17212B"/>
                <w:sz w:val="14"/>
              </w:rPr>
              <w:t>https://allthingsagentichackathon.devpost.com/</w:t>
            </w:r>
          </w:p>
        </w:tc>
        <w:tc>
          <w:tcPr>
            <w:tcW w:type="dxa" w:w="3672"/>
            <w:vAlign w:val="center"/>
            <w:tcMar>
              <w:top w:w="90" w:type="dxa"/>
              <w:start w:w="120" w:type="dxa"/>
              <w:bottom w:w="90" w:type="dxa"/>
              <w:end w:w="120" w:type="dxa"/>
            </w:tcMar>
          </w:tcPr>
          <w:p>
            <w:pPr>
              <w:spacing w:after="0"/>
            </w:pPr>
            <w:r>
              <w:rPr>
                <w:rFonts w:ascii="Aptos" w:hAnsi="Aptos"/>
                <w:color w:val="17212B"/>
                <w:sz w:val="14"/>
              </w:rPr>
              <w:t>Deadline and eligibility supplied/confirmed in project context; official page was not reliably readable during this specification build. Revalidate all details.</w:t>
            </w:r>
          </w:p>
        </w:tc>
      </w:tr>
      <w:tr>
        <w:trPr>
          <w:cantSplit/>
        </w:trPr>
        <w:tc>
          <w:tcPr>
            <w:tcW w:type="dxa" w:w="2376"/>
            <w:vAlign w:val="center"/>
            <w:tcMar>
              <w:top w:w="90" w:type="dxa"/>
              <w:start w:w="120" w:type="dxa"/>
              <w:bottom w:w="90" w:type="dxa"/>
              <w:end w:w="120" w:type="dxa"/>
            </w:tcMar>
            <w:shd w:fill="F8FAFB"/>
          </w:tcPr>
          <w:p>
            <w:pPr>
              <w:spacing w:after="0"/>
            </w:pPr>
            <w:r>
              <w:rPr>
                <w:rFonts w:ascii="Aptos" w:hAnsi="Aptos"/>
                <w:color w:val="17212B"/>
                <w:sz w:val="14"/>
              </w:rPr>
              <w:t>RevenueCat Shipaton 2026 — Overview</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4"/>
              </w:rPr>
              <w:t>https://revenuecat-shipaton-2026.devpost.com/</w:t>
            </w:r>
          </w:p>
        </w:tc>
        <w:tc>
          <w:tcPr>
            <w:tcW w:type="dxa" w:w="3672"/>
            <w:vAlign w:val="center"/>
            <w:tcMar>
              <w:top w:w="90" w:type="dxa"/>
              <w:start w:w="120" w:type="dxa"/>
              <w:bottom w:w="90" w:type="dxa"/>
              <w:end w:w="120" w:type="dxa"/>
            </w:tcMar>
            <w:shd w:fill="F8FAFB"/>
          </w:tcPr>
          <w:p>
            <w:pPr>
              <w:spacing w:after="0"/>
            </w:pPr>
            <w:r>
              <w:rPr>
                <w:rFonts w:ascii="Aptos" w:hAnsi="Aptos"/>
                <w:color w:val="17212B"/>
                <w:sz w:val="14"/>
              </w:rPr>
              <w:t>Brand-new eligible mobile app, first public release in window, RevenueCat-powered purchase, submission assets and judging focus.</w:t>
            </w:r>
          </w:p>
        </w:tc>
      </w:tr>
      <w:tr>
        <w:trPr>
          <w:cantSplit/>
        </w:trPr>
        <w:tc>
          <w:tcPr>
            <w:tcW w:type="dxa" w:w="2376"/>
            <w:vAlign w:val="center"/>
            <w:tcMar>
              <w:top w:w="90" w:type="dxa"/>
              <w:start w:w="120" w:type="dxa"/>
              <w:bottom w:w="90" w:type="dxa"/>
              <w:end w:w="120" w:type="dxa"/>
            </w:tcMar>
          </w:tcPr>
          <w:p>
            <w:pPr>
              <w:spacing w:after="0"/>
            </w:pPr>
            <w:r>
              <w:rPr>
                <w:rFonts w:ascii="Aptos" w:hAnsi="Aptos"/>
                <w:color w:val="17212B"/>
                <w:sz w:val="14"/>
              </w:rPr>
              <w:t>RevenueCat Shipaton 2026 — Rules</w:t>
            </w:r>
          </w:p>
        </w:tc>
        <w:tc>
          <w:tcPr>
            <w:tcW w:type="dxa" w:w="3312"/>
            <w:vAlign w:val="center"/>
            <w:tcMar>
              <w:top w:w="90" w:type="dxa"/>
              <w:start w:w="120" w:type="dxa"/>
              <w:bottom w:w="90" w:type="dxa"/>
              <w:end w:w="120" w:type="dxa"/>
            </w:tcMar>
          </w:tcPr>
          <w:p>
            <w:pPr>
              <w:spacing w:after="0"/>
            </w:pPr>
            <w:r>
              <w:rPr>
                <w:rFonts w:ascii="Aptos" w:hAnsi="Aptos"/>
                <w:color w:val="17212B"/>
                <w:sz w:val="14"/>
              </w:rPr>
              <w:t>https://revenuecat-shipaton-2026.devpost.com/rules</w:t>
            </w:r>
          </w:p>
        </w:tc>
        <w:tc>
          <w:tcPr>
            <w:tcW w:type="dxa" w:w="3672"/>
            <w:vAlign w:val="center"/>
            <w:tcMar>
              <w:top w:w="90" w:type="dxa"/>
              <w:start w:w="120" w:type="dxa"/>
              <w:bottom w:w="90" w:type="dxa"/>
              <w:end w:w="120" w:type="dxa"/>
            </w:tcMar>
          </w:tcPr>
          <w:p>
            <w:pPr>
              <w:spacing w:after="0"/>
            </w:pPr>
            <w:r>
              <w:rPr>
                <w:rFonts w:ascii="Aptos" w:hAnsi="Aptos"/>
                <w:color w:val="17212B"/>
                <w:sz w:val="14"/>
              </w:rPr>
              <w:t>Dates; page indicated full official rules were still being finalized when checked.</w:t>
            </w:r>
          </w:p>
        </w:tc>
      </w:tr>
      <w:tr>
        <w:trPr>
          <w:cantSplit/>
        </w:trPr>
        <w:tc>
          <w:tcPr>
            <w:tcW w:type="dxa" w:w="2376"/>
            <w:vAlign w:val="center"/>
            <w:tcMar>
              <w:top w:w="90" w:type="dxa"/>
              <w:start w:w="120" w:type="dxa"/>
              <w:bottom w:w="90" w:type="dxa"/>
              <w:end w:w="120" w:type="dxa"/>
            </w:tcMar>
            <w:shd w:fill="F8FAFB"/>
          </w:tcPr>
          <w:p>
            <w:pPr>
              <w:spacing w:after="0"/>
            </w:pPr>
            <w:r>
              <w:rPr>
                <w:rFonts w:ascii="Aptos" w:hAnsi="Aptos"/>
                <w:color w:val="17212B"/>
                <w:sz w:val="14"/>
              </w:rPr>
              <w:t>RevenueCat Shipaton 2026 — Dates</w:t>
            </w:r>
          </w:p>
        </w:tc>
        <w:tc>
          <w:tcPr>
            <w:tcW w:type="dxa" w:w="3312"/>
            <w:vAlign w:val="center"/>
            <w:tcMar>
              <w:top w:w="90" w:type="dxa"/>
              <w:start w:w="120" w:type="dxa"/>
              <w:bottom w:w="90" w:type="dxa"/>
              <w:end w:w="120" w:type="dxa"/>
            </w:tcMar>
            <w:shd w:fill="F8FAFB"/>
          </w:tcPr>
          <w:p>
            <w:pPr>
              <w:spacing w:after="0"/>
            </w:pPr>
            <w:r>
              <w:rPr>
                <w:rFonts w:ascii="Aptos" w:hAnsi="Aptos"/>
                <w:color w:val="17212B"/>
                <w:sz w:val="14"/>
              </w:rPr>
              <w:t>https://revenuecat-shipaton-2026.devpost.com/details/dates</w:t>
            </w:r>
          </w:p>
        </w:tc>
        <w:tc>
          <w:tcPr>
            <w:tcW w:type="dxa" w:w="3672"/>
            <w:vAlign w:val="center"/>
            <w:tcMar>
              <w:top w:w="90" w:type="dxa"/>
              <w:start w:w="120" w:type="dxa"/>
              <w:bottom w:w="90" w:type="dxa"/>
              <w:end w:w="120" w:type="dxa"/>
            </w:tcMar>
            <w:shd w:fill="F8FAFB"/>
          </w:tcPr>
          <w:p>
            <w:pPr>
              <w:spacing w:after="0"/>
            </w:pPr>
            <w:r>
              <w:rPr>
                <w:rFonts w:ascii="Aptos" w:hAnsi="Aptos"/>
                <w:color w:val="17212B"/>
                <w:sz w:val="14"/>
              </w:rPr>
              <w:t>Submission close shown as September 30, 2026 at 11:45 PM PDT.</w:t>
            </w:r>
          </w:p>
        </w:tc>
      </w:tr>
      <w:tr>
        <w:trPr>
          <w:cantSplit/>
        </w:trPr>
        <w:tc>
          <w:tcPr>
            <w:tcW w:type="dxa" w:w="2376"/>
            <w:vAlign w:val="center"/>
            <w:tcMar>
              <w:top w:w="90" w:type="dxa"/>
              <w:start w:w="120" w:type="dxa"/>
              <w:bottom w:w="90" w:type="dxa"/>
              <w:end w:w="120" w:type="dxa"/>
            </w:tcMar>
          </w:tcPr>
          <w:p>
            <w:pPr>
              <w:spacing w:after="0"/>
            </w:pPr>
            <w:r>
              <w:rPr>
                <w:rFonts w:ascii="Aptos" w:hAnsi="Aptos"/>
                <w:color w:val="17212B"/>
                <w:sz w:val="14"/>
              </w:rPr>
              <w:t>AWS Agents for Humans — official Devpost page</w:t>
            </w:r>
          </w:p>
        </w:tc>
        <w:tc>
          <w:tcPr>
            <w:tcW w:type="dxa" w:w="3312"/>
            <w:vAlign w:val="center"/>
            <w:tcMar>
              <w:top w:w="90" w:type="dxa"/>
              <w:start w:w="120" w:type="dxa"/>
              <w:bottom w:w="90" w:type="dxa"/>
              <w:end w:w="120" w:type="dxa"/>
            </w:tcMar>
          </w:tcPr>
          <w:p>
            <w:pPr>
              <w:spacing w:after="0"/>
            </w:pPr>
            <w:r>
              <w:rPr>
                <w:rFonts w:ascii="Aptos" w:hAnsi="Aptos"/>
                <w:color w:val="17212B"/>
                <w:sz w:val="14"/>
              </w:rPr>
              <w:t>Competition link to be captured in submission evidence folder</w:t>
            </w:r>
          </w:p>
        </w:tc>
        <w:tc>
          <w:tcPr>
            <w:tcW w:type="dxa" w:w="3672"/>
            <w:vAlign w:val="center"/>
            <w:tcMar>
              <w:top w:w="90" w:type="dxa"/>
              <w:start w:w="120" w:type="dxa"/>
              <w:bottom w:w="90" w:type="dxa"/>
              <w:end w:w="120" w:type="dxa"/>
            </w:tcMar>
          </w:tcPr>
          <w:p>
            <w:pPr>
              <w:spacing w:after="0"/>
            </w:pPr>
            <w:r>
              <w:rPr>
                <w:rFonts w:ascii="Aptos" w:hAnsi="Aptos"/>
                <w:color w:val="17212B"/>
                <w:sz w:val="14"/>
              </w:rPr>
              <w:t>Deadline September 14, 2026 at 5:00 PM PDT and Strands-focused requirements were established in prior project research; revalidate exact URL and rules before build freeze.</w:t>
            </w:r>
          </w:p>
        </w:tc>
      </w:tr>
    </w:tbl>
    <w:p>
      <w:pPr>
        <w:spacing w:after="20"/>
      </w:pPr>
    </w:p>
    <w:p>
      <w:pPr>
        <w:pStyle w:val="Heading2"/>
      </w:pPr>
      <w:r>
        <w:t>Final implementation directive</w:t>
      </w:r>
    </w:p>
    <w:tbl>
      <w:tblPr>
        <w:tblW w:type="dxa" w:w="9360"/>
        <w:jc w:val="center"/>
        <w:tblLayout w:type="fixed"/>
        <w:tblLook w:firstColumn="1" w:firstRow="1" w:lastColumn="0" w:lastRow="0" w:noHBand="0" w:noVBand="1" w:val="04A0"/>
        <w:tblInd w:w="120" w:type="dxa"/>
      </w:tblPr>
      <w:tblGrid>
        <w:gridCol w:w="9432"/>
      </w:tblGrid>
      <w:tr>
        <w:trPr>
          <w:cantSplit/>
        </w:trPr>
        <w:tc>
          <w:tcPr>
            <w:tcW w:type="dxa" w:w="9432"/>
            <w:shd w:fill="F4F7F9"/>
            <w:tcMar>
              <w:top w:w="130" w:type="dxa"/>
              <w:start w:w="160" w:type="dxa"/>
              <w:bottom w:w="130" w:type="dxa"/>
              <w:end w:w="160" w:type="dxa"/>
            </w:tcMar>
          </w:tcPr>
          <w:p>
            <w:pPr>
              <w:spacing w:after="0"/>
            </w:pPr>
            <w:r>
              <w:rPr>
                <w:rFonts w:ascii="Aptos" w:hAnsi="Aptos"/>
                <w:b/>
                <w:color w:val="17324D"/>
                <w:sz w:val="17"/>
              </w:rPr>
              <w:t xml:space="preserve">BUILD RULE  </w:t>
            </w:r>
            <w:r>
              <w:rPr>
                <w:rFonts w:ascii="Aptos" w:hAnsi="Aptos"/>
                <w:b/>
                <w:color w:val="17212B"/>
                <w:sz w:val="19"/>
              </w:rPr>
              <w:t>No competition-specific feature is built unless it is mandatory for eligibility or improves the real product. Privacy, isolation, approval, simulation honesty, and the cloud-neutral domain model are never traded for demo speed.</w:t>
            </w:r>
          </w:p>
        </w:tc>
      </w:tr>
    </w:tbl>
    <w:p>
      <w:pPr>
        <w:spacing w:after="20"/>
      </w:pPr>
    </w:p>
    <w:sectPr w:rsidR="00FC693F" w:rsidRPr="0006063C" w:rsidSect="00034616">
      <w:headerReference w:type="default" r:id="rId9"/>
      <w:footerReference w:type="default" r:id="rId10"/>
      <w:footerReference w:type="first" r:id="rId11"/>
      <w:footerReference w:type="even" r:id="rId12"/>
      <w:pgSz w:w="12240" w:h="15840"/>
      <w:pgMar w:top="1181" w:right="1267" w:bottom="1181" w:left="1267"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875"/>
        <w:sz w:val="15"/>
      </w:rPr>
      <w:t xml:space="preserve">CONFIDENTIAL WORKING SPECIFICATION  •  1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875"/>
        <w:sz w:val="16"/>
      </w:rPr>
      <w:t>ReservEdge  |  PRODUCT + TECHNICAL SPECIFICATION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C8C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176B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173"/>
    </w:pPr>
    <w:rPr>
      <w:rFonts w:ascii="Aptos Mono" w:hAnsi="Aptos Mono"/>
      <w:color w:val="17212B"/>
      <w:sz w:val="15"/>
    </w:rPr>
  </w:style>
  <w:style w:type="paragraph" w:customStyle="1" w:styleId="Requirement">
    <w:name w:val="Requirement"/>
    <w:pPr>
      <w:spacing w:after="80"/>
    </w:pPr>
    <w:rPr>
      <w:rFonts w:ascii="Aptos" w:hAnsi="Aptos"/>
      <w:sz w:val="18"/>
    </w:rPr>
  </w:style>
  <w:style w:type="paragraph" w:customStyle="1" w:styleId="SmallNote">
    <w:name w:val="SmallNote"/>
    <w:pPr>
      <w:spacing w:after="80"/>
    </w:pPr>
    <w:rPr>
      <w:rFonts w:ascii="Aptos" w:hAnsi="Aptos"/>
      <w:color w:val="5B68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ReservEdge / ITAA v1 Product + Technical Specification</dc:title>
  <dc:subject>Privacy-first buyer agent and agentic offer platform</dc:subject>
  <dc:creator>ITAA Product Team</dc:creator>
  <cp:keywords>ITAA, buyer agent, intent exchange, supplier agents, RevenueCat, Google ADK, AWS Strands, ReservEdge, Intent-first</cp:keywords>
  <dc:description>v1.1 revision 2 after Product Owner G0-CHANGE-CONTROL review. Not registered.</dc:description>
  <cp:lastModifiedBy>ITAA Product Team</cp:lastModifiedBy>
  <cp:revision>2</cp:revision>
  <dcterms:created xsi:type="dcterms:W3CDTF">2013-12-23T23:15:00Z</dcterms:created>
  <dcterms:modified xsi:type="dcterms:W3CDTF">2026-09-01T16:00:00Z</dcterms:modified>
  <cp:category/>
</cp:coreProperties>
</file>