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pPr>
      <w:r>
        <w:t xml:space="preserve"/>
      </w:r>
    </w:p>
    <w:p>
      <w:pPr>
        <w:spacing w:after="8" w:before="50"/>
        <w:jc w:val="left"/>
      </w:pPr>
      <w:r>
        <w:rPr>
          <w:rFonts w:ascii="Arial" w:cs="Arial" w:eastAsia="Arial" w:hAnsi="Arial"/>
          <w:b w:val="false"/>
          <w:bCs w:val="false"/>
          <w:i/>
          <w:iCs/>
          <w:color w:val="818CF8"/>
          <w:sz w:val="18"/>
          <w:szCs w:val="18"/>
        </w:rPr>
        <w:t xml:space="preserve">BUSINESS REQUIREMENTS DOCUMENT</w:t>
      </w:r>
    </w:p>
    <w:p>
      <w:pPr>
        <w:pBdr>
          <w:bottom w:val="single" w:color="4F46E5" w:sz="16" w:space="2"/>
        </w:pBdr>
        <w:spacing w:after="10" w:before="0"/>
      </w:pPr>
      <w:r>
        <w:rPr>
          <w:rFonts w:ascii="Arial" w:cs="Arial" w:eastAsia="Arial" w:hAnsi="Arial"/>
          <w:b/>
          <w:bCs/>
          <w:i w:val="false"/>
          <w:iCs w:val="false"/>
          <w:color w:val="1E1B4B"/>
          <w:sz w:val="58"/>
          <w:szCs w:val="58"/>
        </w:rPr>
        <w:t xml:space="preserve">FTF Agentic AI Operating System</w:t>
      </w:r>
    </w:p>
    <w:p>
      <w:pPr>
        <w:spacing w:after="10" w:before="10"/>
      </w:pPr>
      <w:r>
        <w:t xml:space="preserve"/>
      </w:r>
    </w:p>
    <w:p>
      <w:pPr>
        <w:spacing w:after="8" w:before="50"/>
        <w:jc w:val="left"/>
      </w:pPr>
      <w:r>
        <w:rPr>
          <w:rFonts w:ascii="Arial" w:cs="Arial" w:eastAsia="Arial" w:hAnsi="Arial"/>
          <w:b w:val="false"/>
          <w:bCs w:val="false"/>
          <w:i w:val="false"/>
          <w:iCs w:val="false"/>
          <w:color w:val="4F46E5"/>
          <w:sz w:val="22"/>
          <w:szCs w:val="22"/>
        </w:rPr>
        <w:t xml:space="preserve">Automated Estimate Generation · AR Follow-Up · Monthly Statements · Change Order Clause</w:t>
      </w:r>
    </w:p>
    <w:p>
      <w:pPr>
        <w:spacing w:after="40" w:before="50"/>
        <w:jc w:val="left"/>
      </w:pPr>
      <w:r>
        <w:rPr>
          <w:rFonts w:ascii="Arial" w:cs="Arial" w:eastAsia="Arial" w:hAnsi="Arial"/>
          <w:b w:val="false"/>
          <w:bCs w:val="false"/>
          <w:i/>
          <w:iCs/>
          <w:color w:val="6B7280"/>
          <w:sz w:val="19"/>
          <w:szCs w:val="19"/>
        </w:rPr>
        <w:t xml:space="preserve">Complete requirements document — all sessions, all decisions, all amendments</w:t>
      </w:r>
    </w:p>
    <w:p>
      <w:pPr>
        <w:spacing w:after="1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1B4B" w:sz="1"/>
              <w:left w:val="single" w:color="1E1B4B" w:sz="1"/>
              <w:bottom w:val="single" w:color="1E1B4B" w:sz="1"/>
              <w:right w:val="single" w:color="1E1B4B" w:sz="1"/>
            </w:tcBorders>
            <w:shd w:fill="1E1B4B"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Field</w:t>
            </w:r>
          </w:p>
        </w:tc>
        <w:tc>
          <w:tcPr>
            <w:tcW w:type="dxa" w:w="6560"/>
            <w:tcBorders>
              <w:top w:val="single" w:color="1E1B4B" w:sz="1"/>
              <w:left w:val="single" w:color="1E1B4B" w:sz="1"/>
              <w:bottom w:val="single" w:color="1E1B4B" w:sz="1"/>
              <w:right w:val="single" w:color="1E1B4B" w:sz="1"/>
            </w:tcBorders>
            <w:shd w:fill="1E1B4B"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Detail</w:t>
            </w:r>
          </w:p>
        </w:tc>
      </w:tr>
      <w:tr>
        <w:tc>
          <w:tcPr>
            <w:tcW w:type="dxa" w:w="28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Document</w:t>
            </w:r>
          </w:p>
        </w:tc>
        <w:tc>
          <w:tcPr>
            <w:tcW w:type="dxa" w:w="65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Business Requirements Document (BRD) — Full Version</w:t>
            </w:r>
          </w:p>
        </w:tc>
      </w:tr>
      <w:tr>
        <w:tc>
          <w:tcPr>
            <w:tcW w:type="dxa" w:w="28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Project</w:t>
            </w:r>
          </w:p>
        </w:tc>
        <w:tc>
          <w:tcPr>
            <w:tcW w:type="dxa" w:w="656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FTF Agentic AI OS</w:t>
            </w:r>
          </w:p>
        </w:tc>
      </w:tr>
      <w:tr>
        <w:tc>
          <w:tcPr>
            <w:tcW w:type="dxa" w:w="28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Company</w:t>
            </w:r>
          </w:p>
        </w:tc>
        <w:tc>
          <w:tcPr>
            <w:tcW w:type="dxa" w:w="65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NGE (Norman G. Ehlers) — Field to Finish (FTF)</w:t>
            </w:r>
          </w:p>
        </w:tc>
      </w:tr>
      <w:tr>
        <w:tc>
          <w:tcPr>
            <w:tcW w:type="dxa" w:w="28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Version</w:t>
            </w:r>
          </w:p>
        </w:tc>
        <w:tc>
          <w:tcPr>
            <w:tcW w:type="dxa" w:w="656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2.0 — includes BRD Amendment 001 (Change Order Clause)</w:t>
            </w:r>
          </w:p>
        </w:tc>
      </w:tr>
      <w:tr>
        <w:tc>
          <w:tcPr>
            <w:tcW w:type="dxa" w:w="28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Date</w:t>
            </w:r>
          </w:p>
        </w:tc>
        <w:tc>
          <w:tcPr>
            <w:tcW w:type="dxa" w:w="65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May 2026</w:t>
            </w:r>
          </w:p>
        </w:tc>
      </w:tr>
      <w:tr>
        <w:tc>
          <w:tcPr>
            <w:tcW w:type="dxa" w:w="28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Prepared By</w:t>
            </w:r>
          </w:p>
        </w:tc>
        <w:tc>
          <w:tcPr>
            <w:tcW w:type="dxa" w:w="656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Prateek</w:t>
            </w:r>
          </w:p>
        </w:tc>
      </w:tr>
      <w:tr>
        <w:tc>
          <w:tcPr>
            <w:tcW w:type="dxa" w:w="28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Status</w:t>
            </w:r>
          </w:p>
        </w:tc>
        <w:tc>
          <w:tcPr>
            <w:tcW w:type="dxa" w:w="65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Active — pending stakeholder confirmations</w:t>
            </w:r>
          </w:p>
        </w:tc>
      </w:tr>
      <w:tr>
        <w:tc>
          <w:tcPr>
            <w:tcW w:type="dxa" w:w="28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Scope</w:t>
            </w:r>
          </w:p>
        </w:tc>
        <w:tc>
          <w:tcPr>
            <w:tcW w:type="dxa" w:w="656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FTF only (Phase 1) — POF and NGE to follow in Phase 2</w:t>
            </w:r>
          </w:p>
        </w:tc>
      </w:tr>
    </w:tbl>
    <w:p>
      <w:r>
        <w:br w:type="page"/>
      </w:r>
    </w:p>
    <w:p>
      <w:pPr>
        <w:pBdr>
          <w:bottom w:val="single" w:color="C2410C" w:sz="10" w:space="1"/>
        </w:pBdr>
        <w:spacing w:after="100" w:before="300"/>
      </w:pPr>
      <w:r>
        <w:rPr>
          <w:rFonts w:ascii="Arial" w:cs="Arial" w:eastAsia="Arial" w:hAnsi="Arial"/>
          <w:b/>
          <w:bCs/>
          <w:i w:val="false"/>
          <w:iCs w:val="false"/>
          <w:color w:val="1E1B4B"/>
          <w:sz w:val="38"/>
          <w:szCs w:val="38"/>
        </w:rPr>
        <w:t xml:space="preserve">1.  Executive Summary</w:t>
      </w:r>
    </w:p>
    <w:p>
      <w:pPr>
        <w:spacing w:after="50" w:before="50"/>
        <w:jc w:val="left"/>
      </w:pPr>
      <w:r>
        <w:rPr>
          <w:rFonts w:ascii="Arial" w:cs="Arial" w:eastAsia="Arial" w:hAnsi="Arial"/>
          <w:b w:val="false"/>
          <w:bCs w:val="false"/>
          <w:i w:val="false"/>
          <w:iCs w:val="false"/>
          <w:color w:val="1F2937"/>
          <w:sz w:val="20"/>
          <w:szCs w:val="20"/>
        </w:rPr>
        <w:t xml:space="preserve">FTF is a land surveying CRM used by NGE (Norman G. Ehlers). Currently, generating an estimate for every incoming survey order requires manual effort from Robert, Mark, or another team member — looking up the price, writing the email, and sending it. This process runs 9-to-5, Monday through Friday. Orders placed outside of business hours wait.</w:t>
      </w:r>
    </w:p>
    <w:p>
      <w:pPr>
        <w:spacing w:after="10" w:before="20"/>
      </w:pPr>
      <w:r>
        <w:t xml:space="preserve"/>
      </w:r>
    </w:p>
    <w:p>
      <w:pPr>
        <w:spacing w:after="50" w:before="50"/>
        <w:jc w:val="left"/>
      </w:pPr>
      <w:r>
        <w:rPr>
          <w:rFonts w:ascii="Arial" w:cs="Arial" w:eastAsia="Arial" w:hAnsi="Arial"/>
          <w:b w:val="false"/>
          <w:bCs w:val="false"/>
          <w:i w:val="false"/>
          <w:iCs w:val="false"/>
          <w:color w:val="1F2937"/>
          <w:sz w:val="20"/>
          <w:szCs w:val="20"/>
        </w:rPr>
        <w:t xml:space="preserve">This project builds an Agentic AI Operating System that handles the entire estimate workflow autonomously — 24 hours a day, 7 days a week. It also automates AR follow-up (chasing unpaid invoices) and monthly billing statement generation for business clients.</w:t>
      </w:r>
    </w:p>
    <w:p>
      <w:pPr>
        <w:spacing w:after="1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
              <w:bottom w:val="single" w:color="065F46" w:sz="1"/>
              <w:right w:val="single" w:color="065F46" w:sz="1"/>
            </w:tcBorders>
            <w:shd w:fill="065F46" w:val="clear"/>
            <w:tcMar>
              <w:top w:type="dxa" w:w="75"/>
              <w:left w:type="dxa" w:w="130"/>
              <w:bottom w:type="dxa" w:w="75"/>
              <w:right w:type="dxa" w:w="130"/>
            </w:tcMar>
          </w:tcPr>
          <w:p>
            <w:pPr>
              <w:spacing w:after="50" w:before="50"/>
              <w:jc w:val="left"/>
            </w:pPr>
            <w:r>
              <w:rPr>
                <w:rFonts w:ascii="Arial" w:cs="Arial" w:eastAsia="Arial" w:hAnsi="Arial"/>
                <w:b/>
                <w:bCs/>
                <w:i w:val="false"/>
                <w:iCs w:val="false"/>
                <w:color w:val="FFFFFF"/>
                <w:sz w:val="19"/>
                <w:szCs w:val="19"/>
              </w:rPr>
              <w:t xml:space="preserve">Expected Outcomes</w:t>
            </w:r>
          </w:p>
        </w:tc>
      </w:tr>
      <w:tr>
        <w:tc>
          <w:tcPr>
            <w:tcW w:type="dxa" w:w="9360"/>
            <w:tcBorders>
              <w:top w:val="single" w:color="065F46" w:sz="1"/>
              <w:left w:val="single" w:color="065F46" w:sz="1"/>
              <w:bottom w:val="single" w:color="065F46" w:sz="1"/>
              <w:right w:val="single" w:color="065F46" w:sz="1"/>
            </w:tcBorders>
            <w:shd w:fill="F0FDF4" w:val="clear"/>
            <w:tcMar>
              <w:top w:type="dxa" w:w="90"/>
              <w:left w:type="dxa" w:w="130"/>
              <w:bottom w:type="dxa" w:w="90"/>
              <w:right w:type="dxa" w:w="130"/>
            </w:tcMar>
          </w:tcPr>
          <w:p>
            <w:pPr>
              <w:pStyle w:val="ListParagraph"/>
              <w:numPr>
                <w:ilvl w:val="0"/>
                <w:numId w:val="2"/>
              </w:numPr>
              <w:spacing w:after="35" w:before="35"/>
            </w:pPr>
            <w:r>
              <w:rPr>
                <w:rFonts w:ascii="Arial" w:cs="Arial" w:eastAsia="Arial" w:hAnsi="Arial"/>
                <w:b w:val="false"/>
                <w:bCs w:val="false"/>
                <w:i w:val="false"/>
                <w:iCs w:val="false"/>
                <w:color w:val="065F46"/>
                <w:sz w:val="20"/>
                <w:szCs w:val="20"/>
              </w:rPr>
              <w:t xml:space="preserve">Estimates generated and sent within 60 minutes of any new order — at any hour</w:t>
            </w:r>
          </w:p>
          <w:p>
            <w:pPr>
              <w:pStyle w:val="ListParagraph"/>
              <w:numPr>
                <w:ilvl w:val="0"/>
                <w:numId w:val="2"/>
              </w:numPr>
              <w:spacing w:after="35" w:before="35"/>
            </w:pPr>
            <w:r>
              <w:rPr>
                <w:rFonts w:ascii="Arial" w:cs="Arial" w:eastAsia="Arial" w:hAnsi="Arial"/>
                <w:b w:val="false"/>
                <w:bCs w:val="false"/>
                <w:i w:val="false"/>
                <w:iCs w:val="false"/>
                <w:color w:val="065F46"/>
                <w:sz w:val="20"/>
                <w:szCs w:val="20"/>
              </w:rPr>
              <w:t xml:space="preserve">Zero missed orders due to business hours or staff availability</w:t>
            </w:r>
          </w:p>
          <w:p>
            <w:pPr>
              <w:pStyle w:val="ListParagraph"/>
              <w:numPr>
                <w:ilvl w:val="0"/>
                <w:numId w:val="2"/>
              </w:numPr>
              <w:spacing w:after="35" w:before="35"/>
            </w:pPr>
            <w:r>
              <w:rPr>
                <w:rFonts w:ascii="Arial" w:cs="Arial" w:eastAsia="Arial" w:hAnsi="Arial"/>
                <w:b w:val="false"/>
                <w:bCs w:val="false"/>
                <w:i w:val="false"/>
                <w:iCs w:val="false"/>
                <w:color w:val="065F46"/>
                <w:sz w:val="20"/>
                <w:szCs w:val="20"/>
              </w:rPr>
              <w:t xml:space="preserve">Consistent estimate quality — correct pricing, correct format, every time</w:t>
            </w:r>
          </w:p>
          <w:p>
            <w:pPr>
              <w:pStyle w:val="ListParagraph"/>
              <w:numPr>
                <w:ilvl w:val="0"/>
                <w:numId w:val="2"/>
              </w:numPr>
              <w:spacing w:after="35" w:before="35"/>
            </w:pPr>
            <w:r>
              <w:rPr>
                <w:rFonts w:ascii="Arial" w:cs="Arial" w:eastAsia="Arial" w:hAnsi="Arial"/>
                <w:b w:val="false"/>
                <w:bCs w:val="false"/>
                <w:i w:val="false"/>
                <w:iCs w:val="false"/>
                <w:color w:val="065F46"/>
                <w:sz w:val="20"/>
                <w:szCs w:val="20"/>
              </w:rPr>
              <w:t xml:space="preserve">Every estimate legally protected by a pre-authorised change order clause</w:t>
            </w:r>
          </w:p>
          <w:p>
            <w:pPr>
              <w:pStyle w:val="ListParagraph"/>
              <w:numPr>
                <w:ilvl w:val="0"/>
                <w:numId w:val="2"/>
              </w:numPr>
              <w:spacing w:after="35" w:before="35"/>
            </w:pPr>
            <w:r>
              <w:rPr>
                <w:rFonts w:ascii="Arial" w:cs="Arial" w:eastAsia="Arial" w:hAnsi="Arial"/>
                <w:b w:val="false"/>
                <w:bCs w:val="false"/>
                <w:i w:val="false"/>
                <w:iCs w:val="false"/>
                <w:color w:val="065F46"/>
                <w:sz w:val="20"/>
                <w:szCs w:val="20"/>
              </w:rPr>
              <w:t xml:space="preserve">Automated payment reminders with correct tone and escalation timing</w:t>
            </w:r>
          </w:p>
          <w:p>
            <w:pPr>
              <w:pStyle w:val="ListParagraph"/>
              <w:numPr>
                <w:ilvl w:val="0"/>
                <w:numId w:val="2"/>
              </w:numPr>
              <w:spacing w:after="35" w:before="35"/>
            </w:pPr>
            <w:r>
              <w:rPr>
                <w:rFonts w:ascii="Arial" w:cs="Arial" w:eastAsia="Arial" w:hAnsi="Arial"/>
                <w:b w:val="false"/>
                <w:bCs w:val="false"/>
                <w:i w:val="false"/>
                <w:iCs w:val="false"/>
                <w:color w:val="065F46"/>
                <w:sz w:val="20"/>
                <w:szCs w:val="20"/>
              </w:rPr>
              <w:t xml:space="preserve">Monthly billing statements delivered on the 1st of every month automatically</w:t>
            </w:r>
          </w:p>
          <w:p>
            <w:pPr>
              <w:pStyle w:val="ListParagraph"/>
              <w:numPr>
                <w:ilvl w:val="0"/>
                <w:numId w:val="2"/>
              </w:numPr>
              <w:spacing w:after="35" w:before="35"/>
            </w:pPr>
            <w:r>
              <w:rPr>
                <w:rFonts w:ascii="Arial" w:cs="Arial" w:eastAsia="Arial" w:hAnsi="Arial"/>
                <w:b w:val="false"/>
                <w:bCs w:val="false"/>
                <w:i w:val="false"/>
                <w:iCs w:val="false"/>
                <w:color w:val="065F46"/>
                <w:sz w:val="20"/>
                <w:szCs w:val="20"/>
              </w:rPr>
              <w:t xml:space="preserve">Human team alerted via MS Teams when any order needs manual review</w:t>
            </w:r>
          </w:p>
        </w:tc>
      </w:tr>
    </w:tbl>
    <w:p>
      <w:r>
        <w:br w:type="page"/>
      </w:r>
    </w:p>
    <w:p>
      <w:pPr>
        <w:pBdr>
          <w:bottom w:val="single" w:color="4F46E5" w:sz="10" w:space="1"/>
        </w:pBdr>
        <w:spacing w:after="100" w:before="300"/>
      </w:pPr>
      <w:r>
        <w:rPr>
          <w:rFonts w:ascii="Arial" w:cs="Arial" w:eastAsia="Arial" w:hAnsi="Arial"/>
          <w:b/>
          <w:bCs/>
          <w:i w:val="false"/>
          <w:iCs w:val="false"/>
          <w:color w:val="1E1B4B"/>
          <w:sz w:val="38"/>
          <w:szCs w:val="38"/>
        </w:rPr>
        <w:t xml:space="preserve">2.  System Architecture Overview</w:t>
      </w:r>
    </w:p>
    <w:p>
      <w:pPr>
        <w:spacing w:after="70" w:before="200"/>
      </w:pPr>
      <w:r>
        <w:rPr>
          <w:rFonts w:ascii="Arial" w:cs="Arial" w:eastAsia="Arial" w:hAnsi="Arial"/>
          <w:b/>
          <w:bCs/>
          <w:i w:val="false"/>
          <w:iCs w:val="false"/>
          <w:color w:val="1D4ED8"/>
          <w:sz w:val="28"/>
          <w:szCs w:val="28"/>
        </w:rPr>
        <w:t xml:space="preserve">Two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E1B4B" w:sz="1"/>
              <w:left w:val="single" w:color="1E1B4B" w:sz="1"/>
              <w:bottom w:val="single" w:color="1E1B4B" w:sz="1"/>
              <w:right w:val="single" w:color="1E1B4B" w:sz="1"/>
            </w:tcBorders>
            <w:shd w:fill="1E1B4B"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Layer 1 — Claude OS (.claude/)</w:t>
            </w:r>
          </w:p>
        </w:tc>
        <w:tc>
          <w:tcPr>
            <w:tcW w:type="dxa" w:w="4680"/>
            <w:tcBorders>
              <w:top w:val="single" w:color="1E1B4B" w:sz="1"/>
              <w:left w:val="single" w:color="1E1B4B" w:sz="1"/>
              <w:bottom w:val="single" w:color="1E1B4B" w:sz="1"/>
              <w:right w:val="single" w:color="1E1B4B" w:sz="1"/>
            </w:tcBorders>
            <w:shd w:fill="1E1B4B"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Layer 2 — Project Code</w:t>
            </w:r>
          </w:p>
        </w:tc>
      </w:tr>
      <w:tr>
        <w:tc>
          <w:tcPr>
            <w:tcW w:type="dxa" w:w="468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The AI's persistent identity and memory. Defines who the AI is, what it remembers about the business, and what tools it can use. Does not change between projects.</w:t>
            </w:r>
          </w:p>
        </w:tc>
        <w:tc>
          <w:tcPr>
            <w:tcW w:type="dxa" w:w="468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The actual build — agents, APIs, database, prompts, automation. Changes with each project.</w:t>
            </w:r>
          </w:p>
        </w:tc>
      </w:tr>
      <w:tr>
        <w:tc>
          <w:tcPr>
            <w:tcW w:type="dxa" w:w="468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Files: claude.md · identity.md · soul.md · user.md · memory/ · skills/ · knowledge/ · tools.md</w:t>
            </w:r>
          </w:p>
        </w:tc>
        <w:tc>
          <w:tcPr>
            <w:tcW w:type="dxa" w:w="468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Files: orchestrator.py · agents/ · core/ · config/ · db/ · tests/ · .github/workflows/</w:t>
            </w:r>
          </w:p>
        </w:tc>
      </w:tr>
    </w:tbl>
    <w:p>
      <w:pPr>
        <w:spacing w:after="10" w:before="50"/>
      </w:pPr>
      <w:r>
        <w:t xml:space="preserve"/>
      </w:r>
    </w:p>
    <w:p>
      <w:pPr>
        <w:spacing w:after="70" w:before="200"/>
      </w:pPr>
      <w:r>
        <w:rPr>
          <w:rFonts w:ascii="Arial" w:cs="Arial" w:eastAsia="Arial" w:hAnsi="Arial"/>
          <w:b/>
          <w:bCs/>
          <w:i w:val="false"/>
          <w:iCs w:val="false"/>
          <w:color w:val="1D4ED8"/>
          <w:sz w:val="28"/>
          <w:szCs w:val="28"/>
        </w:rPr>
        <w:t xml:space="preserve">Two Execution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F766E" w:sz="1"/>
              <w:left w:val="single" w:color="0F766E" w:sz="1"/>
              <w:bottom w:val="single" w:color="0F766E" w:sz="1"/>
              <w:right w:val="single" w:color="0F766E" w:sz="1"/>
            </w:tcBorders>
            <w:shd w:fill="0F766E"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AUTO Mode (Cloud — Production)</w:t>
            </w:r>
          </w:p>
        </w:tc>
        <w:tc>
          <w:tcPr>
            <w:tcW w:type="dxa" w:w="4680"/>
            <w:tcBorders>
              <w:top w:val="single" w:color="0F766E" w:sz="1"/>
              <w:left w:val="single" w:color="0F766E" w:sz="1"/>
              <w:bottom w:val="single" w:color="0F766E" w:sz="1"/>
              <w:right w:val="single" w:color="0F766E" w:sz="1"/>
            </w:tcBorders>
            <w:shd w:fill="0F766E"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MANUAL Mode (Local — Testing + Queries)</w:t>
            </w:r>
          </w:p>
        </w:tc>
      </w:tr>
      <w:tr>
        <w:tc>
          <w:tcPr>
            <w:tcW w:type="dxa" w:w="468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GitHub Actions runs all loops on schedule automatically. No human trigger required. Runs 24/7 in the cloud.</w:t>
            </w:r>
          </w:p>
        </w:tc>
        <w:tc>
          <w:tcPr>
            <w:tcW w:type="dxa" w:w="468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Developer runs CLI commands to trigger specific loops, test agents, or query data. Also exposes an MCP server for chat-based control via Claude.</w:t>
            </w:r>
          </w:p>
        </w:tc>
      </w:tr>
      <w:tr>
        <w:tc>
          <w:tcPr>
            <w:tcW w:type="dxa" w:w="468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Commands: python orchestrator.py --mode auto
Schedule defined in .github/workflows/*.yml</w:t>
            </w:r>
          </w:p>
        </w:tc>
        <w:tc>
          <w:tcPr>
            <w:tcW w:type="dxa" w:w="468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Commands: python orchestrator.py --mode manual --loop estimate
MCP server: python mcp/server.py</w:t>
            </w:r>
          </w:p>
        </w:tc>
      </w:tr>
    </w:tbl>
    <w:p>
      <w:pPr>
        <w:spacing w:after="10" w:before="50"/>
      </w:pPr>
      <w:r>
        <w:t xml:space="preserve"/>
      </w:r>
    </w:p>
    <w:p>
      <w:pPr>
        <w:spacing w:after="70" w:before="200"/>
      </w:pPr>
      <w:r>
        <w:rPr>
          <w:rFonts w:ascii="Arial" w:cs="Arial" w:eastAsia="Arial" w:hAnsi="Arial"/>
          <w:b/>
          <w:bCs/>
          <w:i w:val="false"/>
          <w:iCs w:val="false"/>
          <w:color w:val="1D4ED8"/>
          <w:sz w:val="28"/>
          <w:szCs w:val="28"/>
        </w:rPr>
        <w:t xml:space="preserve">Three Active Loops + Memory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1880"/>
        <w:gridCol w:w="1880"/>
      </w:tblGrid>
      <w:tr>
        <w:tc>
          <w:tcPr>
            <w:tcW w:type="dxa" w:w="2600"/>
            <w:tcBorders>
              <w:top w:val="single" w:color="1E1B4B" w:sz="1"/>
              <w:left w:val="single" w:color="1E1B4B" w:sz="1"/>
              <w:bottom w:val="single" w:color="1E1B4B" w:sz="1"/>
              <w:right w:val="single" w:color="1E1B4B" w:sz="1"/>
            </w:tcBorders>
            <w:shd w:fill="1E1B4B"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Loop</w:t>
            </w:r>
          </w:p>
        </w:tc>
        <w:tc>
          <w:tcPr>
            <w:tcW w:type="dxa" w:w="3000"/>
            <w:tcBorders>
              <w:top w:val="single" w:color="1E1B4B" w:sz="1"/>
              <w:left w:val="single" w:color="1E1B4B" w:sz="1"/>
              <w:bottom w:val="single" w:color="1E1B4B" w:sz="1"/>
              <w:right w:val="single" w:color="1E1B4B" w:sz="1"/>
            </w:tcBorders>
            <w:shd w:fill="1E1B4B"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What It Does</w:t>
            </w:r>
          </w:p>
        </w:tc>
        <w:tc>
          <w:tcPr>
            <w:tcW w:type="dxa" w:w="1880"/>
            <w:tcBorders>
              <w:top w:val="single" w:color="1E1B4B" w:sz="1"/>
              <w:left w:val="single" w:color="1E1B4B" w:sz="1"/>
              <w:bottom w:val="single" w:color="1E1B4B" w:sz="1"/>
              <w:right w:val="single" w:color="1E1B4B" w:sz="1"/>
            </w:tcBorders>
            <w:shd w:fill="1E1B4B"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Schedule</w:t>
            </w:r>
          </w:p>
        </w:tc>
        <w:tc>
          <w:tcPr>
            <w:tcW w:type="dxa" w:w="1880"/>
            <w:tcBorders>
              <w:top w:val="single" w:color="1E1B4B" w:sz="1"/>
              <w:left w:val="single" w:color="1E1B4B" w:sz="1"/>
              <w:bottom w:val="single" w:color="1E1B4B" w:sz="1"/>
              <w:right w:val="single" w:color="1E1B4B" w:sz="1"/>
            </w:tcBorders>
            <w:shd w:fill="1E1B4B"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Agents</w:t>
            </w:r>
          </w:p>
        </w:tc>
      </w:tr>
      <w:tr>
        <w:tc>
          <w:tcPr>
            <w:tcW w:type="dxa" w:w="26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Estimate Generation</w:t>
            </w:r>
          </w:p>
        </w:tc>
        <w:tc>
          <w:tcPr>
            <w:tcW w:type="dxa" w:w="30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Monitors FTF for new orders, classifies them, prices them, writes estimates with change order clause, reviews, and sends.</w:t>
            </w:r>
          </w:p>
        </w:tc>
        <w:tc>
          <w:tcPr>
            <w:tcW w:type="dxa" w:w="188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Every 60 minutes</w:t>
            </w:r>
          </w:p>
        </w:tc>
        <w:tc>
          <w:tcPr>
            <w:tcW w:type="dxa" w:w="188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Agents 1–9</w:t>
            </w:r>
          </w:p>
        </w:tc>
      </w:tr>
      <w:tr>
        <w:tc>
          <w:tcPr>
            <w:tcW w:type="dxa" w:w="26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AR Follow-Up</w:t>
            </w:r>
          </w:p>
        </w:tc>
        <w:tc>
          <w:tcPr>
            <w:tcW w:type="dxa" w:w="30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Scans FTF Books for unpaid invoices, schedules reminders, writes and sends personalised payment requests.</w:t>
            </w:r>
          </w:p>
        </w:tc>
        <w:tc>
          <w:tcPr>
            <w:tcW w:type="dxa" w:w="188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Daily</w:t>
            </w:r>
          </w:p>
        </w:tc>
        <w:tc>
          <w:tcPr>
            <w:tcW w:type="dxa" w:w="188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Agents 10–14</w:t>
            </w:r>
          </w:p>
        </w:tc>
      </w:tr>
      <w:tr>
        <w:tc>
          <w:tcPr>
            <w:tcW w:type="dxa" w:w="26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Monthly Statements</w:t>
            </w:r>
          </w:p>
        </w:tc>
        <w:tc>
          <w:tcPr>
            <w:tcW w:type="dxa" w:w="30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Compiles all B2B orders for the month, generates a billing statement, and delivers via MS Teams with Excel + PDF.</w:t>
            </w:r>
          </w:p>
        </w:tc>
        <w:tc>
          <w:tcPr>
            <w:tcW w:type="dxa" w:w="188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1st of every month</w:t>
            </w:r>
          </w:p>
        </w:tc>
        <w:tc>
          <w:tcPr>
            <w:tcW w:type="dxa" w:w="188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Agents 15–17</w:t>
            </w:r>
          </w:p>
        </w:tc>
      </w:tr>
      <w:tr>
        <w:tc>
          <w:tcPr>
            <w:tcW w:type="dxa" w:w="26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Memory / Dream</w:t>
            </w:r>
          </w:p>
        </w:tc>
        <w:tc>
          <w:tcPr>
            <w:tcW w:type="dxa" w:w="30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Reviews all decisions made during the day, updates long-term knowledge, clears noise, surfaces patterns. Self-improvement cycle.</w:t>
            </w:r>
          </w:p>
        </w:tc>
        <w:tc>
          <w:tcPr>
            <w:tcW w:type="dxa" w:w="188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Nightly</w:t>
            </w:r>
          </w:p>
        </w:tc>
        <w:tc>
          <w:tcPr>
            <w:tcW w:type="dxa" w:w="188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Memory Manager + Dream Processor</w:t>
            </w:r>
          </w:p>
        </w:tc>
      </w:tr>
    </w:tbl>
    <w:p>
      <w:r>
        <w:br w:type="page"/>
      </w:r>
    </w:p>
    <w:p>
      <w:pPr>
        <w:pBdr>
          <w:bottom w:val="single" w:color="0F766E" w:sz="10" w:space="1"/>
        </w:pBdr>
        <w:spacing w:after="100" w:before="300"/>
      </w:pPr>
      <w:r>
        <w:rPr>
          <w:rFonts w:ascii="Arial" w:cs="Arial" w:eastAsia="Arial" w:hAnsi="Arial"/>
          <w:b/>
          <w:bCs/>
          <w:i w:val="false"/>
          <w:iCs w:val="false"/>
          <w:color w:val="1E1B4B"/>
          <w:sz w:val="38"/>
          <w:szCs w:val="38"/>
        </w:rPr>
        <w:t xml:space="preserve">3.  All 17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3280"/>
        <w:gridCol w:w="1800"/>
        <w:gridCol w:w="1800"/>
      </w:tblGrid>
      <w:tr>
        <w:tc>
          <w:tcPr>
            <w:tcW w:type="dxa" w:w="480"/>
            <w:tcBorders>
              <w:top w:val="single" w:color="1E1B4B" w:sz="1"/>
              <w:left w:val="single" w:color="1E1B4B" w:sz="1"/>
              <w:bottom w:val="single" w:color="1E1B4B" w:sz="1"/>
              <w:right w:val="single" w:color="1E1B4B" w:sz="1"/>
            </w:tcBorders>
            <w:shd w:fill="1E1B4B"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w:t>
            </w:r>
          </w:p>
        </w:tc>
        <w:tc>
          <w:tcPr>
            <w:tcW w:type="dxa" w:w="2000"/>
            <w:tcBorders>
              <w:top w:val="single" w:color="1E1B4B" w:sz="1"/>
              <w:left w:val="single" w:color="1E1B4B" w:sz="1"/>
              <w:bottom w:val="single" w:color="1E1B4B" w:sz="1"/>
              <w:right w:val="single" w:color="1E1B4B" w:sz="1"/>
            </w:tcBorders>
            <w:shd w:fill="1E1B4B"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Agent Name</w:t>
            </w:r>
          </w:p>
        </w:tc>
        <w:tc>
          <w:tcPr>
            <w:tcW w:type="dxa" w:w="3280"/>
            <w:tcBorders>
              <w:top w:val="single" w:color="1E1B4B" w:sz="1"/>
              <w:left w:val="single" w:color="1E1B4B" w:sz="1"/>
              <w:bottom w:val="single" w:color="1E1B4B" w:sz="1"/>
              <w:right w:val="single" w:color="1E1B4B" w:sz="1"/>
            </w:tcBorders>
            <w:shd w:fill="1E1B4B"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Job</w:t>
            </w:r>
          </w:p>
        </w:tc>
        <w:tc>
          <w:tcPr>
            <w:tcW w:type="dxa" w:w="1800"/>
            <w:tcBorders>
              <w:top w:val="single" w:color="1E1B4B" w:sz="1"/>
              <w:left w:val="single" w:color="1E1B4B" w:sz="1"/>
              <w:bottom w:val="single" w:color="1E1B4B" w:sz="1"/>
              <w:right w:val="single" w:color="1E1B4B" w:sz="1"/>
            </w:tcBorders>
            <w:shd w:fill="1E1B4B"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APIs Used</w:t>
            </w:r>
          </w:p>
        </w:tc>
        <w:tc>
          <w:tcPr>
            <w:tcW w:type="dxa" w:w="1800"/>
            <w:tcBorders>
              <w:top w:val="single" w:color="1E1B4B" w:sz="1"/>
              <w:left w:val="single" w:color="1E1B4B" w:sz="1"/>
              <w:bottom w:val="single" w:color="1E1B4B" w:sz="1"/>
              <w:right w:val="single" w:color="1E1B4B" w:sz="1"/>
            </w:tcBorders>
            <w:shd w:fill="1E1B4B"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Recordings Required</w:t>
            </w:r>
          </w:p>
        </w:tc>
      </w:tr>
      <w:tr>
        <w:tc>
          <w:tcPr>
            <w:tcW w:type="dxa" w:w="9360"/>
            <w:gridSpan w:val="5"/>
            <w:tcBorders>
              <w:top w:val="single" w:color="991B1B" w:sz="1"/>
              <w:left w:val="single" w:color="991B1B" w:sz="1"/>
              <w:bottom w:val="single" w:color="991B1B" w:sz="1"/>
              <w:right w:val="single" w:color="991B1B" w:sz="1"/>
            </w:tcBorders>
            <w:shd w:fill="991B1B" w:val="clear"/>
            <w:tcMar>
              <w:top w:type="dxa" w:w="60"/>
              <w:left w:type="dxa" w:w="110"/>
              <w:bottom w:type="dxa" w:w="60"/>
              <w:right w:type="dxa" w:w="110"/>
            </w:tcMar>
          </w:tcPr>
          <w:p>
            <w:pPr>
              <w:spacing w:after="50" w:before="50"/>
              <w:jc w:val="left"/>
            </w:pPr>
            <w:r>
              <w:rPr>
                <w:rFonts w:ascii="Arial" w:cs="Arial" w:eastAsia="Arial" w:hAnsi="Arial"/>
                <w:b/>
                <w:bCs/>
                <w:i w:val="false"/>
                <w:iCs w:val="false"/>
                <w:color w:val="FFFFFF"/>
                <w:sz w:val="18"/>
                <w:szCs w:val="18"/>
              </w:rPr>
              <w:t xml:space="preserve">LOOP 1 — ESTIMATE GENERATION  (every 60 minutes)</w:t>
            </w:r>
          </w:p>
        </w:tc>
      </w:tr>
      <w:tr>
        <w:tc>
          <w:tcPr>
            <w:tcW w:type="dxa" w:w="48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6D28D9"/>
                <w:sz w:val="18"/>
                <w:szCs w:val="18"/>
              </w:rPr>
              <w:t xml:space="preserve">1</w:t>
            </w:r>
          </w:p>
        </w:tc>
        <w:tc>
          <w:tcPr>
            <w:tcW w:type="dxa" w:w="20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1E1B4B"/>
                <w:sz w:val="18"/>
                <w:szCs w:val="18"/>
              </w:rPr>
              <w:t xml:space="preserve">Orchestrator</w:t>
            </w:r>
          </w:p>
        </w:tc>
        <w:tc>
          <w:tcPr>
            <w:tcW w:type="dxa" w:w="328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Master controller. Imports all agents and loops. Entry point for both AUTO and MANUAL modes. Routes between loops.</w:t>
            </w:r>
          </w:p>
        </w:tc>
        <w:tc>
          <w:tcPr>
            <w:tcW w:type="dxa" w:w="18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0F766E"/>
                <w:sz w:val="18"/>
                <w:szCs w:val="18"/>
              </w:rPr>
              <w:t xml:space="preserve">None</w:t>
            </w:r>
          </w:p>
        </w:tc>
        <w:tc>
          <w:tcPr>
            <w:tcW w:type="dxa" w:w="18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C2410C"/>
                <w:sz w:val="18"/>
                <w:szCs w:val="18"/>
              </w:rPr>
              <w:t xml:space="preserve">None</w:t>
            </w:r>
          </w:p>
        </w:tc>
      </w:tr>
      <w:tr>
        <w:tc>
          <w:tcPr>
            <w:tcW w:type="dxa" w:w="48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6D28D9"/>
                <w:sz w:val="18"/>
                <w:szCs w:val="18"/>
              </w:rPr>
              <w:t xml:space="preserve">2</w:t>
            </w:r>
          </w:p>
        </w:tc>
        <w:tc>
          <w:tcPr>
            <w:tcW w:type="dxa" w:w="20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1E1B4B"/>
                <w:sz w:val="18"/>
                <w:szCs w:val="18"/>
              </w:rPr>
              <w:t xml:space="preserve">Monitor</w:t>
            </w:r>
          </w:p>
        </w:tc>
        <w:tc>
          <w:tcPr>
            <w:tcW w:type="dxa" w:w="328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Polls FTF CRM every 60 minutes for new orders with estimate_sent = false. Filters out already-processed orders.</w:t>
            </w:r>
          </w:p>
        </w:tc>
        <w:tc>
          <w:tcPr>
            <w:tcW w:type="dxa" w:w="18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0F766E"/>
                <w:sz w:val="18"/>
                <w:szCs w:val="18"/>
              </w:rPr>
              <w:t xml:space="preserve">FTF CRM</w:t>
            </w:r>
          </w:p>
        </w:tc>
        <w:tc>
          <w:tcPr>
            <w:tcW w:type="dxa" w:w="18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C2410C"/>
                <w:sz w:val="18"/>
                <w:szCs w:val="18"/>
              </w:rPr>
              <w:t xml:space="preserve">1, 2</w:t>
            </w:r>
          </w:p>
        </w:tc>
      </w:tr>
      <w:tr>
        <w:tc>
          <w:tcPr>
            <w:tcW w:type="dxa" w:w="48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6D28D9"/>
                <w:sz w:val="18"/>
                <w:szCs w:val="18"/>
              </w:rPr>
              <w:t xml:space="preserve">3</w:t>
            </w:r>
          </w:p>
        </w:tc>
        <w:tc>
          <w:tcPr>
            <w:tcW w:type="dxa" w:w="20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1E1B4B"/>
                <w:sz w:val="18"/>
                <w:szCs w:val="18"/>
              </w:rPr>
              <w:t xml:space="preserve">Classifier</w:t>
            </w:r>
          </w:p>
        </w:tc>
        <w:tc>
          <w:tcPr>
            <w:tcW w:type="dxa" w:w="328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Reads full order and customer profile. Determines: customer type (individual/B2B), FEMA flood zone check, pricing tier, flag triggers. Outputs structured classification.</w:t>
            </w:r>
          </w:p>
        </w:tc>
        <w:tc>
          <w:tcPr>
            <w:tcW w:type="dxa" w:w="18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0F766E"/>
                <w:sz w:val="18"/>
                <w:szCs w:val="18"/>
              </w:rPr>
              <w:t xml:space="preserve">FTF CRM · FEMA</w:t>
            </w:r>
          </w:p>
        </w:tc>
        <w:tc>
          <w:tcPr>
            <w:tcW w:type="dxa" w:w="18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C2410C"/>
                <w:sz w:val="18"/>
                <w:szCs w:val="18"/>
              </w:rPr>
              <w:t xml:space="preserve">1–9, 13–15</w:t>
            </w:r>
          </w:p>
        </w:tc>
      </w:tr>
      <w:tr>
        <w:tc>
          <w:tcPr>
            <w:tcW w:type="dxa" w:w="48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6D28D9"/>
                <w:sz w:val="18"/>
                <w:szCs w:val="18"/>
              </w:rPr>
              <w:t xml:space="preserve">4</w:t>
            </w:r>
          </w:p>
        </w:tc>
        <w:tc>
          <w:tcPr>
            <w:tcW w:type="dxa" w:w="20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1E1B4B"/>
                <w:sz w:val="18"/>
                <w:szCs w:val="18"/>
              </w:rPr>
              <w:t xml:space="preserve">Human Gate</w:t>
            </w:r>
          </w:p>
        </w:tc>
        <w:tc>
          <w:tcPr>
            <w:tcW w:type="dxa" w:w="328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Evaluates classifier output against all 8 flag triggers. Routes flagged orders to human review via MS Teams. Approved orders continue automatically.</w:t>
            </w:r>
          </w:p>
        </w:tc>
        <w:tc>
          <w:tcPr>
            <w:tcW w:type="dxa" w:w="18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0F766E"/>
                <w:sz w:val="18"/>
                <w:szCs w:val="18"/>
              </w:rPr>
              <w:t xml:space="preserve">FTF CRM</w:t>
            </w:r>
          </w:p>
        </w:tc>
        <w:tc>
          <w:tcPr>
            <w:tcW w:type="dxa" w:w="18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C2410C"/>
                <w:sz w:val="18"/>
                <w:szCs w:val="18"/>
              </w:rPr>
              <w:t xml:space="preserve">5,6,7,8,9,14,15</w:t>
            </w:r>
          </w:p>
        </w:tc>
      </w:tr>
      <w:tr>
        <w:tc>
          <w:tcPr>
            <w:tcW w:type="dxa" w:w="48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6D28D9"/>
                <w:sz w:val="18"/>
                <w:szCs w:val="18"/>
              </w:rPr>
              <w:t xml:space="preserve">5</w:t>
            </w:r>
          </w:p>
        </w:tc>
        <w:tc>
          <w:tcPr>
            <w:tcW w:type="dxa" w:w="20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1E1B4B"/>
                <w:sz w:val="18"/>
                <w:szCs w:val="18"/>
              </w:rPr>
              <w:t xml:space="preserve">Pricing Engine</w:t>
            </w:r>
          </w:p>
        </w:tc>
        <w:tc>
          <w:tcPr>
            <w:tcW w:type="dxa" w:w="328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Two-level lookup: checks per-company override first, then global rate. Handles all 24 service types. Raises error if service name not found.</w:t>
            </w:r>
          </w:p>
        </w:tc>
        <w:tc>
          <w:tcPr>
            <w:tcW w:type="dxa" w:w="18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0F766E"/>
                <w:sz w:val="18"/>
                <w:szCs w:val="18"/>
              </w:rPr>
              <w:t xml:space="preserve">Pricing API</w:t>
            </w:r>
          </w:p>
        </w:tc>
        <w:tc>
          <w:tcPr>
            <w:tcW w:type="dxa" w:w="18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C2410C"/>
                <w:sz w:val="18"/>
                <w:szCs w:val="18"/>
              </w:rPr>
              <w:t xml:space="preserve">3, 12, 13–15</w:t>
            </w:r>
          </w:p>
        </w:tc>
      </w:tr>
      <w:tr>
        <w:tc>
          <w:tcPr>
            <w:tcW w:type="dxa" w:w="48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6D28D9"/>
                <w:sz w:val="18"/>
                <w:szCs w:val="18"/>
              </w:rPr>
              <w:t xml:space="preserve">6</w:t>
            </w:r>
          </w:p>
        </w:tc>
        <w:tc>
          <w:tcPr>
            <w:tcW w:type="dxa" w:w="20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1E1B4B"/>
                <w:sz w:val="18"/>
                <w:szCs w:val="18"/>
              </w:rPr>
              <w:t xml:space="preserve">Writer</w:t>
            </w:r>
          </w:p>
        </w:tc>
        <w:tc>
          <w:tcPr>
            <w:tcW w:type="dxa" w:w="328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Generates personalised estimate email. Appends change order clause from knowledge_base/change_order_clause.txt. Tailors tone for individual vs B2B.</w:t>
            </w:r>
          </w:p>
        </w:tc>
        <w:tc>
          <w:tcPr>
            <w:tcW w:type="dxa" w:w="18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0F766E"/>
                <w:sz w:val="18"/>
                <w:szCs w:val="18"/>
              </w:rPr>
              <w:t xml:space="preserve">Claude API</w:t>
            </w:r>
          </w:p>
        </w:tc>
        <w:tc>
          <w:tcPr>
            <w:tcW w:type="dxa" w:w="18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C2410C"/>
                <w:sz w:val="18"/>
                <w:szCs w:val="18"/>
              </w:rPr>
              <w:t xml:space="preserve">1, 2, 3, 4, 12</w:t>
            </w:r>
          </w:p>
        </w:tc>
      </w:tr>
      <w:tr>
        <w:tc>
          <w:tcPr>
            <w:tcW w:type="dxa" w:w="48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6D28D9"/>
                <w:sz w:val="18"/>
                <w:szCs w:val="18"/>
              </w:rPr>
              <w:t xml:space="preserve">7</w:t>
            </w:r>
          </w:p>
        </w:tc>
        <w:tc>
          <w:tcPr>
            <w:tcW w:type="dxa" w:w="20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1E1B4B"/>
                <w:sz w:val="18"/>
                <w:szCs w:val="18"/>
              </w:rPr>
              <w:t xml:space="preserve">Reviewer</w:t>
            </w:r>
          </w:p>
        </w:tc>
        <w:tc>
          <w:tcPr>
            <w:tcW w:type="dxa" w:w="328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Validates estimate against original order: pricing accuracy, customer name and address, service description, change order clause present and unmodified. Max 3 correction loops.</w:t>
            </w:r>
          </w:p>
        </w:tc>
        <w:tc>
          <w:tcPr>
            <w:tcW w:type="dxa" w:w="18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0F766E"/>
                <w:sz w:val="18"/>
                <w:szCs w:val="18"/>
              </w:rPr>
              <w:t xml:space="preserve">FTF CRM · Claude API</w:t>
            </w:r>
          </w:p>
        </w:tc>
        <w:tc>
          <w:tcPr>
            <w:tcW w:type="dxa" w:w="18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C2410C"/>
                <w:sz w:val="18"/>
                <w:szCs w:val="18"/>
              </w:rPr>
              <w:t xml:space="preserve">1, 2, 12</w:t>
            </w:r>
          </w:p>
        </w:tc>
      </w:tr>
      <w:tr>
        <w:tc>
          <w:tcPr>
            <w:tcW w:type="dxa" w:w="48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6D28D9"/>
                <w:sz w:val="18"/>
                <w:szCs w:val="18"/>
              </w:rPr>
              <w:t xml:space="preserve">8</w:t>
            </w:r>
          </w:p>
        </w:tc>
        <w:tc>
          <w:tcPr>
            <w:tcW w:type="dxa" w:w="20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1E1B4B"/>
                <w:sz w:val="18"/>
                <w:szCs w:val="18"/>
              </w:rPr>
              <w:t xml:space="preserve">Sender</w:t>
            </w:r>
          </w:p>
        </w:tc>
        <w:tc>
          <w:tcPr>
            <w:tcW w:type="dxa" w:w="328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Creates invoice in FTF Books. Sends payment request email. Marks order as estimate_sent in FTF CRM. Applies random 6–13 minute delay.</w:t>
            </w:r>
          </w:p>
        </w:tc>
        <w:tc>
          <w:tcPr>
            <w:tcW w:type="dxa" w:w="18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0F766E"/>
                <w:sz w:val="18"/>
                <w:szCs w:val="18"/>
              </w:rPr>
              <w:t xml:space="preserve">FTF CRM · FTF Books</w:t>
            </w:r>
          </w:p>
        </w:tc>
        <w:tc>
          <w:tcPr>
            <w:tcW w:type="dxa" w:w="18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C2410C"/>
                <w:sz w:val="18"/>
                <w:szCs w:val="18"/>
              </w:rPr>
              <w:t xml:space="preserve">1, 2</w:t>
            </w:r>
          </w:p>
        </w:tc>
      </w:tr>
      <w:tr>
        <w:tc>
          <w:tcPr>
            <w:tcW w:type="dxa" w:w="48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6D28D9"/>
                <w:sz w:val="18"/>
                <w:szCs w:val="18"/>
              </w:rPr>
              <w:t xml:space="preserve">9</w:t>
            </w:r>
          </w:p>
        </w:tc>
        <w:tc>
          <w:tcPr>
            <w:tcW w:type="dxa" w:w="20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1E1B4B"/>
                <w:sz w:val="18"/>
                <w:szCs w:val="18"/>
              </w:rPr>
              <w:t xml:space="preserve">Reporter</w:t>
            </w:r>
          </w:p>
        </w:tc>
        <w:tc>
          <w:tcPr>
            <w:tcW w:type="dxa" w:w="328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Compiles daily activity summary. Sends to Ryan, Robert/Mark, Jessica, Wyatt via MS Teams and email.</w:t>
            </w:r>
          </w:p>
        </w:tc>
        <w:tc>
          <w:tcPr>
            <w:tcW w:type="dxa" w:w="18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0F766E"/>
                <w:sz w:val="18"/>
                <w:szCs w:val="18"/>
              </w:rPr>
              <w:t xml:space="preserve">Claude API</w:t>
            </w:r>
          </w:p>
        </w:tc>
        <w:tc>
          <w:tcPr>
            <w:tcW w:type="dxa" w:w="18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C2410C"/>
                <w:sz w:val="18"/>
                <w:szCs w:val="18"/>
              </w:rPr>
              <w:t xml:space="preserve">None</w:t>
            </w:r>
          </w:p>
        </w:tc>
      </w:tr>
      <w:tr>
        <w:tc>
          <w:tcPr>
            <w:tcW w:type="dxa" w:w="9360"/>
            <w:gridSpan w:val="5"/>
            <w:tcBorders>
              <w:top w:val="single" w:color="6D28D9" w:sz="1"/>
              <w:left w:val="single" w:color="6D28D9" w:sz="1"/>
              <w:bottom w:val="single" w:color="6D28D9" w:sz="1"/>
              <w:right w:val="single" w:color="6D28D9" w:sz="1"/>
            </w:tcBorders>
            <w:shd w:fill="6D28D9" w:val="clear"/>
            <w:tcMar>
              <w:top w:type="dxa" w:w="60"/>
              <w:left w:type="dxa" w:w="110"/>
              <w:bottom w:type="dxa" w:w="60"/>
              <w:right w:type="dxa" w:w="110"/>
            </w:tcMar>
          </w:tcPr>
          <w:p>
            <w:pPr>
              <w:spacing w:after="50" w:before="50"/>
              <w:jc w:val="left"/>
            </w:pPr>
            <w:r>
              <w:rPr>
                <w:rFonts w:ascii="Arial" w:cs="Arial" w:eastAsia="Arial" w:hAnsi="Arial"/>
                <w:b/>
                <w:bCs/>
                <w:i w:val="false"/>
                <w:iCs w:val="false"/>
                <w:color w:val="FFFFFF"/>
                <w:sz w:val="18"/>
                <w:szCs w:val="18"/>
              </w:rPr>
              <w:t xml:space="preserve">LOOP 2 — AR FOLLOW-UP  (daily)</w:t>
            </w:r>
          </w:p>
        </w:tc>
      </w:tr>
      <w:tr>
        <w:tc>
          <w:tcPr>
            <w:tcW w:type="dxa" w:w="48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6D28D9"/>
                <w:sz w:val="18"/>
                <w:szCs w:val="18"/>
              </w:rPr>
              <w:t xml:space="preserve">10</w:t>
            </w:r>
          </w:p>
        </w:tc>
        <w:tc>
          <w:tcPr>
            <w:tcW w:type="dxa" w:w="20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1E1B4B"/>
                <w:sz w:val="18"/>
                <w:szCs w:val="18"/>
              </w:rPr>
              <w:t xml:space="preserve">AR Scanner</w:t>
            </w:r>
          </w:p>
        </w:tc>
        <w:tc>
          <w:tcPr>
            <w:tcW w:type="dxa" w:w="328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Pulls all unpaid invoices from FTF Books. Filters by days overdue. Passes to Scheduler.</w:t>
            </w:r>
          </w:p>
        </w:tc>
        <w:tc>
          <w:tcPr>
            <w:tcW w:type="dxa" w:w="18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0F766E"/>
                <w:sz w:val="18"/>
                <w:szCs w:val="18"/>
              </w:rPr>
              <w:t xml:space="preserve">FTF Books</w:t>
            </w:r>
          </w:p>
        </w:tc>
        <w:tc>
          <w:tcPr>
            <w:tcW w:type="dxa" w:w="18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C2410C"/>
                <w:sz w:val="18"/>
                <w:szCs w:val="18"/>
              </w:rPr>
              <w:t xml:space="preserve">10 (Jessica)</w:t>
            </w:r>
          </w:p>
        </w:tc>
      </w:tr>
      <w:tr>
        <w:tc>
          <w:tcPr>
            <w:tcW w:type="dxa" w:w="48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6D28D9"/>
                <w:sz w:val="18"/>
                <w:szCs w:val="18"/>
              </w:rPr>
              <w:t xml:space="preserve">11</w:t>
            </w:r>
          </w:p>
        </w:tc>
        <w:tc>
          <w:tcPr>
            <w:tcW w:type="dxa" w:w="20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1E1B4B"/>
                <w:sz w:val="18"/>
                <w:szCs w:val="18"/>
              </w:rPr>
              <w:t xml:space="preserve">Scheduler</w:t>
            </w:r>
          </w:p>
        </w:tc>
        <w:tc>
          <w:tcPr>
            <w:tcW w:type="dxa" w:w="328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Calculates next reminder date based on invoice age. Applies reminder schedule: 5 days before, 2-3 days before, due date, every 3 days after.</w:t>
            </w:r>
          </w:p>
        </w:tc>
        <w:tc>
          <w:tcPr>
            <w:tcW w:type="dxa" w:w="18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0F766E"/>
                <w:sz w:val="18"/>
                <w:szCs w:val="18"/>
              </w:rPr>
              <w:t xml:space="preserve">FTF Books</w:t>
            </w:r>
          </w:p>
        </w:tc>
        <w:tc>
          <w:tcPr>
            <w:tcW w:type="dxa" w:w="18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C2410C"/>
                <w:sz w:val="18"/>
                <w:szCs w:val="18"/>
              </w:rPr>
              <w:t xml:space="preserve">10 (Jessica)</w:t>
            </w:r>
          </w:p>
        </w:tc>
      </w:tr>
      <w:tr>
        <w:tc>
          <w:tcPr>
            <w:tcW w:type="dxa" w:w="48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6D28D9"/>
                <w:sz w:val="18"/>
                <w:szCs w:val="18"/>
              </w:rPr>
              <w:t xml:space="preserve">12</w:t>
            </w:r>
          </w:p>
        </w:tc>
        <w:tc>
          <w:tcPr>
            <w:tcW w:type="dxa" w:w="20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1E1B4B"/>
                <w:sz w:val="18"/>
                <w:szCs w:val="18"/>
              </w:rPr>
              <w:t xml:space="preserve">Reminder Writer</w:t>
            </w:r>
          </w:p>
        </w:tc>
        <w:tc>
          <w:tcPr>
            <w:tcW w:type="dxa" w:w="328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Generates personalised payment reminder. Tone scales automatically: friendly → firm → urgent based on days overdue.</w:t>
            </w:r>
          </w:p>
        </w:tc>
        <w:tc>
          <w:tcPr>
            <w:tcW w:type="dxa" w:w="18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0F766E"/>
                <w:sz w:val="18"/>
                <w:szCs w:val="18"/>
              </w:rPr>
              <w:t xml:space="preserve">Claude API</w:t>
            </w:r>
          </w:p>
        </w:tc>
        <w:tc>
          <w:tcPr>
            <w:tcW w:type="dxa" w:w="18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C2410C"/>
                <w:sz w:val="18"/>
                <w:szCs w:val="18"/>
              </w:rPr>
              <w:t xml:space="preserve">10 (Jessica)</w:t>
            </w:r>
          </w:p>
        </w:tc>
      </w:tr>
      <w:tr>
        <w:tc>
          <w:tcPr>
            <w:tcW w:type="dxa" w:w="48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6D28D9"/>
                <w:sz w:val="18"/>
                <w:szCs w:val="18"/>
              </w:rPr>
              <w:t xml:space="preserve">13</w:t>
            </w:r>
          </w:p>
        </w:tc>
        <w:tc>
          <w:tcPr>
            <w:tcW w:type="dxa" w:w="20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1E1B4B"/>
                <w:sz w:val="18"/>
                <w:szCs w:val="18"/>
              </w:rPr>
              <w:t xml:space="preserve">AR Reviewer</w:t>
            </w:r>
          </w:p>
        </w:tc>
        <w:tc>
          <w:tcPr>
            <w:tcW w:type="dxa" w:w="328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Verifies invoice is still unpaid before reminder is sent. Checks reminder is accurate and appropriate.</w:t>
            </w:r>
          </w:p>
        </w:tc>
        <w:tc>
          <w:tcPr>
            <w:tcW w:type="dxa" w:w="18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0F766E"/>
                <w:sz w:val="18"/>
                <w:szCs w:val="18"/>
              </w:rPr>
              <w:t xml:space="preserve">FTF Books · Claude API</w:t>
            </w:r>
          </w:p>
        </w:tc>
        <w:tc>
          <w:tcPr>
            <w:tcW w:type="dxa" w:w="18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C2410C"/>
                <w:sz w:val="18"/>
                <w:szCs w:val="18"/>
              </w:rPr>
              <w:t xml:space="preserve">10 (Jessica)</w:t>
            </w:r>
          </w:p>
        </w:tc>
      </w:tr>
      <w:tr>
        <w:tc>
          <w:tcPr>
            <w:tcW w:type="dxa" w:w="48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6D28D9"/>
                <w:sz w:val="18"/>
                <w:szCs w:val="18"/>
              </w:rPr>
              <w:t xml:space="preserve">14</w:t>
            </w:r>
          </w:p>
        </w:tc>
        <w:tc>
          <w:tcPr>
            <w:tcW w:type="dxa" w:w="20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1E1B4B"/>
                <w:sz w:val="18"/>
                <w:szCs w:val="18"/>
              </w:rPr>
              <w:t xml:space="preserve">AR Sender</w:t>
            </w:r>
          </w:p>
        </w:tc>
        <w:tc>
          <w:tcPr>
            <w:tcW w:type="dxa" w:w="328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Sends payment reminder via FTF Books. Logs sent reminders. Flags invoices over 90 days for escalation to Ryan.</w:t>
            </w:r>
          </w:p>
        </w:tc>
        <w:tc>
          <w:tcPr>
            <w:tcW w:type="dxa" w:w="18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0F766E"/>
                <w:sz w:val="18"/>
                <w:szCs w:val="18"/>
              </w:rPr>
              <w:t xml:space="preserve">FTF Books</w:t>
            </w:r>
          </w:p>
        </w:tc>
        <w:tc>
          <w:tcPr>
            <w:tcW w:type="dxa" w:w="18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C2410C"/>
                <w:sz w:val="18"/>
                <w:szCs w:val="18"/>
              </w:rPr>
              <w:t xml:space="preserve">10 (Jessica)</w:t>
            </w:r>
          </w:p>
        </w:tc>
      </w:tr>
      <w:tr>
        <w:tc>
          <w:tcPr>
            <w:tcW w:type="dxa" w:w="9360"/>
            <w:gridSpan w:val="5"/>
            <w:tcBorders>
              <w:top w:val="single" w:color="065F46" w:sz="1"/>
              <w:left w:val="single" w:color="065F46" w:sz="1"/>
              <w:bottom w:val="single" w:color="065F46" w:sz="1"/>
              <w:right w:val="single" w:color="065F46" w:sz="1"/>
            </w:tcBorders>
            <w:shd w:fill="065F46" w:val="clear"/>
            <w:tcMar>
              <w:top w:type="dxa" w:w="60"/>
              <w:left w:type="dxa" w:w="110"/>
              <w:bottom w:type="dxa" w:w="60"/>
              <w:right w:type="dxa" w:w="110"/>
            </w:tcMar>
          </w:tcPr>
          <w:p>
            <w:pPr>
              <w:spacing w:after="50" w:before="50"/>
              <w:jc w:val="left"/>
            </w:pPr>
            <w:r>
              <w:rPr>
                <w:rFonts w:ascii="Arial" w:cs="Arial" w:eastAsia="Arial" w:hAnsi="Arial"/>
                <w:b/>
                <w:bCs/>
                <w:i w:val="false"/>
                <w:iCs w:val="false"/>
                <w:color w:val="FFFFFF"/>
                <w:sz w:val="18"/>
                <w:szCs w:val="18"/>
              </w:rPr>
              <w:t xml:space="preserve">LOOP 3 — MONTHLY STATEMENTS  (1st of every month)</w:t>
            </w:r>
          </w:p>
        </w:tc>
      </w:tr>
      <w:tr>
        <w:tc>
          <w:tcPr>
            <w:tcW w:type="dxa" w:w="48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6D28D9"/>
                <w:sz w:val="18"/>
                <w:szCs w:val="18"/>
              </w:rPr>
              <w:t xml:space="preserve">15</w:t>
            </w:r>
          </w:p>
        </w:tc>
        <w:tc>
          <w:tcPr>
            <w:tcW w:type="dxa" w:w="20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1E1B4B"/>
                <w:sz w:val="18"/>
                <w:szCs w:val="18"/>
              </w:rPr>
              <w:t xml:space="preserve">Statement Generator</w:t>
            </w:r>
          </w:p>
        </w:tc>
        <w:tc>
          <w:tcPr>
            <w:tcW w:type="dxa" w:w="328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Pulls all B2B orders for the previous month from FTF Books. Compiles into billing statement. Formats as Excel and PDF.</w:t>
            </w:r>
          </w:p>
        </w:tc>
        <w:tc>
          <w:tcPr>
            <w:tcW w:type="dxa" w:w="18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0F766E"/>
                <w:sz w:val="18"/>
                <w:szCs w:val="18"/>
              </w:rPr>
              <w:t xml:space="preserve">FTF Books · Claude API</w:t>
            </w:r>
          </w:p>
        </w:tc>
        <w:tc>
          <w:tcPr>
            <w:tcW w:type="dxa" w:w="18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C2410C"/>
                <w:sz w:val="18"/>
                <w:szCs w:val="18"/>
              </w:rPr>
              <w:t xml:space="preserve">11 (Wyatt+Jessica)</w:t>
            </w:r>
          </w:p>
        </w:tc>
      </w:tr>
      <w:tr>
        <w:tc>
          <w:tcPr>
            <w:tcW w:type="dxa" w:w="48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6D28D9"/>
                <w:sz w:val="18"/>
                <w:szCs w:val="18"/>
              </w:rPr>
              <w:t xml:space="preserve">16</w:t>
            </w:r>
          </w:p>
        </w:tc>
        <w:tc>
          <w:tcPr>
            <w:tcW w:type="dxa" w:w="20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1E1B4B"/>
                <w:sz w:val="18"/>
                <w:szCs w:val="18"/>
              </w:rPr>
              <w:t xml:space="preserve">Statement Reviewer</w:t>
            </w:r>
          </w:p>
        </w:tc>
        <w:tc>
          <w:tcPr>
            <w:tcW w:type="dxa" w:w="328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Validates statement accuracy: all orders present, amounts correct, correct billing contact.</w:t>
            </w:r>
          </w:p>
        </w:tc>
        <w:tc>
          <w:tcPr>
            <w:tcW w:type="dxa" w:w="18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0F766E"/>
                <w:sz w:val="18"/>
                <w:szCs w:val="18"/>
              </w:rPr>
              <w:t xml:space="preserve">FTF Books · Claude API</w:t>
            </w:r>
          </w:p>
        </w:tc>
        <w:tc>
          <w:tcPr>
            <w:tcW w:type="dxa" w:w="18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C2410C"/>
                <w:sz w:val="18"/>
                <w:szCs w:val="18"/>
              </w:rPr>
              <w:t xml:space="preserve">11 (Wyatt+Jessica)</w:t>
            </w:r>
          </w:p>
        </w:tc>
      </w:tr>
      <w:tr>
        <w:tc>
          <w:tcPr>
            <w:tcW w:type="dxa" w:w="48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6D28D9"/>
                <w:sz w:val="18"/>
                <w:szCs w:val="18"/>
              </w:rPr>
              <w:t xml:space="preserve">17</w:t>
            </w:r>
          </w:p>
        </w:tc>
        <w:tc>
          <w:tcPr>
            <w:tcW w:type="dxa" w:w="20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1E1B4B"/>
                <w:sz w:val="18"/>
                <w:szCs w:val="18"/>
              </w:rPr>
              <w:t xml:space="preserve">Statement Sender</w:t>
            </w:r>
          </w:p>
        </w:tc>
        <w:tc>
          <w:tcPr>
            <w:tcW w:type="dxa" w:w="328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Sends statement to master billing email. If no master email, sends to order email. Delivers via MS Teams to Ryan/Wyatt/Jessica with Excel + PDF attachment.</w:t>
            </w:r>
          </w:p>
        </w:tc>
        <w:tc>
          <w:tcPr>
            <w:tcW w:type="dxa" w:w="18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0F766E"/>
                <w:sz w:val="18"/>
                <w:szCs w:val="18"/>
              </w:rPr>
              <w:t xml:space="preserve">FTF Books</w:t>
            </w:r>
          </w:p>
        </w:tc>
        <w:tc>
          <w:tcPr>
            <w:tcW w:type="dxa" w:w="18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C2410C"/>
                <w:sz w:val="18"/>
                <w:szCs w:val="18"/>
              </w:rPr>
              <w:t xml:space="preserve">11 (Wyatt+Jessica)</w:t>
            </w:r>
          </w:p>
        </w:tc>
      </w:tr>
    </w:tbl>
    <w:p>
      <w:r>
        <w:br w:type="page"/>
      </w:r>
    </w:p>
    <w:p>
      <w:pPr>
        <w:pBdr>
          <w:bottom w:val="single" w:color="C2410C" w:sz="10" w:space="1"/>
        </w:pBdr>
        <w:spacing w:after="100" w:before="300"/>
      </w:pPr>
      <w:r>
        <w:rPr>
          <w:rFonts w:ascii="Arial" w:cs="Arial" w:eastAsia="Arial" w:hAnsi="Arial"/>
          <w:b/>
          <w:bCs/>
          <w:i w:val="false"/>
          <w:iCs w:val="false"/>
          <w:color w:val="1E1B4B"/>
          <w:sz w:val="38"/>
          <w:szCs w:val="38"/>
        </w:rPr>
        <w:t xml:space="preserve">4.  Change Order Clause — BRD Amendment 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1"/>
              <w:left w:val="single" w:color="C2410C" w:sz="1"/>
              <w:bottom w:val="single" w:color="C2410C" w:sz="1"/>
              <w:right w:val="single" w:color="C2410C" w:sz="1"/>
            </w:tcBorders>
            <w:shd w:fill="FFFBEB" w:val="clear"/>
            <w:tcMar>
              <w:top w:type="dxa" w:w="100"/>
              <w:left w:type="dxa" w:w="140"/>
              <w:bottom w:type="dxa" w:w="100"/>
              <w:right w:type="dxa" w:w="140"/>
            </w:tcMar>
          </w:tcPr>
          <w:p>
            <w:pPr>
              <w:spacing w:after="50" w:before="50"/>
              <w:jc w:val="left"/>
            </w:pPr>
            <w:r>
              <w:rPr>
                <w:rFonts w:ascii="Arial" w:cs="Arial" w:eastAsia="Arial" w:hAnsi="Arial"/>
                <w:b w:val="false"/>
                <w:bCs w:val="false"/>
                <w:i w:val="false"/>
                <w:iCs w:val="false"/>
                <w:color w:val="92400E"/>
                <w:sz w:val="19"/>
                <w:szCs w:val="19"/>
              </w:rPr>
              <w:t xml:space="preserve">This requirement was added after the original BRD. It is mandatory and applies to every estimate generated by Agent 6. No estimate may be sent without the change order clause appended.</w:t>
            </w:r>
          </w:p>
        </w:tc>
      </w:tr>
    </w:tbl>
    <w:p>
      <w:pPr>
        <w:spacing w:after="10" w:before="40"/>
      </w:pPr>
      <w:r>
        <w:t xml:space="preserve"/>
      </w:r>
    </w:p>
    <w:p>
      <w:pPr>
        <w:spacing w:after="70" w:before="200"/>
      </w:pPr>
      <w:r>
        <w:rPr>
          <w:rFonts w:ascii="Arial" w:cs="Arial" w:eastAsia="Arial" w:hAnsi="Arial"/>
          <w:b/>
          <w:bCs/>
          <w:i w:val="false"/>
          <w:iCs w:val="false"/>
          <w:color w:val="065F46"/>
          <w:sz w:val="28"/>
          <w:szCs w:val="28"/>
        </w:rPr>
        <w:t xml:space="preserve">Requirement</w:t>
      </w:r>
    </w:p>
    <w:p>
      <w:pPr>
        <w:spacing w:after="50" w:before="50"/>
        <w:jc w:val="left"/>
      </w:pPr>
      <w:r>
        <w:rPr>
          <w:rFonts w:ascii="Arial" w:cs="Arial" w:eastAsia="Arial" w:hAnsi="Arial"/>
          <w:b w:val="false"/>
          <w:bCs w:val="false"/>
          <w:i w:val="false"/>
          <w:iCs w:val="false"/>
          <w:color w:val="1F2937"/>
          <w:sz w:val="20"/>
          <w:szCs w:val="20"/>
        </w:rPr>
        <w:t xml:space="preserve">Every estimate the AI generates must include a change order clause at the bottom. This clause pre-authorises the company to issue a change order if the scope, complexity, or site conditions change after the original estimate is approved. When the customer approves the estimate, they simultaneously accept the change order terms.</w:t>
      </w:r>
    </w:p>
    <w:p>
      <w:pPr>
        <w:spacing w:after="10" w:before="30"/>
      </w:pPr>
      <w:r>
        <w:t xml:space="preserve"/>
      </w:r>
    </w:p>
    <w:p>
      <w:pPr>
        <w:spacing w:after="70" w:before="200"/>
      </w:pPr>
      <w:r>
        <w:rPr>
          <w:rFonts w:ascii="Arial" w:cs="Arial" w:eastAsia="Arial" w:hAnsi="Arial"/>
          <w:b/>
          <w:bCs/>
          <w:i w:val="false"/>
          <w:iCs w:val="false"/>
          <w:color w:val="1D4ED8"/>
          <w:sz w:val="28"/>
          <w:szCs w:val="28"/>
        </w:rPr>
        <w:t xml:space="preserve">Technical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065F46" w:sz="1"/>
              <w:left w:val="single" w:color="065F46" w:sz="1"/>
              <w:bottom w:val="single" w:color="065F46" w:sz="1"/>
              <w:right w:val="single" w:color="065F46" w:sz="1"/>
            </w:tcBorders>
            <w:shd w:fill="065F46"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Item</w:t>
            </w:r>
          </w:p>
        </w:tc>
        <w:tc>
          <w:tcPr>
            <w:tcW w:type="dxa" w:w="6160"/>
            <w:tcBorders>
              <w:top w:val="single" w:color="065F46" w:sz="1"/>
              <w:left w:val="single" w:color="065F46" w:sz="1"/>
              <w:bottom w:val="single" w:color="065F46" w:sz="1"/>
              <w:right w:val="single" w:color="065F46" w:sz="1"/>
            </w:tcBorders>
            <w:shd w:fill="065F46"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Detail</w:t>
            </w:r>
          </w:p>
        </w:tc>
      </w:tr>
      <w:tr>
        <w:tc>
          <w:tcPr>
            <w:tcW w:type="dxa" w:w="32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Clause storage</w:t>
            </w:r>
          </w:p>
        </w:tc>
        <w:tc>
          <w:tcPr>
            <w:tcW w:type="dxa" w:w="61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knowledge_base/change_order_clause.txt — static file, version-controlled, never modified by the AI</w:t>
            </w:r>
          </w:p>
        </w:tc>
      </w:tr>
      <w:tr>
        <w:tc>
          <w:tcPr>
            <w:tcW w:type="dxa" w:w="32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Agent responsible</w:t>
            </w:r>
          </w:p>
        </w:tc>
        <w:tc>
          <w:tcPr>
            <w:tcW w:type="dxa" w:w="616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Agent 6 (Writer) — loads and appends clause to every estimate</w:t>
            </w:r>
          </w:p>
        </w:tc>
      </w:tr>
      <w:tr>
        <w:tc>
          <w:tcPr>
            <w:tcW w:type="dxa" w:w="32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Reviewer check</w:t>
            </w:r>
          </w:p>
        </w:tc>
        <w:tc>
          <w:tcPr>
            <w:tcW w:type="dxa" w:w="61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Agent 7 confirms clause is present and unmodified before approving any estimate</w:t>
            </w:r>
          </w:p>
        </w:tc>
      </w:tr>
      <w:tr>
        <w:tc>
          <w:tcPr>
            <w:tcW w:type="dxa" w:w="32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Position in estimate</w:t>
            </w:r>
          </w:p>
        </w:tc>
        <w:tc>
          <w:tcPr>
            <w:tcW w:type="dxa" w:w="616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Always the last section — after pricing, payment terms, and call to action</w:t>
            </w:r>
          </w:p>
        </w:tc>
      </w:tr>
      <w:tr>
        <w:tc>
          <w:tcPr>
            <w:tcW w:type="dxa" w:w="32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Exceptions</w:t>
            </w:r>
          </w:p>
        </w:tc>
        <w:tc>
          <w:tcPr>
            <w:tcW w:type="dxa" w:w="61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None — clause appears on all estimate types without exception</w:t>
            </w:r>
          </w:p>
        </w:tc>
      </w:tr>
    </w:tbl>
    <w:p>
      <w:pPr>
        <w:spacing w:after="10" w:before="40"/>
      </w:pPr>
      <w:r>
        <w:t xml:space="preserve"/>
      </w:r>
    </w:p>
    <w:p>
      <w:pPr>
        <w:spacing w:after="70" w:before="200"/>
      </w:pPr>
      <w:r>
        <w:rPr>
          <w:rFonts w:ascii="Arial" w:cs="Arial" w:eastAsia="Arial" w:hAnsi="Arial"/>
          <w:b/>
          <w:bCs/>
          <w:i w:val="false"/>
          <w:iCs w:val="false"/>
          <w:color w:val="991B1B"/>
          <w:sz w:val="28"/>
          <w:szCs w:val="28"/>
        </w:rPr>
        <w:t xml:space="preserve">Critical Dependency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FEE2E2" w:val="clear"/>
            <w:tcMar>
              <w:top w:type="dxa" w:w="100"/>
              <w:left w:type="dxa" w:w="140"/>
              <w:bottom w:type="dxa" w:w="100"/>
              <w:right w:type="dxa" w:w="140"/>
            </w:tcMar>
          </w:tcPr>
          <w:p>
            <w:pPr>
              <w:spacing w:after="50" w:before="50"/>
              <w:jc w:val="left"/>
            </w:pPr>
            <w:r>
              <w:rPr>
                <w:rFonts w:ascii="Arial" w:cs="Arial" w:eastAsia="Arial" w:hAnsi="Arial"/>
                <w:b w:val="false"/>
                <w:bCs w:val="false"/>
                <w:i w:val="false"/>
                <w:iCs w:val="false"/>
                <w:color w:val="991B1B"/>
                <w:sz w:val="19"/>
                <w:szCs w:val="19"/>
              </w:rPr>
              <w:t xml:space="preserve">Ryan must provide the approved change order clause text before Agent 6 can be built. This is a hard blocker — no other dependency can unlock this. Dev team must also confirm FTF Books estimate template supports a footer/terms field.</w:t>
            </w:r>
          </w:p>
        </w:tc>
      </w:tr>
    </w:tbl>
    <w:p>
      <w:r>
        <w:br w:type="page"/>
      </w:r>
    </w:p>
    <w:p>
      <w:pPr>
        <w:pBdr>
          <w:bottom w:val="single" w:color="991B1B" w:sz="10" w:space="1"/>
        </w:pBdr>
        <w:spacing w:after="100" w:before="300"/>
      </w:pPr>
      <w:r>
        <w:rPr>
          <w:rFonts w:ascii="Arial" w:cs="Arial" w:eastAsia="Arial" w:hAnsi="Arial"/>
          <w:b/>
          <w:bCs/>
          <w:i w:val="false"/>
          <w:iCs w:val="false"/>
          <w:color w:val="1E1B4B"/>
          <w:sz w:val="38"/>
          <w:szCs w:val="38"/>
        </w:rPr>
        <w:t xml:space="preserve">5.  Human Gate — 8 Flag Triggers</w:t>
      </w:r>
    </w:p>
    <w:p>
      <w:pPr>
        <w:spacing w:after="50" w:before="50"/>
        <w:jc w:val="left"/>
      </w:pPr>
      <w:r>
        <w:rPr>
          <w:rFonts w:ascii="Arial" w:cs="Arial" w:eastAsia="Arial" w:hAnsi="Arial"/>
          <w:b w:val="false"/>
          <w:bCs w:val="false"/>
          <w:i w:val="false"/>
          <w:iCs w:val="false"/>
          <w:color w:val="1F2937"/>
          <w:sz w:val="20"/>
          <w:szCs w:val="20"/>
        </w:rPr>
        <w:t xml:space="preserve">Agent 4 (Human Gate) evaluates every classified order against these 8 triggers. Any match routes the order to human review via MS Teams alert. Once Mark, Bobby, or Ryan approves, the AI sends the estimate automatically — no further manual intervention required.</w:t>
      </w:r>
    </w:p>
    <w:p>
      <w:pPr>
        <w:spacing w:after="1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160"/>
        <w:gridCol w:w="2800"/>
        <w:gridCol w:w="3000"/>
      </w:tblGrid>
      <w:tr>
        <w:tc>
          <w:tcPr>
            <w:tcW w:type="dxa" w:w="400"/>
            <w:tcBorders>
              <w:top w:val="single" w:color="991B1B" w:sz="1"/>
              <w:left w:val="single" w:color="991B1B" w:sz="1"/>
              <w:bottom w:val="single" w:color="991B1B" w:sz="1"/>
              <w:right w:val="single" w:color="991B1B" w:sz="1"/>
            </w:tcBorders>
            <w:shd w:fill="991B1B"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w:t>
            </w:r>
          </w:p>
        </w:tc>
        <w:tc>
          <w:tcPr>
            <w:tcW w:type="dxa" w:w="3160"/>
            <w:tcBorders>
              <w:top w:val="single" w:color="991B1B" w:sz="1"/>
              <w:left w:val="single" w:color="991B1B" w:sz="1"/>
              <w:bottom w:val="single" w:color="991B1B" w:sz="1"/>
              <w:right w:val="single" w:color="991B1B" w:sz="1"/>
            </w:tcBorders>
            <w:shd w:fill="991B1B"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Trigger</w:t>
            </w:r>
          </w:p>
        </w:tc>
        <w:tc>
          <w:tcPr>
            <w:tcW w:type="dxa" w:w="2800"/>
            <w:tcBorders>
              <w:top w:val="single" w:color="991B1B" w:sz="1"/>
              <w:left w:val="single" w:color="991B1B" w:sz="1"/>
              <w:bottom w:val="single" w:color="991B1B" w:sz="1"/>
              <w:right w:val="single" w:color="991B1B" w:sz="1"/>
            </w:tcBorders>
            <w:shd w:fill="991B1B"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Condition</w:t>
            </w:r>
          </w:p>
        </w:tc>
        <w:tc>
          <w:tcPr>
            <w:tcW w:type="dxa" w:w="3000"/>
            <w:tcBorders>
              <w:top w:val="single" w:color="991B1B" w:sz="1"/>
              <w:left w:val="single" w:color="991B1B" w:sz="1"/>
              <w:bottom w:val="single" w:color="991B1B" w:sz="1"/>
              <w:right w:val="single" w:color="991B1B" w:sz="1"/>
            </w:tcBorders>
            <w:shd w:fill="991B1B"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What Happens</w:t>
            </w:r>
          </w:p>
        </w:tc>
      </w:tr>
      <w:tr>
        <w:tc>
          <w:tcPr>
            <w:tcW w:type="dxa" w:w="4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1</w:t>
            </w:r>
          </w:p>
        </w:tc>
        <w:tc>
          <w:tcPr>
            <w:tcW w:type="dxa" w:w="31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Competitor Company</w:t>
            </w:r>
          </w:p>
        </w:tc>
        <w:tc>
          <w:tcPr>
            <w:tcW w:type="dxa" w:w="28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Order is from a known competitor entity, flagged domain, or suspicious company name</w:t>
            </w:r>
          </w:p>
        </w:tc>
        <w:tc>
          <w:tcPr>
            <w:tcW w:type="dxa" w:w="30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Immediately flagged — human reviews and decides price or decline</w:t>
            </w:r>
          </w:p>
        </w:tc>
      </w:tr>
      <w:tr>
        <w:tc>
          <w:tcPr>
            <w:tcW w:type="dxa" w:w="4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2</w:t>
            </w:r>
          </w:p>
        </w:tc>
        <w:tc>
          <w:tcPr>
            <w:tcW w:type="dxa" w:w="316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Survey Type Not Performed</w:t>
            </w:r>
          </w:p>
        </w:tc>
        <w:tc>
          <w:tcPr>
            <w:tcW w:type="dxa" w:w="28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Service type is not in NGE's confirmed service list</w:t>
            </w:r>
          </w:p>
        </w:tc>
        <w:tc>
          <w:tcPr>
            <w:tcW w:type="dxa" w:w="30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Flagged — human confirms whether NGE performs this and at what price</w:t>
            </w:r>
          </w:p>
        </w:tc>
      </w:tr>
      <w:tr>
        <w:tc>
          <w:tcPr>
            <w:tcW w:type="dxa" w:w="4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3</w:t>
            </w:r>
          </w:p>
        </w:tc>
        <w:tc>
          <w:tcPr>
            <w:tcW w:type="dxa" w:w="31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Complex Legal Description</w:t>
            </w:r>
          </w:p>
        </w:tc>
        <w:tc>
          <w:tcPr>
            <w:tcW w:type="dxa" w:w="28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Property description is unusually complex, contested, or unclear</w:t>
            </w:r>
          </w:p>
        </w:tc>
        <w:tc>
          <w:tcPr>
            <w:tcW w:type="dxa" w:w="30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Flagged — human reviews scope before any price is sent</w:t>
            </w:r>
          </w:p>
        </w:tc>
      </w:tr>
      <w:tr>
        <w:tc>
          <w:tcPr>
            <w:tcW w:type="dxa" w:w="4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4</w:t>
            </w:r>
          </w:p>
        </w:tc>
        <w:tc>
          <w:tcPr>
            <w:tcW w:type="dxa" w:w="316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Unusual Property</w:t>
            </w:r>
          </w:p>
        </w:tc>
        <w:tc>
          <w:tcPr>
            <w:tcW w:type="dxa" w:w="28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Large acreage, tidal, construction-adjacent, or special site conditions</w:t>
            </w:r>
          </w:p>
        </w:tc>
        <w:tc>
          <w:tcPr>
            <w:tcW w:type="dxa" w:w="30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Flagged — human reviews pricing suitability</w:t>
            </w:r>
          </w:p>
        </w:tc>
      </w:tr>
      <w:tr>
        <w:tc>
          <w:tcPr>
            <w:tcW w:type="dxa" w:w="4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5</w:t>
            </w:r>
          </w:p>
        </w:tc>
        <w:tc>
          <w:tcPr>
            <w:tcW w:type="dxa" w:w="31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New Customer</w:t>
            </w:r>
          </w:p>
        </w:tc>
        <w:tc>
          <w:tcPr>
            <w:tcW w:type="dxa" w:w="28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Customer has no prior history in FTF system</w:t>
            </w:r>
          </w:p>
        </w:tc>
        <w:tc>
          <w:tcPr>
            <w:tcW w:type="dxa" w:w="30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Flagged — AI first tries to determine genuine vs competitor. If unsure, flags for human</w:t>
            </w:r>
          </w:p>
        </w:tc>
      </w:tr>
      <w:tr>
        <w:tc>
          <w:tcPr>
            <w:tcW w:type="dxa" w:w="4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6</w:t>
            </w:r>
          </w:p>
        </w:tc>
        <w:tc>
          <w:tcPr>
            <w:tcW w:type="dxa" w:w="316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Reviewer Failure</w:t>
            </w:r>
          </w:p>
        </w:tc>
        <w:tc>
          <w:tcPr>
            <w:tcW w:type="dxa" w:w="28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Agent 7 fails to produce a passing estimate after 3 correction loops</w:t>
            </w:r>
          </w:p>
        </w:tc>
        <w:tc>
          <w:tcPr>
            <w:tcW w:type="dxa" w:w="30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Escalated to human — AI cannot resolve, human takes over</w:t>
            </w:r>
          </w:p>
        </w:tc>
      </w:tr>
      <w:tr>
        <w:tc>
          <w:tcPr>
            <w:tcW w:type="dxa" w:w="4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7</w:t>
            </w:r>
          </w:p>
        </w:tc>
        <w:tc>
          <w:tcPr>
            <w:tcW w:type="dxa" w:w="31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ALTA Table A Survey</w:t>
            </w:r>
          </w:p>
        </w:tc>
        <w:tc>
          <w:tcPr>
            <w:tcW w:type="dxa" w:w="28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Service type is ALTA Table A Survey ($1,500 — highest value, complex commercial)</w:t>
            </w:r>
          </w:p>
        </w:tc>
        <w:tc>
          <w:tcPr>
            <w:tcW w:type="dxa" w:w="30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Always flagged regardless of customer type</w:t>
            </w:r>
          </w:p>
        </w:tc>
      </w:tr>
      <w:tr>
        <w:tc>
          <w:tcPr>
            <w:tcW w:type="dxa" w:w="4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8</w:t>
            </w:r>
          </w:p>
        </w:tc>
        <w:tc>
          <w:tcPr>
            <w:tcW w:type="dxa" w:w="316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Other Services</w:t>
            </w:r>
          </w:p>
        </w:tc>
        <w:tc>
          <w:tcPr>
            <w:tcW w:type="dxa" w:w="28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Service type is 'Other Services' ($150 catch-all category)</w:t>
            </w:r>
          </w:p>
        </w:tc>
        <w:tc>
          <w:tcPr>
            <w:tcW w:type="dxa" w:w="30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Always flagged — too ambiguous to auto-quote</w:t>
            </w:r>
          </w:p>
        </w:tc>
      </w:tr>
    </w:tbl>
    <w:p>
      <w:pPr>
        <w:spacing w:after="10" w:before="50"/>
      </w:pPr>
      <w:r>
        <w:t xml:space="preserve"/>
      </w:r>
    </w:p>
    <w:p>
      <w:pPr>
        <w:spacing w:after="70" w:before="200"/>
      </w:pPr>
      <w:r>
        <w:rPr>
          <w:rFonts w:ascii="Arial" w:cs="Arial" w:eastAsia="Arial" w:hAnsi="Arial"/>
          <w:b/>
          <w:bCs/>
          <w:i w:val="false"/>
          <w:iCs w:val="false"/>
          <w:color w:val="065F46"/>
          <w:sz w:val="28"/>
          <w:szCs w:val="28"/>
        </w:rPr>
        <w:t xml:space="preserve">Post-Approval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
              <w:bottom w:val="single" w:color="065F46" w:sz="1"/>
              <w:right w:val="single" w:color="065F46" w:sz="1"/>
            </w:tcBorders>
            <w:shd w:fill="065F46" w:val="clear"/>
            <w:tcMar>
              <w:top w:type="dxa" w:w="75"/>
              <w:left w:type="dxa" w:w="130"/>
              <w:bottom w:type="dxa" w:w="75"/>
              <w:right w:type="dxa" w:w="130"/>
            </w:tcMar>
          </w:tcPr>
          <w:p>
            <w:pPr>
              <w:spacing w:after="50" w:before="50"/>
              <w:jc w:val="left"/>
            </w:pPr>
            <w:r>
              <w:rPr>
                <w:rFonts w:ascii="Arial" w:cs="Arial" w:eastAsia="Arial" w:hAnsi="Arial"/>
                <w:b/>
                <w:bCs/>
                <w:i w:val="false"/>
                <w:iCs w:val="false"/>
                <w:color w:val="FFFFFF"/>
                <w:sz w:val="19"/>
                <w:szCs w:val="19"/>
              </w:rPr>
              <w:t xml:space="preserve">Once a flagged order is approved by Mark, Bobby, or Ryan</w:t>
            </w:r>
          </w:p>
        </w:tc>
      </w:tr>
      <w:tr>
        <w:tc>
          <w:tcPr>
            <w:tcW w:type="dxa" w:w="9360"/>
            <w:tcBorders>
              <w:top w:val="single" w:color="065F46" w:sz="1"/>
              <w:left w:val="single" w:color="065F46" w:sz="1"/>
              <w:bottom w:val="single" w:color="065F46" w:sz="1"/>
              <w:right w:val="single" w:color="065F46" w:sz="1"/>
            </w:tcBorders>
            <w:shd w:fill="F0FDF4" w:val="clear"/>
            <w:tcMar>
              <w:top w:type="dxa" w:w="90"/>
              <w:left w:type="dxa" w:w="130"/>
              <w:bottom w:type="dxa" w:w="90"/>
              <w:right w:type="dxa" w:w="130"/>
            </w:tcMar>
          </w:tcPr>
          <w:p>
            <w:pPr>
              <w:spacing w:after="50" w:before="50"/>
              <w:jc w:val="left"/>
            </w:pPr>
            <w:r>
              <w:rPr>
                <w:rFonts w:ascii="Arial" w:cs="Arial" w:eastAsia="Arial" w:hAnsi="Arial"/>
                <w:b w:val="false"/>
                <w:bCs w:val="false"/>
                <w:i w:val="false"/>
                <w:iCs w:val="false"/>
                <w:color w:val="065F46"/>
                <w:sz w:val="20"/>
                <w:szCs w:val="20"/>
              </w:rPr>
              <w:t xml:space="preserve">The AI automatically generates and sends the estimate at the approved price. No further manual click required. This is a confirmed decision from our requirements sessions.</w:t>
            </w:r>
          </w:p>
          <w:p>
            <w:pPr>
              <w:spacing w:after="0" w:before="10"/>
            </w:pPr>
            <w:r>
              <w:t xml:space="preserve"/>
            </w:r>
          </w:p>
          <w:p>
            <w:pPr>
              <w:pStyle w:val="ListParagraph"/>
              <w:numPr>
                <w:ilvl w:val="0"/>
                <w:numId w:val="2"/>
              </w:numPr>
              <w:spacing w:after="35" w:before="35"/>
            </w:pPr>
            <w:r>
              <w:rPr>
                <w:rFonts w:ascii="Arial" w:cs="Arial" w:eastAsia="Arial" w:hAnsi="Arial"/>
                <w:b w:val="false"/>
                <w:bCs w:val="false"/>
                <w:i w:val="false"/>
                <w:iCs w:val="false"/>
                <w:color w:val="065F46"/>
                <w:sz w:val="20"/>
                <w:szCs w:val="20"/>
              </w:rPr>
              <w:t xml:space="preserve">Human approves via MS Teams response or FTF review tool</w:t>
            </w:r>
          </w:p>
          <w:p>
            <w:pPr>
              <w:pStyle w:val="ListParagraph"/>
              <w:numPr>
                <w:ilvl w:val="0"/>
                <w:numId w:val="2"/>
              </w:numPr>
              <w:spacing w:after="35" w:before="35"/>
            </w:pPr>
            <w:r>
              <w:rPr>
                <w:rFonts w:ascii="Arial" w:cs="Arial" w:eastAsia="Arial" w:hAnsi="Arial"/>
                <w:b w:val="false"/>
                <w:bCs w:val="false"/>
                <w:i w:val="false"/>
                <w:iCs w:val="false"/>
                <w:color w:val="065F46"/>
                <w:sz w:val="20"/>
                <w:szCs w:val="20"/>
              </w:rPr>
              <w:t xml:space="preserve">AI receives approval signal and proceeds with estimate generation</w:t>
            </w:r>
          </w:p>
          <w:p>
            <w:pPr>
              <w:pStyle w:val="ListParagraph"/>
              <w:numPr>
                <w:ilvl w:val="0"/>
                <w:numId w:val="2"/>
              </w:numPr>
              <w:spacing w:after="35" w:before="35"/>
            </w:pPr>
            <w:r>
              <w:rPr>
                <w:rFonts w:ascii="Arial" w:cs="Arial" w:eastAsia="Arial" w:hAnsi="Arial"/>
                <w:b w:val="false"/>
                <w:bCs w:val="false"/>
                <w:i w:val="false"/>
                <w:iCs w:val="false"/>
                <w:color w:val="065F46"/>
                <w:sz w:val="20"/>
                <w:szCs w:val="20"/>
              </w:rPr>
              <w:t xml:space="preserve">Change order clause is appended as normal</w:t>
            </w:r>
          </w:p>
          <w:p>
            <w:pPr>
              <w:pStyle w:val="ListParagraph"/>
              <w:numPr>
                <w:ilvl w:val="0"/>
                <w:numId w:val="2"/>
              </w:numPr>
              <w:spacing w:after="35" w:before="35"/>
            </w:pPr>
            <w:r>
              <w:rPr>
                <w:rFonts w:ascii="Arial" w:cs="Arial" w:eastAsia="Arial" w:hAnsi="Arial"/>
                <w:b w:val="false"/>
                <w:bCs w:val="false"/>
                <w:i w:val="false"/>
                <w:iCs w:val="false"/>
                <w:color w:val="065F46"/>
                <w:sz w:val="20"/>
                <w:szCs w:val="20"/>
              </w:rPr>
              <w:t xml:space="preserve">Estimate sent with standard 6–13 minute random delay</w:t>
            </w:r>
          </w:p>
        </w:tc>
      </w:tr>
    </w:tbl>
    <w:p>
      <w:r>
        <w:br w:type="page"/>
      </w:r>
    </w:p>
    <w:p>
      <w:pPr>
        <w:pBdr>
          <w:bottom w:val="single" w:color="0F766E" w:sz="10" w:space="1"/>
        </w:pBdr>
        <w:spacing w:after="100" w:before="300"/>
      </w:pPr>
      <w:r>
        <w:rPr>
          <w:rFonts w:ascii="Arial" w:cs="Arial" w:eastAsia="Arial" w:hAnsi="Arial"/>
          <w:b/>
          <w:bCs/>
          <w:i w:val="false"/>
          <w:iCs w:val="false"/>
          <w:color w:val="1E1B4B"/>
          <w:sz w:val="38"/>
          <w:szCs w:val="38"/>
        </w:rPr>
        <w:t xml:space="preserve">6.  Estimate Generation — Detailed Requirements</w:t>
      </w:r>
    </w:p>
    <w:p>
      <w:pPr>
        <w:spacing w:after="70" w:before="200"/>
      </w:pPr>
      <w:r>
        <w:rPr>
          <w:rFonts w:ascii="Arial" w:cs="Arial" w:eastAsia="Arial" w:hAnsi="Arial"/>
          <w:b/>
          <w:bCs/>
          <w:i w:val="false"/>
          <w:iCs w:val="false"/>
          <w:color w:val="1D4ED8"/>
          <w:sz w:val="28"/>
          <w:szCs w:val="28"/>
        </w:rPr>
        <w:t xml:space="preserve">Polling Schedule</w:t>
      </w:r>
    </w:p>
    <w:p>
      <w:pPr>
        <w:spacing w:after="50" w:before="50"/>
        <w:jc w:val="left"/>
      </w:pPr>
      <w:r>
        <w:rPr>
          <w:rFonts w:ascii="Arial" w:cs="Arial" w:eastAsia="Arial" w:hAnsi="Arial"/>
          <w:b w:val="false"/>
          <w:bCs w:val="false"/>
          <w:i w:val="false"/>
          <w:iCs w:val="false"/>
          <w:color w:val="1F2937"/>
          <w:sz w:val="20"/>
          <w:szCs w:val="20"/>
        </w:rPr>
        <w:t xml:space="preserve">The Monitor Agent polls FTF CRM every 60 minutes. On each poll it fetches all orders with estimate_sent = false. Orders already in the state database (processed in a previous cycle) are skipped.</w:t>
      </w:r>
    </w:p>
    <w:p>
      <w:pPr>
        <w:spacing w:after="10" w:before="30"/>
      </w:pPr>
      <w:r>
        <w:t xml:space="preserve"/>
      </w:r>
    </w:p>
    <w:p>
      <w:pPr>
        <w:spacing w:after="70" w:before="200"/>
      </w:pPr>
      <w:r>
        <w:rPr>
          <w:rFonts w:ascii="Arial" w:cs="Arial" w:eastAsia="Arial" w:hAnsi="Arial"/>
          <w:b/>
          <w:bCs/>
          <w:i w:val="false"/>
          <w:iCs w:val="false"/>
          <w:color w:val="1D4ED8"/>
          <w:sz w:val="28"/>
          <w:szCs w:val="28"/>
        </w:rPr>
        <w:t xml:space="preserve">FEMA Flood Zone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0F766E" w:sz="1"/>
              <w:left w:val="single" w:color="0F766E" w:sz="1"/>
              <w:bottom w:val="single" w:color="0F766E" w:sz="1"/>
              <w:right w:val="single" w:color="0F766E" w:sz="1"/>
            </w:tcBorders>
            <w:shd w:fill="0F766E"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Scenario</w:t>
            </w:r>
          </w:p>
        </w:tc>
        <w:tc>
          <w:tcPr>
            <w:tcW w:type="dxa" w:w="5360"/>
            <w:tcBorders>
              <w:top w:val="single" w:color="0F766E" w:sz="1"/>
              <w:left w:val="single" w:color="0F766E" w:sz="1"/>
              <w:bottom w:val="single" w:color="0F766E" w:sz="1"/>
              <w:right w:val="single" w:color="0F766E" w:sz="1"/>
            </w:tcBorders>
            <w:shd w:fill="0F766E"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AI Behaviour</w:t>
            </w:r>
          </w:p>
        </w:tc>
      </w:tr>
      <w:tr>
        <w:tc>
          <w:tcPr>
            <w:tcW w:type="dxa" w:w="40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Property is in a FEMA flood zone (Zone A or V)</w:t>
            </w:r>
          </w:p>
        </w:tc>
        <w:tc>
          <w:tcPr>
            <w:tcW w:type="dxa" w:w="53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AI automatically adds Elevation Certificate ($225) to the estimate. Ryan's confirmed decision: AI handles this without flagging.</w:t>
            </w:r>
          </w:p>
        </w:tc>
      </w:tr>
      <w:tr>
        <w:tc>
          <w:tcPr>
            <w:tcW w:type="dxa" w:w="40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Property is in Zone X (low risk)</w:t>
            </w:r>
          </w:p>
        </w:tc>
        <w:tc>
          <w:tcPr>
            <w:tcW w:type="dxa" w:w="536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No elevation certificate added. Proceeds normally.</w:t>
            </w:r>
          </w:p>
        </w:tc>
      </w:tr>
      <w:tr>
        <w:tc>
          <w:tcPr>
            <w:tcW w:type="dxa" w:w="40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FEMA API unavailable</w:t>
            </w:r>
          </w:p>
        </w:tc>
        <w:tc>
          <w:tcPr>
            <w:tcW w:type="dxa" w:w="53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Flag for human review. Do not assume zone status.</w:t>
            </w:r>
          </w:p>
        </w:tc>
      </w:tr>
      <w:tr>
        <w:tc>
          <w:tcPr>
            <w:tcW w:type="dxa" w:w="40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lat/lng missing from FTF order</w:t>
            </w:r>
          </w:p>
        </w:tc>
        <w:tc>
          <w:tcPr>
            <w:tcW w:type="dxa" w:w="536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Flag for human review. Cannot run FEMA check.</w:t>
            </w:r>
          </w:p>
        </w:tc>
      </w:tr>
    </w:tbl>
    <w:p>
      <w:pPr>
        <w:spacing w:after="10" w:before="30"/>
      </w:pPr>
      <w:r>
        <w:t xml:space="preserve"/>
      </w:r>
    </w:p>
    <w:p>
      <w:pPr>
        <w:spacing w:after="70" w:before="200"/>
      </w:pPr>
      <w:r>
        <w:rPr>
          <w:rFonts w:ascii="Arial" w:cs="Arial" w:eastAsia="Arial" w:hAnsi="Arial"/>
          <w:b/>
          <w:bCs/>
          <w:i w:val="false"/>
          <w:iCs w:val="false"/>
          <w:color w:val="1D4ED8"/>
          <w:sz w:val="28"/>
          <w:szCs w:val="28"/>
        </w:rPr>
        <w:t xml:space="preserve">Estimate Delay</w:t>
      </w:r>
    </w:p>
    <w:p>
      <w:pPr>
        <w:spacing w:after="50" w:before="50"/>
        <w:jc w:val="left"/>
      </w:pPr>
      <w:r>
        <w:rPr>
          <w:rFonts w:ascii="Arial" w:cs="Arial" w:eastAsia="Arial" w:hAnsi="Arial"/>
          <w:b w:val="false"/>
          <w:bCs w:val="false"/>
          <w:i w:val="false"/>
          <w:iCs w:val="false"/>
          <w:color w:val="1F2937"/>
          <w:sz w:val="20"/>
          <w:szCs w:val="20"/>
        </w:rPr>
        <w:t xml:space="preserve">Agent 8 applies a random delay between 6 and 13 minutes before sending any estimate. This makes the AI response feel human rather than robotic. The delay is randomised on each send — not a fixed interval.</w:t>
      </w:r>
    </w:p>
    <w:p>
      <w:pPr>
        <w:spacing w:after="10" w:before="30"/>
      </w:pPr>
      <w:r>
        <w:t xml:space="preserve"/>
      </w:r>
    </w:p>
    <w:p>
      <w:pPr>
        <w:spacing w:after="70" w:before="200"/>
      </w:pPr>
      <w:r>
        <w:rPr>
          <w:rFonts w:ascii="Arial" w:cs="Arial" w:eastAsia="Arial" w:hAnsi="Arial"/>
          <w:b/>
          <w:bCs/>
          <w:i w:val="false"/>
          <w:iCs w:val="false"/>
          <w:color w:val="1D4ED8"/>
          <w:sz w:val="28"/>
          <w:szCs w:val="28"/>
        </w:rPr>
        <w:t xml:space="preserve">Pricing — Two-Level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D4ED8" w:sz="1"/>
              <w:left w:val="single" w:color="1D4ED8" w:sz="1"/>
              <w:bottom w:val="single" w:color="1D4ED8" w:sz="1"/>
              <w:right w:val="single" w:color="1D4ED8" w:sz="1"/>
            </w:tcBorders>
            <w:shd w:fill="1D4ED8"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Level</w:t>
            </w:r>
          </w:p>
        </w:tc>
        <w:tc>
          <w:tcPr>
            <w:tcW w:type="dxa" w:w="7360"/>
            <w:tcBorders>
              <w:top w:val="single" w:color="1D4ED8" w:sz="1"/>
              <w:left w:val="single" w:color="1D4ED8" w:sz="1"/>
              <w:bottom w:val="single" w:color="1D4ED8" w:sz="1"/>
              <w:right w:val="single" w:color="1D4ED8" w:sz="1"/>
            </w:tcBorders>
            <w:shd w:fill="1D4ED8"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Logic</w:t>
            </w:r>
          </w:p>
        </w:tc>
      </w:tr>
      <w:tr>
        <w:tc>
          <w:tcPr>
            <w:tcW w:type="dxa" w:w="20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Level 1 — Company Override</w:t>
            </w:r>
          </w:p>
        </w:tc>
        <w:tc>
          <w:tcPr>
            <w:tcW w:type="dxa" w:w="73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If customer_id has a custom rate in ng_company_services for the requested service — use that rate. Company rate always wins.</w:t>
            </w:r>
          </w:p>
        </w:tc>
      </w:tr>
      <w:tr>
        <w:tc>
          <w:tcPr>
            <w:tcW w:type="dxa" w:w="20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Level 2 — Global Rate</w:t>
            </w:r>
          </w:p>
        </w:tc>
        <w:tc>
          <w:tcPr>
            <w:tcW w:type="dxa" w:w="736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If no company override exists — use standard rate from ng_survey_steps. This is the master price sheet (24 services).</w:t>
            </w:r>
          </w:p>
        </w:tc>
      </w:tr>
    </w:tbl>
    <w:p>
      <w:pPr>
        <w:spacing w:after="10" w:before="30"/>
      </w:pPr>
      <w:r>
        <w:t xml:space="preserve"/>
      </w:r>
    </w:p>
    <w:p>
      <w:pPr>
        <w:spacing w:after="70" w:before="200"/>
      </w:pPr>
      <w:r>
        <w:rPr>
          <w:rFonts w:ascii="Arial" w:cs="Arial" w:eastAsia="Arial" w:hAnsi="Arial"/>
          <w:b/>
          <w:bCs/>
          <w:i w:val="false"/>
          <w:iCs w:val="false"/>
          <w:color w:val="1D4ED8"/>
          <w:sz w:val="28"/>
          <w:szCs w:val="28"/>
        </w:rPr>
        <w:t xml:space="preserve">24 Confirmed Service Names (Exact Match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1"/>
              <w:left w:val="single" w:color="C2410C" w:sz="1"/>
              <w:bottom w:val="single" w:color="C2410C" w:sz="1"/>
              <w:right w:val="single" w:color="C2410C" w:sz="1"/>
            </w:tcBorders>
            <w:shd w:fill="FFFBEB" w:val="clear"/>
            <w:tcMar>
              <w:top w:type="dxa" w:w="100"/>
              <w:left w:type="dxa" w:w="140"/>
              <w:bottom w:type="dxa" w:w="100"/>
              <w:right w:type="dxa" w:w="140"/>
            </w:tcMar>
          </w:tcPr>
          <w:p>
            <w:pPr>
              <w:spacing w:after="50" w:before="50"/>
              <w:jc w:val="left"/>
            </w:pPr>
            <w:r>
              <w:rPr>
                <w:rFonts w:ascii="Arial" w:cs="Arial" w:eastAsia="Arial" w:hAnsi="Arial"/>
                <w:b w:val="false"/>
                <w:bCs w:val="false"/>
                <w:i w:val="false"/>
                <w:iCs w:val="false"/>
                <w:color w:val="92400E"/>
                <w:sz w:val="19"/>
                <w:szCs w:val="19"/>
              </w:rPr>
              <w:t xml:space="preserve">Service names passed to the Pricing API are case-sensitive. The Classifier must output the exact name from this list. Any mismatch returns a 404 error.</w:t>
            </w:r>
          </w:p>
        </w:tc>
      </w:tr>
    </w:tbl>
    <w:p>
      <w:pPr>
        <w:spacing w:after="1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c>
          <w:tcPr>
            <w:tcW w:type="dxa" w:w="3200"/>
            <w:tcBorders>
              <w:top w:val="single" w:color="0F766E" w:sz="1"/>
              <w:left w:val="single" w:color="0F766E" w:sz="1"/>
              <w:bottom w:val="single" w:color="0F766E" w:sz="1"/>
              <w:right w:val="single" w:color="0F766E" w:sz="1"/>
            </w:tcBorders>
            <w:shd w:fill="0F766E"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Service Name</w:t>
            </w:r>
          </w:p>
        </w:tc>
        <w:tc>
          <w:tcPr>
            <w:tcW w:type="dxa" w:w="2080"/>
            <w:tcBorders>
              <w:top w:val="single" w:color="0F766E" w:sz="1"/>
              <w:left w:val="single" w:color="0F766E" w:sz="1"/>
              <w:bottom w:val="single" w:color="0F766E" w:sz="1"/>
              <w:right w:val="single" w:color="0F766E" w:sz="1"/>
            </w:tcBorders>
            <w:shd w:fill="0F766E"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Rate</w:t>
            </w:r>
          </w:p>
        </w:tc>
        <w:tc>
          <w:tcPr>
            <w:tcW w:type="dxa" w:w="2080"/>
            <w:tcBorders>
              <w:top w:val="single" w:color="0F766E" w:sz="1"/>
              <w:left w:val="single" w:color="0F766E" w:sz="1"/>
              <w:bottom w:val="single" w:color="0F766E" w:sz="1"/>
              <w:right w:val="single" w:color="0F766E" w:sz="1"/>
            </w:tcBorders>
            <w:shd w:fill="0F766E"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Service Name</w:t>
            </w:r>
          </w:p>
        </w:tc>
        <w:tc>
          <w:tcPr>
            <w:tcW w:type="dxa" w:w="2000"/>
            <w:tcBorders>
              <w:top w:val="single" w:color="0F766E" w:sz="1"/>
              <w:left w:val="single" w:color="0F766E" w:sz="1"/>
              <w:bottom w:val="single" w:color="0F766E" w:sz="1"/>
              <w:right w:val="single" w:color="0F766E" w:sz="1"/>
            </w:tcBorders>
            <w:shd w:fill="0F766E"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Rate</w:t>
            </w:r>
          </w:p>
        </w:tc>
      </w:tr>
      <w:tr>
        <w:tc>
          <w:tcPr>
            <w:tcW w:type="dxa" w:w="32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Acreage</w:t>
            </w:r>
          </w:p>
        </w:tc>
        <w:tc>
          <w:tcPr>
            <w:tcW w:type="dxa" w:w="208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$250</w:t>
            </w:r>
          </w:p>
        </w:tc>
        <w:tc>
          <w:tcPr>
            <w:tcW w:type="dxa" w:w="208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Other Services</w:t>
            </w:r>
          </w:p>
        </w:tc>
        <w:tc>
          <w:tcPr>
            <w:tcW w:type="dxa" w:w="20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$150</w:t>
            </w:r>
          </w:p>
        </w:tc>
      </w:tr>
      <w:tr>
        <w:tc>
          <w:tcPr>
            <w:tcW w:type="dxa" w:w="32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ALTA Table A Survey</w:t>
            </w:r>
          </w:p>
        </w:tc>
        <w:tc>
          <w:tcPr>
            <w:tcW w:type="dxa" w:w="208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$1,500</w:t>
            </w:r>
          </w:p>
        </w:tc>
        <w:tc>
          <w:tcPr>
            <w:tcW w:type="dxa" w:w="208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Pad Stake Out</w:t>
            </w:r>
          </w:p>
        </w:tc>
        <w:tc>
          <w:tcPr>
            <w:tcW w:type="dxa" w:w="20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$225</w:t>
            </w:r>
          </w:p>
        </w:tc>
      </w:tr>
      <w:tr>
        <w:tc>
          <w:tcPr>
            <w:tcW w:type="dxa" w:w="32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B-II Title Review</w:t>
            </w:r>
          </w:p>
        </w:tc>
        <w:tc>
          <w:tcPr>
            <w:tcW w:type="dxa" w:w="208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$450</w:t>
            </w:r>
          </w:p>
        </w:tc>
        <w:tc>
          <w:tcPr>
            <w:tcW w:type="dxa" w:w="208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Property Flagging</w:t>
            </w:r>
          </w:p>
        </w:tc>
        <w:tc>
          <w:tcPr>
            <w:tcW w:type="dxa" w:w="20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$150</w:t>
            </w:r>
          </w:p>
        </w:tc>
      </w:tr>
      <w:tr>
        <w:tc>
          <w:tcPr>
            <w:tcW w:type="dxa" w:w="32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Boundary Survey</w:t>
            </w:r>
          </w:p>
        </w:tc>
        <w:tc>
          <w:tcPr>
            <w:tcW w:type="dxa" w:w="208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$350</w:t>
            </w:r>
          </w:p>
        </w:tc>
        <w:tc>
          <w:tcPr>
            <w:tcW w:type="dxa" w:w="208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Site Plan</w:t>
            </w:r>
          </w:p>
        </w:tc>
        <w:tc>
          <w:tcPr>
            <w:tcW w:type="dxa" w:w="20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$150</w:t>
            </w:r>
          </w:p>
        </w:tc>
      </w:tr>
      <w:tr>
        <w:tc>
          <w:tcPr>
            <w:tcW w:type="dxa" w:w="32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Building Stake Out</w:t>
            </w:r>
          </w:p>
        </w:tc>
        <w:tc>
          <w:tcPr>
            <w:tcW w:type="dxa" w:w="208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$225</w:t>
            </w:r>
          </w:p>
        </w:tc>
        <w:tc>
          <w:tcPr>
            <w:tcW w:type="dxa" w:w="208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Sketch and Description</w:t>
            </w:r>
          </w:p>
        </w:tc>
        <w:tc>
          <w:tcPr>
            <w:tcW w:type="dxa" w:w="20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$300</w:t>
            </w:r>
          </w:p>
        </w:tc>
      </w:tr>
      <w:tr>
        <w:tc>
          <w:tcPr>
            <w:tcW w:type="dxa" w:w="32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Elevation Certificate</w:t>
            </w:r>
          </w:p>
        </w:tc>
        <w:tc>
          <w:tcPr>
            <w:tcW w:type="dxa" w:w="208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$225</w:t>
            </w:r>
          </w:p>
        </w:tc>
        <w:tc>
          <w:tcPr>
            <w:tcW w:type="dxa" w:w="208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Specific Purpose Survey</w:t>
            </w:r>
          </w:p>
        </w:tc>
        <w:tc>
          <w:tcPr>
            <w:tcW w:type="dxa" w:w="20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$600</w:t>
            </w:r>
          </w:p>
        </w:tc>
      </w:tr>
      <w:tr>
        <w:tc>
          <w:tcPr>
            <w:tcW w:type="dxa" w:w="32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Elevation Only</w:t>
            </w:r>
          </w:p>
        </w:tc>
        <w:tc>
          <w:tcPr>
            <w:tcW w:type="dxa" w:w="208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$250</w:t>
            </w:r>
          </w:p>
        </w:tc>
        <w:tc>
          <w:tcPr>
            <w:tcW w:type="dxa" w:w="208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Survey Re-draw</w:t>
            </w:r>
          </w:p>
        </w:tc>
        <w:tc>
          <w:tcPr>
            <w:tcW w:type="dxa" w:w="20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$150</w:t>
            </w:r>
          </w:p>
        </w:tc>
      </w:tr>
      <w:tr>
        <w:tc>
          <w:tcPr>
            <w:tcW w:type="dxa" w:w="32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Final Survey</w:t>
            </w:r>
          </w:p>
        </w:tc>
        <w:tc>
          <w:tcPr>
            <w:tcW w:type="dxa" w:w="208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$300</w:t>
            </w:r>
          </w:p>
        </w:tc>
        <w:tc>
          <w:tcPr>
            <w:tcW w:type="dxa" w:w="208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Surveyor's Affidavit</w:t>
            </w:r>
          </w:p>
        </w:tc>
        <w:tc>
          <w:tcPr>
            <w:tcW w:type="dxa" w:w="20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$100</w:t>
            </w:r>
          </w:p>
        </w:tc>
      </w:tr>
      <w:tr>
        <w:tc>
          <w:tcPr>
            <w:tcW w:type="dxa" w:w="32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Form Board Survey</w:t>
            </w:r>
          </w:p>
        </w:tc>
        <w:tc>
          <w:tcPr>
            <w:tcW w:type="dxa" w:w="208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$225</w:t>
            </w:r>
          </w:p>
        </w:tc>
        <w:tc>
          <w:tcPr>
            <w:tcW w:type="dxa" w:w="208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Topography Survey</w:t>
            </w:r>
          </w:p>
        </w:tc>
        <w:tc>
          <w:tcPr>
            <w:tcW w:type="dxa" w:w="20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$225</w:t>
            </w:r>
          </w:p>
        </w:tc>
      </w:tr>
      <w:tr>
        <w:tc>
          <w:tcPr>
            <w:tcW w:type="dxa" w:w="32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Foundation Tie-In</w:t>
            </w:r>
          </w:p>
        </w:tc>
        <w:tc>
          <w:tcPr>
            <w:tcW w:type="dxa" w:w="208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$225</w:t>
            </w:r>
          </w:p>
        </w:tc>
        <w:tc>
          <w:tcPr>
            <w:tcW w:type="dxa" w:w="208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Tree Location</w:t>
            </w:r>
          </w:p>
        </w:tc>
        <w:tc>
          <w:tcPr>
            <w:tcW w:type="dxa" w:w="20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$225</w:t>
            </w:r>
          </w:p>
        </w:tc>
      </w:tr>
      <w:tr>
        <w:tc>
          <w:tcPr>
            <w:tcW w:type="dxa" w:w="32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Legal Description</w:t>
            </w:r>
          </w:p>
        </w:tc>
        <w:tc>
          <w:tcPr>
            <w:tcW w:type="dxa" w:w="208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$300</w:t>
            </w:r>
          </w:p>
        </w:tc>
        <w:tc>
          <w:tcPr>
            <w:tcW w:type="dxa" w:w="208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Update Survey</w:t>
            </w:r>
          </w:p>
        </w:tc>
        <w:tc>
          <w:tcPr>
            <w:tcW w:type="dxa" w:w="20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$250</w:t>
            </w:r>
          </w:p>
        </w:tc>
      </w:tr>
      <w:tr>
        <w:tc>
          <w:tcPr>
            <w:tcW w:type="dxa" w:w="32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Lot Split</w:t>
            </w:r>
          </w:p>
        </w:tc>
        <w:tc>
          <w:tcPr>
            <w:tcW w:type="dxa" w:w="208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$450</w:t>
            </w:r>
          </w:p>
        </w:tc>
        <w:tc>
          <w:tcPr>
            <w:tcW w:type="dxa" w:w="208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Wetland Delineation</w:t>
            </w:r>
          </w:p>
        </w:tc>
        <w:tc>
          <w:tcPr>
            <w:tcW w:type="dxa" w:w="20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$300</w:t>
            </w:r>
          </w:p>
        </w:tc>
      </w:tr>
    </w:tbl>
    <w:p>
      <w:pPr>
        <w:spacing w:after="10" w:before="30"/>
      </w:pPr>
      <w:r>
        <w:t xml:space="preserve"/>
      </w:r>
    </w:p>
    <w:p>
      <w:pPr>
        <w:spacing w:after="70" w:before="200"/>
      </w:pPr>
      <w:r>
        <w:rPr>
          <w:rFonts w:ascii="Arial" w:cs="Arial" w:eastAsia="Arial" w:hAnsi="Arial"/>
          <w:b/>
          <w:bCs/>
          <w:i w:val="false"/>
          <w:iCs w:val="false"/>
          <w:color w:val="1D4ED8"/>
          <w:sz w:val="28"/>
          <w:szCs w:val="28"/>
        </w:rPr>
        <w:t xml:space="preserve">New Customer Handling</w:t>
      </w:r>
    </w:p>
    <w:p>
      <w:pPr>
        <w:spacing w:after="50" w:before="50"/>
        <w:jc w:val="left"/>
      </w:pPr>
      <w:r>
        <w:rPr>
          <w:rFonts w:ascii="Arial" w:cs="Arial" w:eastAsia="Arial" w:hAnsi="Arial"/>
          <w:b w:val="false"/>
          <w:bCs w:val="false"/>
          <w:i w:val="false"/>
          <w:iCs w:val="false"/>
          <w:color w:val="1F2937"/>
          <w:sz w:val="20"/>
          <w:szCs w:val="20"/>
        </w:rPr>
        <w:t xml:space="preserve">When a new customer (no prior FTF history) places an order, the AI first attempts to classify them as genuine or competitor using available signals: company name, email domain, order type, and property location. If confident it is genuine: process normally. If identified as competitor or uncertain: flag for human review.</w:t>
      </w:r>
    </w:p>
    <w:p>
      <w:r>
        <w:br w:type="page"/>
      </w:r>
    </w:p>
    <w:p>
      <w:pPr>
        <w:pBdr>
          <w:bottom w:val="single" w:color="6D28D9" w:sz="10" w:space="1"/>
        </w:pBdr>
        <w:spacing w:after="100" w:before="300"/>
      </w:pPr>
      <w:r>
        <w:rPr>
          <w:rFonts w:ascii="Arial" w:cs="Arial" w:eastAsia="Arial" w:hAnsi="Arial"/>
          <w:b/>
          <w:bCs/>
          <w:i w:val="false"/>
          <w:iCs w:val="false"/>
          <w:color w:val="1E1B4B"/>
          <w:sz w:val="38"/>
          <w:szCs w:val="38"/>
        </w:rPr>
        <w:t xml:space="preserve">7.  AR Follow-Up — Detailed Requirements</w:t>
      </w:r>
    </w:p>
    <w:p>
      <w:pPr>
        <w:spacing w:after="70" w:before="200"/>
      </w:pPr>
      <w:r>
        <w:rPr>
          <w:rFonts w:ascii="Arial" w:cs="Arial" w:eastAsia="Arial" w:hAnsi="Arial"/>
          <w:b/>
          <w:bCs/>
          <w:i w:val="false"/>
          <w:iCs w:val="false"/>
          <w:color w:val="1D4ED8"/>
          <w:sz w:val="28"/>
          <w:szCs w:val="28"/>
        </w:rPr>
        <w:t xml:space="preserve">Reminder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6D28D9" w:sz="1"/>
              <w:left w:val="single" w:color="6D28D9" w:sz="1"/>
              <w:bottom w:val="single" w:color="6D28D9" w:sz="1"/>
              <w:right w:val="single" w:color="6D28D9" w:sz="1"/>
            </w:tcBorders>
            <w:shd w:fill="6D28D9"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When</w:t>
            </w:r>
          </w:p>
        </w:tc>
        <w:tc>
          <w:tcPr>
            <w:tcW w:type="dxa" w:w="6560"/>
            <w:tcBorders>
              <w:top w:val="single" w:color="6D28D9" w:sz="1"/>
              <w:left w:val="single" w:color="6D28D9" w:sz="1"/>
              <w:bottom w:val="single" w:color="6D28D9" w:sz="1"/>
              <w:right w:val="single" w:color="6D28D9" w:sz="1"/>
            </w:tcBorders>
            <w:shd w:fill="6D28D9"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Reminder Action</w:t>
            </w:r>
          </w:p>
        </w:tc>
      </w:tr>
      <w:tr>
        <w:tc>
          <w:tcPr>
            <w:tcW w:type="dxa" w:w="28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5 days before due date</w:t>
            </w:r>
          </w:p>
        </w:tc>
        <w:tc>
          <w:tcPr>
            <w:tcW w:type="dxa" w:w="65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First reminder — friendly tone. 'Just a heads up that payment is due soon.'</w:t>
            </w:r>
          </w:p>
        </w:tc>
      </w:tr>
      <w:tr>
        <w:tc>
          <w:tcPr>
            <w:tcW w:type="dxa" w:w="28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2-3 days before due date</w:t>
            </w:r>
          </w:p>
        </w:tc>
        <w:tc>
          <w:tcPr>
            <w:tcW w:type="dxa" w:w="656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Second reminder — firmer tone. 'Payment due in a few days — please arrange if not already done.'</w:t>
            </w:r>
          </w:p>
        </w:tc>
      </w:tr>
      <w:tr>
        <w:tc>
          <w:tcPr>
            <w:tcW w:type="dxa" w:w="28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Due date</w:t>
            </w:r>
          </w:p>
        </w:tc>
        <w:tc>
          <w:tcPr>
            <w:tcW w:type="dxa" w:w="65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Third reminder — direct tone. 'Payment is due today.'</w:t>
            </w:r>
          </w:p>
        </w:tc>
      </w:tr>
      <w:tr>
        <w:tc>
          <w:tcPr>
            <w:tcW w:type="dxa" w:w="28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Every 3 days after due date</w:t>
            </w:r>
          </w:p>
        </w:tc>
        <w:tc>
          <w:tcPr>
            <w:tcW w:type="dxa" w:w="656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Ongoing reminders — urgent tone. Scaled by days overdue.</w:t>
            </w:r>
          </w:p>
        </w:tc>
      </w:tr>
      <w:tr>
        <w:tc>
          <w:tcPr>
            <w:tcW w:type="dxa" w:w="28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90+ days overdue</w:t>
            </w:r>
          </w:p>
        </w:tc>
        <w:tc>
          <w:tcPr>
            <w:tcW w:type="dxa" w:w="65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Flagged as high-risk. Escalated to Ryan via MS Teams. AI continues reminders.</w:t>
            </w:r>
          </w:p>
        </w:tc>
      </w:tr>
    </w:tbl>
    <w:p>
      <w:pPr>
        <w:spacing w:after="10" w:before="30"/>
      </w:pPr>
      <w:r>
        <w:t xml:space="preserve"/>
      </w:r>
    </w:p>
    <w:p>
      <w:pPr>
        <w:spacing w:after="70" w:before="200"/>
      </w:pPr>
      <w:r>
        <w:rPr>
          <w:rFonts w:ascii="Arial" w:cs="Arial" w:eastAsia="Arial" w:hAnsi="Arial"/>
          <w:b/>
          <w:bCs/>
          <w:i w:val="false"/>
          <w:iCs w:val="false"/>
          <w:color w:val="1D4ED8"/>
          <w:sz w:val="28"/>
          <w:szCs w:val="28"/>
        </w:rPr>
        <w:t xml:space="preserve">Exclusions and Escalation</w:t>
      </w:r>
    </w:p>
    <w:p>
      <w:pPr>
        <w:pStyle w:val="ListParagraph"/>
        <w:numPr>
          <w:ilvl w:val="0"/>
          <w:numId w:val="2"/>
        </w:numPr>
        <w:spacing w:after="35" w:before="35"/>
      </w:pPr>
      <w:r>
        <w:rPr>
          <w:rFonts w:ascii="Arial" w:cs="Arial" w:eastAsia="Arial" w:hAnsi="Arial"/>
          <w:b w:val="false"/>
          <w:bCs w:val="false"/>
          <w:i w:val="false"/>
          <w:iCs w:val="false"/>
          <w:color w:val="1F2937"/>
          <w:sz w:val="20"/>
          <w:szCs w:val="20"/>
        </w:rPr>
        <w:t xml:space="preserve">Clients with payment arrangements or special relationships: excluded from automated reminders (Jessica to provide list)</w:t>
      </w:r>
    </w:p>
    <w:p>
      <w:pPr>
        <w:pStyle w:val="ListParagraph"/>
        <w:numPr>
          <w:ilvl w:val="0"/>
          <w:numId w:val="2"/>
        </w:numPr>
        <w:spacing w:after="35" w:before="35"/>
      </w:pPr>
      <w:r>
        <w:rPr>
          <w:rFonts w:ascii="Arial" w:cs="Arial" w:eastAsia="Arial" w:hAnsi="Arial"/>
          <w:b w:val="false"/>
          <w:bCs w:val="false"/>
          <w:i w:val="false"/>
          <w:iCs w:val="false"/>
          <w:color w:val="1F2937"/>
          <w:sz w:val="20"/>
          <w:szCs w:val="20"/>
        </w:rPr>
        <w:t xml:space="preserve">Refunds and credit notes: manual intervention only — routed to Jessica or Bobby (Ryan's confirmed decision)</w:t>
      </w:r>
    </w:p>
    <w:p>
      <w:pPr>
        <w:pStyle w:val="ListParagraph"/>
        <w:numPr>
          <w:ilvl w:val="0"/>
          <w:numId w:val="2"/>
        </w:numPr>
        <w:spacing w:after="35" w:before="35"/>
      </w:pPr>
      <w:r>
        <w:rPr>
          <w:rFonts w:ascii="Arial" w:cs="Arial" w:eastAsia="Arial" w:hAnsi="Arial"/>
          <w:b w:val="false"/>
          <w:bCs w:val="false"/>
          <w:i w:val="false"/>
          <w:iCs w:val="false"/>
          <w:color w:val="1F2937"/>
          <w:sz w:val="20"/>
          <w:szCs w:val="20"/>
        </w:rPr>
        <w:t xml:space="preserve">90-day escalation: AI flags in MS Teams. Human decides next step (collections or direct call).</w:t>
      </w:r>
    </w:p>
    <w:p>
      <w:pPr>
        <w:spacing w:after="10" w:before="30"/>
      </w:pPr>
      <w:r>
        <w:t xml:space="preserve"/>
      </w:r>
    </w:p>
    <w:p>
      <w:pPr>
        <w:spacing w:after="70" w:before="200"/>
      </w:pPr>
      <w:r>
        <w:rPr>
          <w:rFonts w:ascii="Arial" w:cs="Arial" w:eastAsia="Arial" w:hAnsi="Arial"/>
          <w:b/>
          <w:bCs/>
          <w:i w:val="false"/>
          <w:iCs w:val="false"/>
          <w:color w:val="1D4ED8"/>
          <w:sz w:val="28"/>
          <w:szCs w:val="28"/>
        </w:rPr>
        <w:t xml:space="preserve">Daily AR Summary</w:t>
      </w:r>
    </w:p>
    <w:p>
      <w:pPr>
        <w:spacing w:after="50" w:before="50"/>
        <w:jc w:val="left"/>
      </w:pPr>
      <w:r>
        <w:rPr>
          <w:rFonts w:ascii="Arial" w:cs="Arial" w:eastAsia="Arial" w:hAnsi="Arial"/>
          <w:b w:val="false"/>
          <w:bCs w:val="false"/>
          <w:i w:val="false"/>
          <w:iCs w:val="false"/>
          <w:color w:val="1F2937"/>
          <w:sz w:val="20"/>
          <w:szCs w:val="20"/>
        </w:rPr>
        <w:t xml:space="preserve">Agent 9 (Reporter) includes AR status in the daily summary delivered via MS Teams and email to Ryan, Robert/Mark, Jessica, and Wyatt. Jessica also receives a dedicated daily AR report.</w:t>
      </w:r>
    </w:p>
    <w:p>
      <w:r>
        <w:br w:type="page"/>
      </w:r>
    </w:p>
    <w:p>
      <w:pPr>
        <w:pBdr>
          <w:bottom w:val="single" w:color="065F46" w:sz="10" w:space="1"/>
        </w:pBdr>
        <w:spacing w:after="100" w:before="300"/>
      </w:pPr>
      <w:r>
        <w:rPr>
          <w:rFonts w:ascii="Arial" w:cs="Arial" w:eastAsia="Arial" w:hAnsi="Arial"/>
          <w:b/>
          <w:bCs/>
          <w:i w:val="false"/>
          <w:iCs w:val="false"/>
          <w:color w:val="1E1B4B"/>
          <w:sz w:val="38"/>
          <w:szCs w:val="38"/>
        </w:rPr>
        <w:t xml:space="preserve">8.  Monthly Billing Statements — Detailed Requirements</w:t>
      </w:r>
    </w:p>
    <w:p>
      <w:pPr>
        <w:spacing w:after="70" w:before="200"/>
      </w:pPr>
      <w:r>
        <w:rPr>
          <w:rFonts w:ascii="Arial" w:cs="Arial" w:eastAsia="Arial" w:hAnsi="Arial"/>
          <w:b/>
          <w:bCs/>
          <w:i w:val="false"/>
          <w:iCs w:val="false"/>
          <w:color w:val="1D4ED8"/>
          <w:sz w:val="28"/>
          <w:szCs w:val="28"/>
        </w:rPr>
        <w:t xml:space="preserve">Schedule and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065F46" w:sz="1"/>
              <w:left w:val="single" w:color="065F46" w:sz="1"/>
              <w:bottom w:val="single" w:color="065F46" w:sz="1"/>
              <w:right w:val="single" w:color="065F46" w:sz="1"/>
            </w:tcBorders>
            <w:shd w:fill="065F46"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Parameter</w:t>
            </w:r>
          </w:p>
        </w:tc>
        <w:tc>
          <w:tcPr>
            <w:tcW w:type="dxa" w:w="6160"/>
            <w:tcBorders>
              <w:top w:val="single" w:color="065F46" w:sz="1"/>
              <w:left w:val="single" w:color="065F46" w:sz="1"/>
              <w:bottom w:val="single" w:color="065F46" w:sz="1"/>
              <w:right w:val="single" w:color="065F46" w:sz="1"/>
            </w:tcBorders>
            <w:shd w:fill="065F46"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Detail</w:t>
            </w:r>
          </w:p>
        </w:tc>
      </w:tr>
      <w:tr>
        <w:tc>
          <w:tcPr>
            <w:tcW w:type="dxa" w:w="32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Trigger date</w:t>
            </w:r>
          </w:p>
        </w:tc>
        <w:tc>
          <w:tcPr>
            <w:tcW w:type="dxa" w:w="61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1st of every month (calendar date — same for all clients)</w:t>
            </w:r>
          </w:p>
        </w:tc>
      </w:tr>
      <w:tr>
        <w:tc>
          <w:tcPr>
            <w:tcW w:type="dxa" w:w="32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Recipients</w:t>
            </w:r>
          </w:p>
        </w:tc>
        <w:tc>
          <w:tcPr>
            <w:tcW w:type="dxa" w:w="616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Master billing email for each B2B company. If no master email on file: sent to the email on the most recent order from that company.</w:t>
            </w:r>
          </w:p>
        </w:tc>
      </w:tr>
      <w:tr>
        <w:tc>
          <w:tcPr>
            <w:tcW w:type="dxa" w:w="32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Delivery method</w:t>
            </w:r>
          </w:p>
        </w:tc>
        <w:tc>
          <w:tcPr>
            <w:tcW w:type="dxa" w:w="61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MS Teams message to Ryan, Wyatt, and Jessica — with Excel and PDF attachments. Email to the billing contact at each B2B company.</w:t>
            </w:r>
          </w:p>
        </w:tc>
      </w:tr>
      <w:tr>
        <w:tc>
          <w:tcPr>
            <w:tcW w:type="dxa" w:w="32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Content</w:t>
            </w:r>
          </w:p>
        </w:tc>
        <w:tc>
          <w:tcPr>
            <w:tcW w:type="dxa" w:w="616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All orders from the previous month — order number, service type, date, amount, payment status. Total outstanding balance.</w:t>
            </w:r>
          </w:p>
        </w:tc>
      </w:tr>
      <w:tr>
        <w:tc>
          <w:tcPr>
            <w:tcW w:type="dxa" w:w="32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Companies in scope</w:t>
            </w:r>
          </w:p>
        </w:tc>
        <w:tc>
          <w:tcPr>
            <w:tcW w:type="dxa" w:w="61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FTF only (Phase 1). POF and NGE added in Phase 2.</w:t>
            </w:r>
          </w:p>
        </w:tc>
      </w:tr>
    </w:tbl>
    <w:p>
      <w:pPr>
        <w:spacing w:after="10" w:before="30"/>
      </w:pPr>
      <w:r>
        <w:t xml:space="preserve"/>
      </w:r>
    </w:p>
    <w:p>
      <w:pPr>
        <w:spacing w:after="70" w:before="200"/>
      </w:pPr>
      <w:r>
        <w:rPr>
          <w:rFonts w:ascii="Arial" w:cs="Arial" w:eastAsia="Arial" w:hAnsi="Arial"/>
          <w:b/>
          <w:bCs/>
          <w:i w:val="false"/>
          <w:iCs w:val="false"/>
          <w:color w:val="1D4ED8"/>
          <w:sz w:val="28"/>
          <w:szCs w:val="28"/>
        </w:rPr>
        <w:t xml:space="preserve">Statement Validation</w:t>
      </w:r>
    </w:p>
    <w:p>
      <w:pPr>
        <w:spacing w:after="50" w:before="50"/>
        <w:jc w:val="left"/>
      </w:pPr>
      <w:r>
        <w:rPr>
          <w:rFonts w:ascii="Arial" w:cs="Arial" w:eastAsia="Arial" w:hAnsi="Arial"/>
          <w:b w:val="false"/>
          <w:bCs w:val="false"/>
          <w:i w:val="false"/>
          <w:iCs w:val="false"/>
          <w:color w:val="1F2937"/>
          <w:sz w:val="20"/>
          <w:szCs w:val="20"/>
        </w:rPr>
        <w:t xml:space="preserve">Agent 16 (Statement Reviewer) checks before any statement is sent: all orders for the company and period are present, no order is duplicated, amounts match FTF Books, and the billing contact is correct. If validation fails, the statement is held and Ryan is alerted.</w:t>
      </w:r>
    </w:p>
    <w:p>
      <w:r>
        <w:br w:type="page"/>
      </w:r>
    </w:p>
    <w:p>
      <w:pPr>
        <w:pBdr>
          <w:bottom w:val="single" w:color="1E1B4B" w:sz="10" w:space="1"/>
        </w:pBdr>
        <w:spacing w:after="100" w:before="300"/>
      </w:pPr>
      <w:r>
        <w:rPr>
          <w:rFonts w:ascii="Arial" w:cs="Arial" w:eastAsia="Arial" w:hAnsi="Arial"/>
          <w:b/>
          <w:bCs/>
          <w:i w:val="false"/>
          <w:iCs w:val="false"/>
          <w:color w:val="1E1B4B"/>
          <w:sz w:val="38"/>
          <w:szCs w:val="38"/>
        </w:rPr>
        <w:t xml:space="preserve">9.  API Requirements — All 5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000"/>
        <w:gridCol w:w="1680"/>
        <w:gridCol w:w="1880"/>
      </w:tblGrid>
      <w:tr>
        <w:tc>
          <w:tcPr>
            <w:tcW w:type="dxa" w:w="1600"/>
            <w:tcBorders>
              <w:top w:val="single" w:color="1E1B4B" w:sz="1"/>
              <w:left w:val="single" w:color="1E1B4B" w:sz="1"/>
              <w:bottom w:val="single" w:color="1E1B4B" w:sz="1"/>
              <w:right w:val="single" w:color="1E1B4B" w:sz="1"/>
            </w:tcBorders>
            <w:shd w:fill="1E1B4B"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API</w:t>
            </w:r>
          </w:p>
        </w:tc>
        <w:tc>
          <w:tcPr>
            <w:tcW w:type="dxa" w:w="2200"/>
            <w:tcBorders>
              <w:top w:val="single" w:color="1E1B4B" w:sz="1"/>
              <w:left w:val="single" w:color="1E1B4B" w:sz="1"/>
              <w:bottom w:val="single" w:color="1E1B4B" w:sz="1"/>
              <w:right w:val="single" w:color="1E1B4B" w:sz="1"/>
            </w:tcBorders>
            <w:shd w:fill="1E1B4B"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Base URL</w:t>
            </w:r>
          </w:p>
        </w:tc>
        <w:tc>
          <w:tcPr>
            <w:tcW w:type="dxa" w:w="2000"/>
            <w:tcBorders>
              <w:top w:val="single" w:color="1E1B4B" w:sz="1"/>
              <w:left w:val="single" w:color="1E1B4B" w:sz="1"/>
              <w:bottom w:val="single" w:color="1E1B4B" w:sz="1"/>
              <w:right w:val="single" w:color="1E1B4B" w:sz="1"/>
            </w:tcBorders>
            <w:shd w:fill="1E1B4B"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Auth</w:t>
            </w:r>
          </w:p>
        </w:tc>
        <w:tc>
          <w:tcPr>
            <w:tcW w:type="dxa" w:w="1680"/>
            <w:tcBorders>
              <w:top w:val="single" w:color="1E1B4B" w:sz="1"/>
              <w:left w:val="single" w:color="1E1B4B" w:sz="1"/>
              <w:bottom w:val="single" w:color="1E1B4B" w:sz="1"/>
              <w:right w:val="single" w:color="1E1B4B" w:sz="1"/>
            </w:tcBorders>
            <w:shd w:fill="1E1B4B"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Status</w:t>
            </w:r>
          </w:p>
        </w:tc>
        <w:tc>
          <w:tcPr>
            <w:tcW w:type="dxa" w:w="1880"/>
            <w:tcBorders>
              <w:top w:val="single" w:color="1E1B4B" w:sz="1"/>
              <w:left w:val="single" w:color="1E1B4B" w:sz="1"/>
              <w:bottom w:val="single" w:color="1E1B4B" w:sz="1"/>
              <w:right w:val="single" w:color="1E1B4B" w:sz="1"/>
            </w:tcBorders>
            <w:shd w:fill="1E1B4B"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Used By</w:t>
            </w:r>
          </w:p>
        </w:tc>
      </w:tr>
      <w:tr>
        <w:tc>
          <w:tcPr>
            <w:tcW w:type="dxa" w:w="16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FTF CRM API</w:t>
            </w:r>
          </w:p>
        </w:tc>
        <w:tc>
          <w:tcPr>
            <w:tcW w:type="dxa" w:w="22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fieldtofinish.jobs/api</w:t>
            </w:r>
          </w:p>
        </w:tc>
        <w:tc>
          <w:tcPr>
            <w:tcW w:type="dxa" w:w="20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X-API-Key</w:t>
            </w:r>
          </w:p>
        </w:tc>
        <w:tc>
          <w:tcPr>
            <w:tcW w:type="dxa" w:w="168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Confirmed</w:t>
            </w:r>
          </w:p>
        </w:tc>
        <w:tc>
          <w:tcPr>
            <w:tcW w:type="dxa" w:w="188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Agents 2,3,4,7,8</w:t>
            </w:r>
          </w:p>
        </w:tc>
      </w:tr>
      <w:tr>
        <w:tc>
          <w:tcPr>
            <w:tcW w:type="dxa" w:w="16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FTF Books API</w:t>
            </w:r>
          </w:p>
        </w:tc>
        <w:tc>
          <w:tcPr>
            <w:tcW w:type="dxa" w:w="22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fieldtofinish.jobs/api/books</w:t>
            </w:r>
          </w:p>
        </w:tc>
        <w:tc>
          <w:tcPr>
            <w:tcW w:type="dxa" w:w="20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X-API-Key (same)</w:t>
            </w:r>
          </w:p>
        </w:tc>
        <w:tc>
          <w:tcPr>
            <w:tcW w:type="dxa" w:w="168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Confirmed</w:t>
            </w:r>
          </w:p>
        </w:tc>
        <w:tc>
          <w:tcPr>
            <w:tcW w:type="dxa" w:w="188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Agents 8,10–17</w:t>
            </w:r>
          </w:p>
        </w:tc>
      </w:tr>
      <w:tr>
        <w:tc>
          <w:tcPr>
            <w:tcW w:type="dxa" w:w="16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Pricing API</w:t>
            </w:r>
          </w:p>
        </w:tc>
        <w:tc>
          <w:tcPr>
            <w:tcW w:type="dxa" w:w="22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fieldtofinish.jobs/ftf-ai-api/v1</w:t>
            </w:r>
          </w:p>
        </w:tc>
        <w:tc>
          <w:tcPr>
            <w:tcW w:type="dxa" w:w="20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X-API-Key</w:t>
            </w:r>
          </w:p>
        </w:tc>
        <w:tc>
          <w:tcPr>
            <w:tcW w:type="dxa" w:w="168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Confirmed</w:t>
            </w:r>
          </w:p>
        </w:tc>
        <w:tc>
          <w:tcPr>
            <w:tcW w:type="dxa" w:w="188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Agent 5 only</w:t>
            </w:r>
          </w:p>
        </w:tc>
      </w:tr>
      <w:tr>
        <w:tc>
          <w:tcPr>
            <w:tcW w:type="dxa" w:w="16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Anthropic Claude API</w:t>
            </w:r>
          </w:p>
        </w:tc>
        <w:tc>
          <w:tcPr>
            <w:tcW w:type="dxa" w:w="22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api.anthropic.com/v1</w:t>
            </w:r>
          </w:p>
        </w:tc>
        <w:tc>
          <w:tcPr>
            <w:tcW w:type="dxa" w:w="20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X-API-Key (Prateek)</w:t>
            </w:r>
          </w:p>
        </w:tc>
        <w:tc>
          <w:tcPr>
            <w:tcW w:type="dxa" w:w="168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Confirmed</w:t>
            </w:r>
          </w:p>
        </w:tc>
        <w:tc>
          <w:tcPr>
            <w:tcW w:type="dxa" w:w="188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Agents 3,5,6,7,9,12,13,15,16</w:t>
            </w:r>
          </w:p>
        </w:tc>
      </w:tr>
      <w:tr>
        <w:tc>
          <w:tcPr>
            <w:tcW w:type="dxa" w:w="16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FEMA Flood Map API</w:t>
            </w:r>
          </w:p>
        </w:tc>
        <w:tc>
          <w:tcPr>
            <w:tcW w:type="dxa" w:w="22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msc.fema.gov/arcgis/rest</w:t>
            </w:r>
          </w:p>
        </w:tc>
        <w:tc>
          <w:tcPr>
            <w:tcW w:type="dxa" w:w="20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None — public</w:t>
            </w:r>
          </w:p>
        </w:tc>
        <w:tc>
          <w:tcPr>
            <w:tcW w:type="dxa" w:w="168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Confirmed</w:t>
            </w:r>
          </w:p>
        </w:tc>
        <w:tc>
          <w:tcPr>
            <w:tcW w:type="dxa" w:w="188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Agent 3 only</w:t>
            </w:r>
          </w:p>
        </w:tc>
      </w:tr>
    </w:tbl>
    <w:p>
      <w:pPr>
        <w:spacing w:after="10" w:before="40"/>
      </w:pPr>
      <w:r>
        <w:t xml:space="preserve"/>
      </w:r>
    </w:p>
    <w:p>
      <w:pPr>
        <w:spacing w:after="70" w:before="200"/>
      </w:pPr>
      <w:r>
        <w:rPr>
          <w:rFonts w:ascii="Arial" w:cs="Arial" w:eastAsia="Arial" w:hAnsi="Arial"/>
          <w:b/>
          <w:bCs/>
          <w:i w:val="false"/>
          <w:iCs w:val="false"/>
          <w:color w:val="1D4ED8"/>
          <w:sz w:val="28"/>
          <w:szCs w:val="28"/>
        </w:rPr>
        <w:t xml:space="preserve">LLM Model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4F46E5" w:sz="1"/>
              <w:left w:val="single" w:color="4F46E5" w:sz="1"/>
              <w:bottom w:val="single" w:color="4F46E5" w:sz="1"/>
              <w:right w:val="single" w:color="4F46E5" w:sz="1"/>
            </w:tcBorders>
            <w:shd w:fill="4F46E5"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Model</w:t>
            </w:r>
          </w:p>
        </w:tc>
        <w:tc>
          <w:tcPr>
            <w:tcW w:type="dxa" w:w="2800"/>
            <w:tcBorders>
              <w:top w:val="single" w:color="4F46E5" w:sz="1"/>
              <w:left w:val="single" w:color="4F46E5" w:sz="1"/>
              <w:bottom w:val="single" w:color="4F46E5" w:sz="1"/>
              <w:right w:val="single" w:color="4F46E5" w:sz="1"/>
            </w:tcBorders>
            <w:shd w:fill="4F46E5"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Assigned To</w:t>
            </w:r>
          </w:p>
        </w:tc>
        <w:tc>
          <w:tcPr>
            <w:tcW w:type="dxa" w:w="3360"/>
            <w:tcBorders>
              <w:top w:val="single" w:color="4F46E5" w:sz="1"/>
              <w:left w:val="single" w:color="4F46E5" w:sz="1"/>
              <w:bottom w:val="single" w:color="4F46E5" w:sz="1"/>
              <w:right w:val="single" w:color="4F46E5" w:sz="1"/>
            </w:tcBorders>
            <w:shd w:fill="4F46E5"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Reason</w:t>
            </w:r>
          </w:p>
        </w:tc>
      </w:tr>
      <w:tr>
        <w:tc>
          <w:tcPr>
            <w:tcW w:type="dxa" w:w="32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claude-haiku-4-5</w:t>
            </w:r>
          </w:p>
        </w:tc>
        <w:tc>
          <w:tcPr>
            <w:tcW w:type="dxa" w:w="28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Agents 2, 10, 11 (logic only)</w:t>
            </w:r>
          </w:p>
        </w:tc>
        <w:tc>
          <w:tcPr>
            <w:tcW w:type="dxa" w:w="33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Fastest and cheapest — no complex reasoning required</w:t>
            </w:r>
          </w:p>
        </w:tc>
      </w:tr>
      <w:tr>
        <w:tc>
          <w:tcPr>
            <w:tcW w:type="dxa" w:w="32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claude-sonnet-4-6</w:t>
            </w:r>
          </w:p>
        </w:tc>
        <w:tc>
          <w:tcPr>
            <w:tcW w:type="dxa" w:w="28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Agents 3, 5, 6, 7, 9, 12, 13, 15, 16</w:t>
            </w:r>
          </w:p>
        </w:tc>
        <w:tc>
          <w:tcPr>
            <w:tcW w:type="dxa" w:w="336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Best reasoning quality for classification, writing, reviewing</w:t>
            </w:r>
          </w:p>
        </w:tc>
      </w:tr>
      <w:tr>
        <w:tc>
          <w:tcPr>
            <w:tcW w:type="dxa" w:w="32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Backup LLM (TBD)</w:t>
            </w:r>
          </w:p>
        </w:tc>
        <w:tc>
          <w:tcPr>
            <w:tcW w:type="dxa" w:w="28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All agents — failover only</w:t>
            </w:r>
          </w:p>
        </w:tc>
        <w:tc>
          <w:tcPr>
            <w:tcW w:type="dxa" w:w="33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OS continues if Claude API is unavailable</w:t>
            </w:r>
          </w:p>
        </w:tc>
      </w:tr>
    </w:tbl>
    <w:p>
      <w:pPr>
        <w:spacing w:after="10" w:before="30"/>
      </w:pPr>
      <w:r>
        <w:t xml:space="preserve"/>
      </w:r>
    </w:p>
    <w:p>
      <w:pPr>
        <w:spacing w:after="70" w:before="200"/>
      </w:pPr>
      <w:r>
        <w:rPr>
          <w:rFonts w:ascii="Arial" w:cs="Arial" w:eastAsia="Arial" w:hAnsi="Arial"/>
          <w:b/>
          <w:bCs/>
          <w:i w:val="false"/>
          <w:iCs w:val="false"/>
          <w:color w:val="1D4ED8"/>
          <w:sz w:val="28"/>
          <w:szCs w:val="28"/>
        </w:rPr>
        <w:t xml:space="preserve">Single Client Pattern</w:t>
      </w:r>
    </w:p>
    <w:p>
      <w:pPr>
        <w:spacing w:after="50" w:before="50"/>
        <w:jc w:val="left"/>
      </w:pPr>
      <w:r>
        <w:rPr>
          <w:rFonts w:ascii="Arial" w:cs="Arial" w:eastAsia="Arial" w:hAnsi="Arial"/>
          <w:b w:val="false"/>
          <w:bCs w:val="false"/>
          <w:i w:val="false"/>
          <w:iCs w:val="false"/>
          <w:color w:val="1F2937"/>
          <w:sz w:val="20"/>
          <w:szCs w:val="20"/>
        </w:rPr>
        <w:t xml:space="preserve">No agent ever calls an external API directly. All calls go through core/ client files. This means if an API changes, one file is updated and all 17 agents are fixed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F766E" w:sz="1"/>
              <w:left w:val="single" w:color="0F766E" w:sz="1"/>
              <w:bottom w:val="single" w:color="0F766E" w:sz="1"/>
              <w:right w:val="single" w:color="0F766E" w:sz="1"/>
            </w:tcBorders>
            <w:shd w:fill="0F766E"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Client File</w:t>
            </w:r>
          </w:p>
        </w:tc>
        <w:tc>
          <w:tcPr>
            <w:tcW w:type="dxa" w:w="6960"/>
            <w:tcBorders>
              <w:top w:val="single" w:color="0F766E" w:sz="1"/>
              <w:left w:val="single" w:color="0F766E" w:sz="1"/>
              <w:bottom w:val="single" w:color="0F766E" w:sz="1"/>
              <w:right w:val="single" w:color="0F766E" w:sz="1"/>
            </w:tcBorders>
            <w:shd w:fill="0F766E"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Routes Calls To</w:t>
            </w:r>
          </w:p>
        </w:tc>
      </w:tr>
      <w:tr>
        <w:tc>
          <w:tcPr>
            <w:tcW w:type="dxa" w:w="24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core/ftf_client.py</w:t>
            </w:r>
          </w:p>
        </w:tc>
        <w:tc>
          <w:tcPr>
            <w:tcW w:type="dxa" w:w="69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FTF CRM API + FTF Books API + Pricing API — all three</w:t>
            </w:r>
          </w:p>
        </w:tc>
      </w:tr>
      <w:tr>
        <w:tc>
          <w:tcPr>
            <w:tcW w:type="dxa" w:w="24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core/claude_client.py</w:t>
            </w:r>
          </w:p>
        </w:tc>
        <w:tc>
          <w:tcPr>
            <w:tcW w:type="dxa" w:w="696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Anthropic Claude API — primary LLM</w:t>
            </w:r>
          </w:p>
        </w:tc>
      </w:tr>
      <w:tr>
        <w:tc>
          <w:tcPr>
            <w:tcW w:type="dxa" w:w="24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core/claude_backup_client.py</w:t>
            </w:r>
          </w:p>
        </w:tc>
        <w:tc>
          <w:tcPr>
            <w:tcW w:type="dxa" w:w="69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Backup LLM — failover if primary down</w:t>
            </w:r>
          </w:p>
        </w:tc>
      </w:tr>
      <w:tr>
        <w:tc>
          <w:tcPr>
            <w:tcW w:type="dxa" w:w="24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core/fema_client.py</w:t>
            </w:r>
          </w:p>
        </w:tc>
        <w:tc>
          <w:tcPr>
            <w:tcW w:type="dxa" w:w="696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FEMA Flood Map Service API</w:t>
            </w:r>
          </w:p>
        </w:tc>
      </w:tr>
    </w:tbl>
    <w:p>
      <w:r>
        <w:br w:type="page"/>
      </w:r>
    </w:p>
    <w:p>
      <w:pPr>
        <w:pBdr>
          <w:bottom w:val="single" w:color="92400E" w:sz="10" w:space="1"/>
        </w:pBdr>
        <w:spacing w:after="100" w:before="300"/>
      </w:pPr>
      <w:r>
        <w:rPr>
          <w:rFonts w:ascii="Arial" w:cs="Arial" w:eastAsia="Arial" w:hAnsi="Arial"/>
          <w:b/>
          <w:bCs/>
          <w:i w:val="false"/>
          <w:iCs w:val="false"/>
          <w:color w:val="1E1B4B"/>
          <w:sz w:val="38"/>
          <w:szCs w:val="38"/>
        </w:rPr>
        <w:t xml:space="preserve">10.  Knowledge Base &amp; Required Recordings</w:t>
      </w:r>
    </w:p>
    <w:p>
      <w:pPr>
        <w:spacing w:after="50" w:before="50"/>
        <w:jc w:val="left"/>
      </w:pPr>
      <w:r>
        <w:rPr>
          <w:rFonts w:ascii="Arial" w:cs="Arial" w:eastAsia="Arial" w:hAnsi="Arial"/>
          <w:b w:val="false"/>
          <w:bCs w:val="false"/>
          <w:i w:val="false"/>
          <w:iCs w:val="false"/>
          <w:color w:val="1F2937"/>
          <w:sz w:val="20"/>
          <w:szCs w:val="20"/>
        </w:rPr>
        <w:t xml:space="preserve">The AI has no knowledge of the business until the recordings are completed. Every agent prompt is built from what is captured in these 15 sessions.</w:t>
      </w:r>
    </w:p>
    <w:p>
      <w:pPr>
        <w:spacing w:after="1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2000"/>
        <w:gridCol w:w="4260"/>
      </w:tblGrid>
      <w:tr>
        <w:tc>
          <w:tcPr>
            <w:tcW w:type="dxa" w:w="500"/>
            <w:tcBorders>
              <w:top w:val="single" w:color="92400E" w:sz="1"/>
              <w:left w:val="single" w:color="92400E" w:sz="1"/>
              <w:bottom w:val="single" w:color="92400E" w:sz="1"/>
              <w:right w:val="single" w:color="92400E" w:sz="1"/>
            </w:tcBorders>
            <w:shd w:fill="92400E"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w:t>
            </w:r>
          </w:p>
        </w:tc>
        <w:tc>
          <w:tcPr>
            <w:tcW w:type="dxa" w:w="2600"/>
            <w:tcBorders>
              <w:top w:val="single" w:color="92400E" w:sz="1"/>
              <w:left w:val="single" w:color="92400E" w:sz="1"/>
              <w:bottom w:val="single" w:color="92400E" w:sz="1"/>
              <w:right w:val="single" w:color="92400E" w:sz="1"/>
            </w:tcBorders>
            <w:shd w:fill="92400E"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Recording Title</w:t>
            </w:r>
          </w:p>
        </w:tc>
        <w:tc>
          <w:tcPr>
            <w:tcW w:type="dxa" w:w="2000"/>
            <w:tcBorders>
              <w:top w:val="single" w:color="92400E" w:sz="1"/>
              <w:left w:val="single" w:color="92400E" w:sz="1"/>
              <w:bottom w:val="single" w:color="92400E" w:sz="1"/>
              <w:right w:val="single" w:color="92400E" w:sz="1"/>
            </w:tcBorders>
            <w:shd w:fill="92400E"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Who Records</w:t>
            </w:r>
          </w:p>
        </w:tc>
        <w:tc>
          <w:tcPr>
            <w:tcW w:type="dxa" w:w="4260"/>
            <w:tcBorders>
              <w:top w:val="single" w:color="92400E" w:sz="1"/>
              <w:left w:val="single" w:color="92400E" w:sz="1"/>
              <w:bottom w:val="single" w:color="92400E" w:sz="1"/>
              <w:right w:val="single" w:color="92400E" w:sz="1"/>
            </w:tcBorders>
            <w:shd w:fill="92400E"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Why It Is Critical</w:t>
            </w:r>
          </w:p>
        </w:tc>
      </w:tr>
      <w:tr>
        <w:tc>
          <w:tcPr>
            <w:tcW w:type="dxa" w:w="5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1</w:t>
            </w:r>
          </w:p>
        </w:tc>
        <w:tc>
          <w:tcPr>
            <w:tcW w:type="dxa" w:w="26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Standard Individual Customer — Full Invoice</w:t>
            </w:r>
          </w:p>
        </w:tc>
        <w:tc>
          <w:tcPr>
            <w:tcW w:type="dxa" w:w="20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Robert / Mark</w:t>
            </w:r>
          </w:p>
        </w:tc>
        <w:tc>
          <w:tcPr>
            <w:tcW w:type="dxa" w:w="42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AI's baseline for all normal estimate orders</w:t>
            </w:r>
          </w:p>
        </w:tc>
      </w:tr>
      <w:tr>
        <w:tc>
          <w:tcPr>
            <w:tcW w:type="dxa" w:w="5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2</w:t>
            </w:r>
          </w:p>
        </w:tc>
        <w:tc>
          <w:tcPr>
            <w:tcW w:type="dxa" w:w="26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B2B / Title Company Order — Full Invoice</w:t>
            </w:r>
          </w:p>
        </w:tc>
        <w:tc>
          <w:tcPr>
            <w:tcW w:type="dxa" w:w="20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Robert / Mark</w:t>
            </w:r>
          </w:p>
        </w:tc>
        <w:tc>
          <w:tcPr>
            <w:tcW w:type="dxa" w:w="426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Different pricing tier and email tone for business clients</w:t>
            </w:r>
          </w:p>
        </w:tc>
      </w:tr>
      <w:tr>
        <w:tc>
          <w:tcPr>
            <w:tcW w:type="dxa" w:w="5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3</w:t>
            </w:r>
          </w:p>
        </w:tc>
        <w:tc>
          <w:tcPr>
            <w:tcW w:type="dxa" w:w="26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Customer with Special Pricing Override</w:t>
            </w:r>
          </w:p>
        </w:tc>
        <w:tc>
          <w:tcPr>
            <w:tcW w:type="dxa" w:w="20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Robert / Mark</w:t>
            </w:r>
          </w:p>
        </w:tc>
        <w:tc>
          <w:tcPr>
            <w:tcW w:type="dxa" w:w="42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When and how to use per-company rate instead of master sheet</w:t>
            </w:r>
          </w:p>
        </w:tc>
      </w:tr>
      <w:tr>
        <w:tc>
          <w:tcPr>
            <w:tcW w:type="dxa" w:w="5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4</w:t>
            </w:r>
          </w:p>
        </w:tc>
        <w:tc>
          <w:tcPr>
            <w:tcW w:type="dxa" w:w="26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FEMA Flood Zone Property</w:t>
            </w:r>
          </w:p>
        </w:tc>
        <w:tc>
          <w:tcPr>
            <w:tcW w:type="dxa" w:w="20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Robert / Mark</w:t>
            </w:r>
          </w:p>
        </w:tc>
        <w:tc>
          <w:tcPr>
            <w:tcW w:type="dxa" w:w="426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When to add elevation certificate and how to communicate it</w:t>
            </w:r>
          </w:p>
        </w:tc>
      </w:tr>
      <w:tr>
        <w:tc>
          <w:tcPr>
            <w:tcW w:type="dxa" w:w="5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5</w:t>
            </w:r>
          </w:p>
        </w:tc>
        <w:tc>
          <w:tcPr>
            <w:tcW w:type="dxa" w:w="26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Unusual Survey Type</w:t>
            </w:r>
          </w:p>
        </w:tc>
        <w:tc>
          <w:tcPr>
            <w:tcW w:type="dxa" w:w="20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Robert / Mark</w:t>
            </w:r>
          </w:p>
        </w:tc>
        <w:tc>
          <w:tcPr>
            <w:tcW w:type="dxa" w:w="42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Teaches AI which survey types are non-standard and need flagging</w:t>
            </w:r>
          </w:p>
        </w:tc>
      </w:tr>
      <w:tr>
        <w:tc>
          <w:tcPr>
            <w:tcW w:type="dxa" w:w="5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6</w:t>
            </w:r>
          </w:p>
        </w:tc>
        <w:tc>
          <w:tcPr>
            <w:tcW w:type="dxa" w:w="26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Order from Competitor Company</w:t>
            </w:r>
          </w:p>
        </w:tc>
        <w:tc>
          <w:tcPr>
            <w:tcW w:type="dxa" w:w="20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Robert / Mark</w:t>
            </w:r>
          </w:p>
        </w:tc>
        <w:tc>
          <w:tcPr>
            <w:tcW w:type="dxa" w:w="426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Most critical — AI must never auto-quote a competitor</w:t>
            </w:r>
          </w:p>
        </w:tc>
      </w:tr>
      <w:tr>
        <w:tc>
          <w:tcPr>
            <w:tcW w:type="dxa" w:w="5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7</w:t>
            </w:r>
          </w:p>
        </w:tc>
        <w:tc>
          <w:tcPr>
            <w:tcW w:type="dxa" w:w="26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Large or Complex Property</w:t>
            </w:r>
          </w:p>
        </w:tc>
        <w:tc>
          <w:tcPr>
            <w:tcW w:type="dxa" w:w="20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Robert / Mark</w:t>
            </w:r>
          </w:p>
        </w:tc>
        <w:tc>
          <w:tcPr>
            <w:tcW w:type="dxa" w:w="42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Pricing judgment for non-standard acreage or site conditions</w:t>
            </w:r>
          </w:p>
        </w:tc>
      </w:tr>
      <w:tr>
        <w:tc>
          <w:tcPr>
            <w:tcW w:type="dxa" w:w="5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8</w:t>
            </w:r>
          </w:p>
        </w:tc>
        <w:tc>
          <w:tcPr>
            <w:tcW w:type="dxa" w:w="26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Incomplete or Unclear Order</w:t>
            </w:r>
          </w:p>
        </w:tc>
        <w:tc>
          <w:tcPr>
            <w:tcW w:type="dxa" w:w="20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Robert / Mark</w:t>
            </w:r>
          </w:p>
        </w:tc>
        <w:tc>
          <w:tcPr>
            <w:tcW w:type="dxa" w:w="426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What to do when required fields are missing</w:t>
            </w:r>
          </w:p>
        </w:tc>
      </w:tr>
      <w:tr>
        <w:tc>
          <w:tcPr>
            <w:tcW w:type="dxa" w:w="5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9</w:t>
            </w:r>
          </w:p>
        </w:tc>
        <w:tc>
          <w:tcPr>
            <w:tcW w:type="dxa" w:w="26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New Customer with No History</w:t>
            </w:r>
          </w:p>
        </w:tc>
        <w:tc>
          <w:tcPr>
            <w:tcW w:type="dxa" w:w="20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Robert / Mark</w:t>
            </w:r>
          </w:p>
        </w:tc>
        <w:tc>
          <w:tcPr>
            <w:tcW w:type="dxa" w:w="42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Why new customers need extra classification before quoting</w:t>
            </w:r>
          </w:p>
        </w:tc>
      </w:tr>
      <w:tr>
        <w:tc>
          <w:tcPr>
            <w:tcW w:type="dxa" w:w="5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10</w:t>
            </w:r>
          </w:p>
        </w:tc>
        <w:tc>
          <w:tcPr>
            <w:tcW w:type="dxa" w:w="26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AR Follow-Up Process</w:t>
            </w:r>
          </w:p>
        </w:tc>
        <w:tc>
          <w:tcPr>
            <w:tcW w:type="dxa" w:w="20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Jessica</w:t>
            </w:r>
          </w:p>
        </w:tc>
        <w:tc>
          <w:tcPr>
            <w:tcW w:type="dxa" w:w="426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Teaches tone, schedule, and escalation for payment reminders</w:t>
            </w:r>
          </w:p>
        </w:tc>
      </w:tr>
      <w:tr>
        <w:tc>
          <w:tcPr>
            <w:tcW w:type="dxa" w:w="5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11</w:t>
            </w:r>
          </w:p>
        </w:tc>
        <w:tc>
          <w:tcPr>
            <w:tcW w:type="dxa" w:w="26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Monthly Statement Process</w:t>
            </w:r>
          </w:p>
        </w:tc>
        <w:tc>
          <w:tcPr>
            <w:tcW w:type="dxa" w:w="20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Wyatt + Jessica</w:t>
            </w:r>
          </w:p>
        </w:tc>
        <w:tc>
          <w:tcPr>
            <w:tcW w:type="dxa" w:w="42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Teaches statement format, content, and delivery expectations</w:t>
            </w:r>
          </w:p>
        </w:tc>
      </w:tr>
      <w:tr>
        <w:tc>
          <w:tcPr>
            <w:tcW w:type="dxa" w:w="5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12</w:t>
            </w:r>
          </w:p>
        </w:tc>
        <w:tc>
          <w:tcPr>
            <w:tcW w:type="dxa" w:w="26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Full Pricing Sheet Walkthrough</w:t>
            </w:r>
          </w:p>
        </w:tc>
        <w:tc>
          <w:tcPr>
            <w:tcW w:type="dxa" w:w="20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Robert / Mark</w:t>
            </w:r>
          </w:p>
        </w:tc>
        <w:tc>
          <w:tcPr>
            <w:tcW w:type="dxa" w:w="426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Every service, every rate, every exception — the AI's pricing bible</w:t>
            </w:r>
          </w:p>
        </w:tc>
      </w:tr>
      <w:tr>
        <w:tc>
          <w:tcPr>
            <w:tcW w:type="dxa" w:w="5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13</w:t>
            </w:r>
          </w:p>
        </w:tc>
        <w:tc>
          <w:tcPr>
            <w:tcW w:type="dxa" w:w="26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Topographic Survey Request</w:t>
            </w:r>
          </w:p>
        </w:tc>
        <w:tc>
          <w:tcPr>
            <w:tcW w:type="dxa" w:w="20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Robert / Mark</w:t>
            </w:r>
          </w:p>
        </w:tc>
        <w:tc>
          <w:tcPr>
            <w:tcW w:type="dxa" w:w="42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Topo-specific pricing logic and data requirements</w:t>
            </w:r>
          </w:p>
        </w:tc>
      </w:tr>
      <w:tr>
        <w:tc>
          <w:tcPr>
            <w:tcW w:type="dxa" w:w="5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14</w:t>
            </w:r>
          </w:p>
        </w:tc>
        <w:tc>
          <w:tcPr>
            <w:tcW w:type="dxa" w:w="26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Construction Survey Requests</w:t>
            </w:r>
          </w:p>
        </w:tc>
        <w:tc>
          <w:tcPr>
            <w:tcW w:type="dxa" w:w="20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Robert / Mark</w:t>
            </w:r>
          </w:p>
        </w:tc>
        <w:tc>
          <w:tcPr>
            <w:tcW w:type="dxa" w:w="426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Why construction orders always need human review first</w:t>
            </w:r>
          </w:p>
        </w:tc>
      </w:tr>
      <w:tr>
        <w:tc>
          <w:tcPr>
            <w:tcW w:type="dxa" w:w="5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15</w:t>
            </w:r>
          </w:p>
        </w:tc>
        <w:tc>
          <w:tcPr>
            <w:tcW w:type="dxa" w:w="26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Permitting Survey Types</w:t>
            </w:r>
          </w:p>
        </w:tc>
        <w:tc>
          <w:tcPr>
            <w:tcW w:type="dxa" w:w="20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Robert / Mark</w:t>
            </w:r>
          </w:p>
        </w:tc>
        <w:tc>
          <w:tcPr>
            <w:tcW w:type="dxa" w:w="42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How to identify and route permitting survey requests</w:t>
            </w:r>
          </w:p>
        </w:tc>
      </w:tr>
    </w:tbl>
    <w:p>
      <w:r>
        <w:br w:type="page"/>
      </w:r>
    </w:p>
    <w:p>
      <w:pPr>
        <w:pBdr>
          <w:bottom w:val="single" w:color="065F46" w:sz="10" w:space="1"/>
        </w:pBdr>
        <w:spacing w:after="100" w:before="300"/>
      </w:pPr>
      <w:r>
        <w:rPr>
          <w:rFonts w:ascii="Arial" w:cs="Arial" w:eastAsia="Arial" w:hAnsi="Arial"/>
          <w:b/>
          <w:bCs/>
          <w:i w:val="false"/>
          <w:iCs w:val="false"/>
          <w:color w:val="1E1B4B"/>
          <w:sz w:val="38"/>
          <w:szCs w:val="38"/>
        </w:rPr>
        <w:t xml:space="preserve">11.  Decisions Made — Confirmed by Stakeholders</w:t>
      </w:r>
    </w:p>
    <w:p>
      <w:pPr>
        <w:spacing w:after="50" w:before="50"/>
        <w:jc w:val="left"/>
      </w:pPr>
      <w:r>
        <w:rPr>
          <w:rFonts w:ascii="Arial" w:cs="Arial" w:eastAsia="Arial" w:hAnsi="Arial"/>
          <w:b w:val="false"/>
          <w:bCs w:val="false"/>
          <w:i w:val="false"/>
          <w:iCs w:val="false"/>
          <w:color w:val="1F2937"/>
          <w:sz w:val="20"/>
          <w:szCs w:val="20"/>
        </w:rPr>
        <w:t xml:space="preserve">These are decisions confirmed during the requirements sessions. They are locked into the build.</w:t>
      </w:r>
    </w:p>
    <w:p>
      <w:pPr>
        <w:spacing w:after="1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160"/>
        <w:gridCol w:w="2800"/>
      </w:tblGrid>
      <w:tr>
        <w:tc>
          <w:tcPr>
            <w:tcW w:type="dxa" w:w="3400"/>
            <w:tcBorders>
              <w:top w:val="single" w:color="065F46" w:sz="1"/>
              <w:left w:val="single" w:color="065F46" w:sz="1"/>
              <w:bottom w:val="single" w:color="065F46" w:sz="1"/>
              <w:right w:val="single" w:color="065F46" w:sz="1"/>
            </w:tcBorders>
            <w:shd w:fill="065F46"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Decision</w:t>
            </w:r>
          </w:p>
        </w:tc>
        <w:tc>
          <w:tcPr>
            <w:tcW w:type="dxa" w:w="3160"/>
            <w:tcBorders>
              <w:top w:val="single" w:color="065F46" w:sz="1"/>
              <w:left w:val="single" w:color="065F46" w:sz="1"/>
              <w:bottom w:val="single" w:color="065F46" w:sz="1"/>
              <w:right w:val="single" w:color="065F46" w:sz="1"/>
            </w:tcBorders>
            <w:shd w:fill="065F46"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Answer Confirmed</w:t>
            </w:r>
          </w:p>
        </w:tc>
        <w:tc>
          <w:tcPr>
            <w:tcW w:type="dxa" w:w="2800"/>
            <w:tcBorders>
              <w:top w:val="single" w:color="065F46" w:sz="1"/>
              <w:left w:val="single" w:color="065F46" w:sz="1"/>
              <w:bottom w:val="single" w:color="065F46" w:sz="1"/>
              <w:right w:val="single" w:color="065F46" w:sz="1"/>
            </w:tcBorders>
            <w:shd w:fill="065F46"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Owner</w:t>
            </w:r>
          </w:p>
        </w:tc>
      </w:tr>
      <w:tr>
        <w:tc>
          <w:tcPr>
            <w:tcW w:type="dxa" w:w="34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How long does AI wait before sending an estimate?</w:t>
            </w:r>
          </w:p>
        </w:tc>
        <w:tc>
          <w:tcPr>
            <w:tcW w:type="dxa" w:w="31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Random delay — 6 to 13 minutes — to feel human, not robotic</w:t>
            </w:r>
          </w:p>
        </w:tc>
        <w:tc>
          <w:tcPr>
            <w:tcW w:type="dxa" w:w="28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Ryan / Prateek</w:t>
            </w:r>
          </w:p>
        </w:tc>
      </w:tr>
      <w:tr>
        <w:tc>
          <w:tcPr>
            <w:tcW w:type="dxa" w:w="34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FEMA flood zone — auto-add elevation cert or flag first?</w:t>
            </w:r>
          </w:p>
        </w:tc>
        <w:tc>
          <w:tcPr>
            <w:tcW w:type="dxa" w:w="316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AI handles automatically — no flag required</w:t>
            </w:r>
          </w:p>
        </w:tc>
        <w:tc>
          <w:tcPr>
            <w:tcW w:type="dxa" w:w="28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Ryan</w:t>
            </w:r>
          </w:p>
        </w:tc>
      </w:tr>
      <w:tr>
        <w:tc>
          <w:tcPr>
            <w:tcW w:type="dxa" w:w="34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Monthly statement trigger — 1st or 30 days after first order?</w:t>
            </w:r>
          </w:p>
        </w:tc>
        <w:tc>
          <w:tcPr>
            <w:tcW w:type="dxa" w:w="31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1st of every calendar month</w:t>
            </w:r>
          </w:p>
        </w:tc>
        <w:tc>
          <w:tcPr>
            <w:tcW w:type="dxa" w:w="28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Ryan / Prateek</w:t>
            </w:r>
          </w:p>
        </w:tc>
      </w:tr>
      <w:tr>
        <w:tc>
          <w:tcPr>
            <w:tcW w:type="dxa" w:w="34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Monthly statement delivery method?</w:t>
            </w:r>
          </w:p>
        </w:tc>
        <w:tc>
          <w:tcPr>
            <w:tcW w:type="dxa" w:w="316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MS Teams message with Excel + PDF attached. Email to billing contact.</w:t>
            </w:r>
          </w:p>
        </w:tc>
        <w:tc>
          <w:tcPr>
            <w:tcW w:type="dxa" w:w="28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Ryan / Prateek</w:t>
            </w:r>
          </w:p>
        </w:tc>
      </w:tr>
      <w:tr>
        <w:tc>
          <w:tcPr>
            <w:tcW w:type="dxa" w:w="34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Should AI handle refunds?</w:t>
            </w:r>
          </w:p>
        </w:tc>
        <w:tc>
          <w:tcPr>
            <w:tcW w:type="dxa" w:w="31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No — refunds routed to Jessica / Bobby. Manual intervention only.</w:t>
            </w:r>
          </w:p>
        </w:tc>
        <w:tc>
          <w:tcPr>
            <w:tcW w:type="dxa" w:w="28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Ryan</w:t>
            </w:r>
          </w:p>
        </w:tc>
      </w:tr>
      <w:tr>
        <w:tc>
          <w:tcPr>
            <w:tcW w:type="dxa" w:w="34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New customer — auto-create or flag?</w:t>
            </w:r>
          </w:p>
        </w:tc>
        <w:tc>
          <w:tcPr>
            <w:tcW w:type="dxa" w:w="316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AI classifies genuine vs competitor. Flags if unsure.</w:t>
            </w:r>
          </w:p>
        </w:tc>
        <w:tc>
          <w:tcPr>
            <w:tcW w:type="dxa" w:w="28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Ryan / Prateek</w:t>
            </w:r>
          </w:p>
        </w:tc>
      </w:tr>
      <w:tr>
        <w:tc>
          <w:tcPr>
            <w:tcW w:type="dxa" w:w="34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Alert channel for flagged orders?</w:t>
            </w:r>
          </w:p>
        </w:tc>
        <w:tc>
          <w:tcPr>
            <w:tcW w:type="dxa" w:w="31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MS Teams + email to relevant stakeholders</w:t>
            </w:r>
          </w:p>
        </w:tc>
        <w:tc>
          <w:tcPr>
            <w:tcW w:type="dxa" w:w="28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Ryan / Prateek</w:t>
            </w:r>
          </w:p>
        </w:tc>
      </w:tr>
      <w:tr>
        <w:tc>
          <w:tcPr>
            <w:tcW w:type="dxa" w:w="34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After human approves flagged order — who sends?</w:t>
            </w:r>
          </w:p>
        </w:tc>
        <w:tc>
          <w:tcPr>
            <w:tcW w:type="dxa" w:w="316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AI sends automatically. No further manual click required.</w:t>
            </w:r>
          </w:p>
        </w:tc>
        <w:tc>
          <w:tcPr>
            <w:tcW w:type="dxa" w:w="28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Ryan / Robert / Mark</w:t>
            </w:r>
          </w:p>
        </w:tc>
      </w:tr>
      <w:tr>
        <w:tc>
          <w:tcPr>
            <w:tcW w:type="dxa" w:w="34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B2B billing contact — one or many?</w:t>
            </w:r>
          </w:p>
        </w:tc>
        <w:tc>
          <w:tcPr>
            <w:tcW w:type="dxa" w:w="31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Master email ID. If none on file — email from the most recent order.</w:t>
            </w:r>
          </w:p>
        </w:tc>
        <w:tc>
          <w:tcPr>
            <w:tcW w:type="dxa" w:w="28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Ryan</w:t>
            </w:r>
          </w:p>
        </w:tc>
      </w:tr>
      <w:tr>
        <w:tc>
          <w:tcPr>
            <w:tcW w:type="dxa" w:w="34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Should Other Services always go to human review?</w:t>
            </w:r>
          </w:p>
        </w:tc>
        <w:tc>
          <w:tcPr>
            <w:tcW w:type="dxa" w:w="316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Yes — always flagged</w:t>
            </w:r>
          </w:p>
        </w:tc>
        <w:tc>
          <w:tcPr>
            <w:tcW w:type="dxa" w:w="28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Ryan / Prateek</w:t>
            </w:r>
          </w:p>
        </w:tc>
      </w:tr>
      <w:tr>
        <w:tc>
          <w:tcPr>
            <w:tcW w:type="dxa" w:w="34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Should ALTA Table A Survey always go to human review?</w:t>
            </w:r>
          </w:p>
        </w:tc>
        <w:tc>
          <w:tcPr>
            <w:tcW w:type="dxa" w:w="31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Yes — always flagged</w:t>
            </w:r>
          </w:p>
        </w:tc>
        <w:tc>
          <w:tcPr>
            <w:tcW w:type="dxa" w:w="28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Ryan / Prateek</w:t>
            </w:r>
          </w:p>
        </w:tc>
      </w:tr>
      <w:tr>
        <w:tc>
          <w:tcPr>
            <w:tcW w:type="dxa" w:w="34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Change order clause on all estimates?</w:t>
            </w:r>
          </w:p>
        </w:tc>
        <w:tc>
          <w:tcPr>
            <w:tcW w:type="dxa" w:w="316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Yes — all estimate types, no exceptions</w:t>
            </w:r>
          </w:p>
        </w:tc>
        <w:tc>
          <w:tcPr>
            <w:tcW w:type="dxa" w:w="28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Ryan</w:t>
            </w:r>
          </w:p>
        </w:tc>
      </w:tr>
      <w:tr>
        <w:tc>
          <w:tcPr>
            <w:tcW w:type="dxa" w:w="34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POF / NGE Books in scope for Phase 1?</w:t>
            </w:r>
          </w:p>
        </w:tc>
        <w:tc>
          <w:tcPr>
            <w:tcW w:type="dxa" w:w="31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No — FTF only for Phase 1. Phase 2 covers POF and NGE.</w:t>
            </w:r>
          </w:p>
        </w:tc>
        <w:tc>
          <w:tcPr>
            <w:tcW w:type="dxa" w:w="28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Ryan</w:t>
            </w:r>
          </w:p>
        </w:tc>
      </w:tr>
    </w:tbl>
    <w:p>
      <w:r>
        <w:br w:type="page"/>
      </w:r>
    </w:p>
    <w:p>
      <w:pPr>
        <w:pBdr>
          <w:bottom w:val="single" w:color="991B1B" w:sz="10" w:space="1"/>
        </w:pBdr>
        <w:spacing w:after="100" w:before="300"/>
      </w:pPr>
      <w:r>
        <w:rPr>
          <w:rFonts w:ascii="Arial" w:cs="Arial" w:eastAsia="Arial" w:hAnsi="Arial"/>
          <w:b/>
          <w:bCs/>
          <w:i w:val="false"/>
          <w:iCs w:val="false"/>
          <w:color w:val="1E1B4B"/>
          <w:sz w:val="38"/>
          <w:szCs w:val="38"/>
        </w:rPr>
        <w:t xml:space="preserve">12.  Open Dependencies — Still Pending</w:t>
      </w:r>
    </w:p>
    <w:p>
      <w:pPr>
        <w:spacing w:after="50" w:before="50"/>
        <w:jc w:val="left"/>
      </w:pPr>
      <w:r>
        <w:rPr>
          <w:rFonts w:ascii="Arial" w:cs="Arial" w:eastAsia="Arial" w:hAnsi="Arial"/>
          <w:b w:val="false"/>
          <w:bCs w:val="false"/>
          <w:i w:val="false"/>
          <w:iCs w:val="false"/>
          <w:color w:val="1F2937"/>
          <w:sz w:val="20"/>
          <w:szCs w:val="20"/>
        </w:rPr>
        <w:t xml:space="preserve">These items have not yet been confirmed and must be resolved before the relevant build phase can start.</w:t>
      </w:r>
    </w:p>
    <w:p>
      <w:pPr>
        <w:spacing w:after="1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960"/>
        <w:gridCol w:w="1500"/>
        <w:gridCol w:w="1500"/>
      </w:tblGrid>
      <w:tr>
        <w:tc>
          <w:tcPr>
            <w:tcW w:type="dxa" w:w="1400"/>
            <w:tcBorders>
              <w:top w:val="single" w:color="1E1B4B" w:sz="1"/>
              <w:left w:val="single" w:color="1E1B4B" w:sz="1"/>
              <w:bottom w:val="single" w:color="1E1B4B" w:sz="1"/>
              <w:right w:val="single" w:color="1E1B4B" w:sz="1"/>
            </w:tcBorders>
            <w:shd w:fill="1E1B4B"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Priority</w:t>
            </w:r>
          </w:p>
        </w:tc>
        <w:tc>
          <w:tcPr>
            <w:tcW w:type="dxa" w:w="4960"/>
            <w:tcBorders>
              <w:top w:val="single" w:color="1E1B4B" w:sz="1"/>
              <w:left w:val="single" w:color="1E1B4B" w:sz="1"/>
              <w:bottom w:val="single" w:color="1E1B4B" w:sz="1"/>
              <w:right w:val="single" w:color="1E1B4B" w:sz="1"/>
            </w:tcBorders>
            <w:shd w:fill="1E1B4B"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Dependency</w:t>
            </w:r>
          </w:p>
        </w:tc>
        <w:tc>
          <w:tcPr>
            <w:tcW w:type="dxa" w:w="1500"/>
            <w:tcBorders>
              <w:top w:val="single" w:color="1E1B4B" w:sz="1"/>
              <w:left w:val="single" w:color="1E1B4B" w:sz="1"/>
              <w:bottom w:val="single" w:color="1E1B4B" w:sz="1"/>
              <w:right w:val="single" w:color="1E1B4B" w:sz="1"/>
            </w:tcBorders>
            <w:shd w:fill="1E1B4B"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Owner</w:t>
            </w:r>
          </w:p>
        </w:tc>
        <w:tc>
          <w:tcPr>
            <w:tcW w:type="dxa" w:w="1500"/>
            <w:tcBorders>
              <w:top w:val="single" w:color="1E1B4B" w:sz="1"/>
              <w:left w:val="single" w:color="1E1B4B" w:sz="1"/>
              <w:bottom w:val="single" w:color="1E1B4B" w:sz="1"/>
              <w:right w:val="single" w:color="1E1B4B" w:sz="1"/>
            </w:tcBorders>
            <w:shd w:fill="1E1B4B"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Notes</w:t>
            </w:r>
          </w:p>
        </w:tc>
      </w:tr>
      <w:tr>
        <w:tc>
          <w:tcPr>
            <w:tcW w:type="dxa" w:w="1400"/>
            <w:tcBorders>
              <w:top w:val="single" w:color="DC2626" w:sz="1"/>
              <w:left w:val="single" w:color="DC2626" w:sz="1"/>
              <w:bottom w:val="single" w:color="DC2626" w:sz="1"/>
              <w:right w:val="single" w:color="DC2626" w:sz="1"/>
            </w:tcBorders>
            <w:shd w:fill="FEE2E2" w:val="clear"/>
            <w:tcMar>
              <w:top w:type="dxa" w:w="70"/>
              <w:left w:type="dxa" w:w="100"/>
              <w:bottom w:type="dxa" w:w="70"/>
              <w:right w:type="dxa" w:w="100"/>
            </w:tcMar>
          </w:tcPr>
          <w:p>
            <w:pPr>
              <w:spacing w:after="50" w:before="50"/>
              <w:jc w:val="left"/>
            </w:pPr>
            <w:r>
              <w:rPr>
                <w:rFonts w:ascii="Arial" w:cs="Arial" w:eastAsia="Arial" w:hAnsi="Arial"/>
                <w:b/>
                <w:bCs/>
                <w:i w:val="false"/>
                <w:iCs w:val="false"/>
                <w:color w:val="991B1B"/>
                <w:sz w:val="15"/>
                <w:szCs w:val="15"/>
              </w:rPr>
              <w:t xml:space="preserve">🔴 CRITICAL</w:t>
            </w:r>
          </w:p>
        </w:tc>
        <w:tc>
          <w:tcPr>
            <w:tcW w:type="dxa" w:w="49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Ryan must provide the approved change order clause text before Agent 6 can be built.</w:t>
            </w:r>
          </w:p>
        </w:tc>
        <w:tc>
          <w:tcPr>
            <w:tcW w:type="dxa" w:w="15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1E1B4B"/>
                <w:sz w:val="18"/>
                <w:szCs w:val="18"/>
              </w:rPr>
              <w:t xml:space="preserve">Ryan</w:t>
            </w:r>
          </w:p>
        </w:tc>
        <w:tc>
          <w:tcPr>
            <w:tcW w:type="dxa" w:w="1500"/>
            <w:tcBorders>
              <w:top w:val="single" w:color="D1D5DB" w:sz="1"/>
              <w:left w:val="single" w:color="D1D5DB" w:sz="1"/>
              <w:bottom w:val="single" w:color="D1D5DB" w:sz="1"/>
              <w:right w:val="single" w:color="D1D5DB" w:sz="1"/>
            </w:tcBorders>
            <w:shd w:fill="F9FAFB"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6B7280"/>
                <w:sz w:val="17"/>
                <w:szCs w:val="17"/>
              </w:rPr>
              <w:t xml:space="preserve"/>
            </w:r>
          </w:p>
        </w:tc>
      </w:tr>
      <w:tr>
        <w:tc>
          <w:tcPr>
            <w:tcW w:type="dxa" w:w="1400"/>
            <w:tcBorders>
              <w:top w:val="single" w:color="DC2626" w:sz="1"/>
              <w:left w:val="single" w:color="DC2626" w:sz="1"/>
              <w:bottom w:val="single" w:color="DC2626" w:sz="1"/>
              <w:right w:val="single" w:color="DC2626" w:sz="1"/>
            </w:tcBorders>
            <w:shd w:fill="FEE2E2" w:val="clear"/>
            <w:tcMar>
              <w:top w:type="dxa" w:w="70"/>
              <w:left w:type="dxa" w:w="100"/>
              <w:bottom w:type="dxa" w:w="70"/>
              <w:right w:type="dxa" w:w="100"/>
            </w:tcMar>
          </w:tcPr>
          <w:p>
            <w:pPr>
              <w:spacing w:after="50" w:before="50"/>
              <w:jc w:val="left"/>
            </w:pPr>
            <w:r>
              <w:rPr>
                <w:rFonts w:ascii="Arial" w:cs="Arial" w:eastAsia="Arial" w:hAnsi="Arial"/>
                <w:b/>
                <w:bCs/>
                <w:i w:val="false"/>
                <w:iCs w:val="false"/>
                <w:color w:val="991B1B"/>
                <w:sz w:val="15"/>
                <w:szCs w:val="15"/>
              </w:rPr>
              <w:t xml:space="preserve">🔴 CRITICAL</w:t>
            </w:r>
          </w:p>
        </w:tc>
        <w:tc>
          <w:tcPr>
            <w:tcW w:type="dxa" w:w="496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Robert and Mark recording sessions (13 sessions) must be completed and sent to Prateek.</w:t>
            </w:r>
          </w:p>
        </w:tc>
        <w:tc>
          <w:tcPr>
            <w:tcW w:type="dxa" w:w="15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1E1B4B"/>
                <w:sz w:val="18"/>
                <w:szCs w:val="18"/>
              </w:rPr>
              <w:t xml:space="preserve">Robert / Mark</w:t>
            </w:r>
          </w:p>
        </w:tc>
        <w:tc>
          <w:tcPr>
            <w:tcW w:type="dxa" w:w="1500"/>
            <w:tcBorders>
              <w:top w:val="single" w:color="D1D5DB" w:sz="1"/>
              <w:left w:val="single" w:color="D1D5DB" w:sz="1"/>
              <w:bottom w:val="single" w:color="D1D5DB" w:sz="1"/>
              <w:right w:val="single" w:color="D1D5DB" w:sz="1"/>
            </w:tcBorders>
            <w:shd w:fill="F9FAFB"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6B7280"/>
                <w:sz w:val="17"/>
                <w:szCs w:val="17"/>
              </w:rPr>
              <w:t xml:space="preserve"/>
            </w:r>
          </w:p>
        </w:tc>
      </w:tr>
      <w:tr>
        <w:tc>
          <w:tcPr>
            <w:tcW w:type="dxa" w:w="1400"/>
            <w:tcBorders>
              <w:top w:val="single" w:color="DC2626" w:sz="1"/>
              <w:left w:val="single" w:color="DC2626" w:sz="1"/>
              <w:bottom w:val="single" w:color="DC2626" w:sz="1"/>
              <w:right w:val="single" w:color="DC2626" w:sz="1"/>
            </w:tcBorders>
            <w:shd w:fill="FEE2E2" w:val="clear"/>
            <w:tcMar>
              <w:top w:type="dxa" w:w="70"/>
              <w:left w:type="dxa" w:w="100"/>
              <w:bottom w:type="dxa" w:w="70"/>
              <w:right w:type="dxa" w:w="100"/>
            </w:tcMar>
          </w:tcPr>
          <w:p>
            <w:pPr>
              <w:spacing w:after="50" w:before="50"/>
              <w:jc w:val="left"/>
            </w:pPr>
            <w:r>
              <w:rPr>
                <w:rFonts w:ascii="Arial" w:cs="Arial" w:eastAsia="Arial" w:hAnsi="Arial"/>
                <w:b/>
                <w:bCs/>
                <w:i w:val="false"/>
                <w:iCs w:val="false"/>
                <w:color w:val="991B1B"/>
                <w:sz w:val="15"/>
                <w:szCs w:val="15"/>
              </w:rPr>
              <w:t xml:space="preserve">🔴 CRITICAL</w:t>
            </w:r>
          </w:p>
        </w:tc>
        <w:tc>
          <w:tcPr>
            <w:tcW w:type="dxa" w:w="49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Jessica recording session (Recording 10) must be completed.</w:t>
            </w:r>
          </w:p>
        </w:tc>
        <w:tc>
          <w:tcPr>
            <w:tcW w:type="dxa" w:w="15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1E1B4B"/>
                <w:sz w:val="18"/>
                <w:szCs w:val="18"/>
              </w:rPr>
              <w:t xml:space="preserve">Jessica</w:t>
            </w:r>
          </w:p>
        </w:tc>
        <w:tc>
          <w:tcPr>
            <w:tcW w:type="dxa" w:w="1500"/>
            <w:tcBorders>
              <w:top w:val="single" w:color="D1D5DB" w:sz="1"/>
              <w:left w:val="single" w:color="D1D5DB" w:sz="1"/>
              <w:bottom w:val="single" w:color="D1D5DB" w:sz="1"/>
              <w:right w:val="single" w:color="D1D5DB" w:sz="1"/>
            </w:tcBorders>
            <w:shd w:fill="F9FAFB"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6B7280"/>
                <w:sz w:val="17"/>
                <w:szCs w:val="17"/>
              </w:rPr>
              <w:t xml:space="preserve"/>
            </w:r>
          </w:p>
        </w:tc>
      </w:tr>
      <w:tr>
        <w:tc>
          <w:tcPr>
            <w:tcW w:type="dxa" w:w="1400"/>
            <w:tcBorders>
              <w:top w:val="single" w:color="DC2626" w:sz="1"/>
              <w:left w:val="single" w:color="DC2626" w:sz="1"/>
              <w:bottom w:val="single" w:color="DC2626" w:sz="1"/>
              <w:right w:val="single" w:color="DC2626" w:sz="1"/>
            </w:tcBorders>
            <w:shd w:fill="FEE2E2" w:val="clear"/>
            <w:tcMar>
              <w:top w:type="dxa" w:w="70"/>
              <w:left w:type="dxa" w:w="100"/>
              <w:bottom w:type="dxa" w:w="70"/>
              <w:right w:type="dxa" w:w="100"/>
            </w:tcMar>
          </w:tcPr>
          <w:p>
            <w:pPr>
              <w:spacing w:after="50" w:before="50"/>
              <w:jc w:val="left"/>
            </w:pPr>
            <w:r>
              <w:rPr>
                <w:rFonts w:ascii="Arial" w:cs="Arial" w:eastAsia="Arial" w:hAnsi="Arial"/>
                <w:b/>
                <w:bCs/>
                <w:i w:val="false"/>
                <w:iCs w:val="false"/>
                <w:color w:val="991B1B"/>
                <w:sz w:val="15"/>
                <w:szCs w:val="15"/>
              </w:rPr>
              <w:t xml:space="preserve">🔴 CRITICAL</w:t>
            </w:r>
          </w:p>
        </w:tc>
        <w:tc>
          <w:tcPr>
            <w:tcW w:type="dxa" w:w="496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Wyatt and Jessica recording session (Recording 11) must be completed.</w:t>
            </w:r>
          </w:p>
        </w:tc>
        <w:tc>
          <w:tcPr>
            <w:tcW w:type="dxa" w:w="15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1E1B4B"/>
                <w:sz w:val="18"/>
                <w:szCs w:val="18"/>
              </w:rPr>
              <w:t xml:space="preserve">Wyatt + Jessica</w:t>
            </w:r>
          </w:p>
        </w:tc>
        <w:tc>
          <w:tcPr>
            <w:tcW w:type="dxa" w:w="1500"/>
            <w:tcBorders>
              <w:top w:val="single" w:color="D1D5DB" w:sz="1"/>
              <w:left w:val="single" w:color="D1D5DB" w:sz="1"/>
              <w:bottom w:val="single" w:color="D1D5DB" w:sz="1"/>
              <w:right w:val="single" w:color="D1D5DB" w:sz="1"/>
            </w:tcBorders>
            <w:shd w:fill="F9FAFB"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6B7280"/>
                <w:sz w:val="17"/>
                <w:szCs w:val="17"/>
              </w:rPr>
              <w:t xml:space="preserve"/>
            </w:r>
          </w:p>
        </w:tc>
      </w:tr>
      <w:tr>
        <w:tc>
          <w:tcPr>
            <w:tcW w:type="dxa" w:w="1400"/>
            <w:tcBorders>
              <w:top w:val="single" w:color="DC2626" w:sz="1"/>
              <w:left w:val="single" w:color="DC2626" w:sz="1"/>
              <w:bottom w:val="single" w:color="DC2626" w:sz="1"/>
              <w:right w:val="single" w:color="DC2626" w:sz="1"/>
            </w:tcBorders>
            <w:shd w:fill="FEE2E2" w:val="clear"/>
            <w:tcMar>
              <w:top w:type="dxa" w:w="70"/>
              <w:left w:type="dxa" w:w="100"/>
              <w:bottom w:type="dxa" w:w="70"/>
              <w:right w:type="dxa" w:w="100"/>
            </w:tcMar>
          </w:tcPr>
          <w:p>
            <w:pPr>
              <w:spacing w:after="50" w:before="50"/>
              <w:jc w:val="left"/>
            </w:pPr>
            <w:r>
              <w:rPr>
                <w:rFonts w:ascii="Arial" w:cs="Arial" w:eastAsia="Arial" w:hAnsi="Arial"/>
                <w:b/>
                <w:bCs/>
                <w:i w:val="false"/>
                <w:iCs w:val="false"/>
                <w:color w:val="991B1B"/>
                <w:sz w:val="15"/>
                <w:szCs w:val="15"/>
              </w:rPr>
              <w:t xml:space="preserve">🔴 CRITICAL</w:t>
            </w:r>
          </w:p>
        </w:tc>
        <w:tc>
          <w:tcPr>
            <w:tcW w:type="dxa" w:w="49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Dev team must confirm FTF Books estimate template supports a footer/terms field for the change order clause.</w:t>
            </w:r>
          </w:p>
        </w:tc>
        <w:tc>
          <w:tcPr>
            <w:tcW w:type="dxa" w:w="15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1E1B4B"/>
                <w:sz w:val="18"/>
                <w:szCs w:val="18"/>
              </w:rPr>
              <w:t xml:space="preserve">Dev Team</w:t>
            </w:r>
          </w:p>
        </w:tc>
        <w:tc>
          <w:tcPr>
            <w:tcW w:type="dxa" w:w="1500"/>
            <w:tcBorders>
              <w:top w:val="single" w:color="D1D5DB" w:sz="1"/>
              <w:left w:val="single" w:color="D1D5DB" w:sz="1"/>
              <w:bottom w:val="single" w:color="D1D5DB" w:sz="1"/>
              <w:right w:val="single" w:color="D1D5DB" w:sz="1"/>
            </w:tcBorders>
            <w:shd w:fill="F9FAFB"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6B7280"/>
                <w:sz w:val="17"/>
                <w:szCs w:val="17"/>
              </w:rPr>
              <w:t xml:space="preserve"/>
            </w:r>
          </w:p>
        </w:tc>
      </w:tr>
      <w:tr>
        <w:tc>
          <w:tcPr>
            <w:tcW w:type="dxa" w:w="1400"/>
            <w:tcBorders>
              <w:top w:val="single" w:color="DC2626" w:sz="1"/>
              <w:left w:val="single" w:color="DC2626" w:sz="1"/>
              <w:bottom w:val="single" w:color="DC2626" w:sz="1"/>
              <w:right w:val="single" w:color="DC2626" w:sz="1"/>
            </w:tcBorders>
            <w:shd w:fill="FEE2E2" w:val="clear"/>
            <w:tcMar>
              <w:top w:type="dxa" w:w="70"/>
              <w:left w:type="dxa" w:w="100"/>
              <w:bottom w:type="dxa" w:w="70"/>
              <w:right w:type="dxa" w:w="100"/>
            </w:tcMar>
          </w:tcPr>
          <w:p>
            <w:pPr>
              <w:spacing w:after="50" w:before="50"/>
              <w:jc w:val="left"/>
            </w:pPr>
            <w:r>
              <w:rPr>
                <w:rFonts w:ascii="Arial" w:cs="Arial" w:eastAsia="Arial" w:hAnsi="Arial"/>
                <w:b/>
                <w:bCs/>
                <w:i w:val="false"/>
                <w:iCs w:val="false"/>
                <w:color w:val="991B1B"/>
                <w:sz w:val="15"/>
                <w:szCs w:val="15"/>
              </w:rPr>
              <w:t xml:space="preserve">🔴 CRITICAL</w:t>
            </w:r>
          </w:p>
        </w:tc>
        <w:tc>
          <w:tcPr>
            <w:tcW w:type="dxa" w:w="496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Topography Survey vs Topographic Survey — confirm exact name used in FTF orders.</w:t>
            </w:r>
          </w:p>
        </w:tc>
        <w:tc>
          <w:tcPr>
            <w:tcW w:type="dxa" w:w="15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1E1B4B"/>
                <w:sz w:val="18"/>
                <w:szCs w:val="18"/>
              </w:rPr>
              <w:t xml:space="preserve">Robert / Mark</w:t>
            </w:r>
          </w:p>
        </w:tc>
        <w:tc>
          <w:tcPr>
            <w:tcW w:type="dxa" w:w="1500"/>
            <w:tcBorders>
              <w:top w:val="single" w:color="D1D5DB" w:sz="1"/>
              <w:left w:val="single" w:color="D1D5DB" w:sz="1"/>
              <w:bottom w:val="single" w:color="D1D5DB" w:sz="1"/>
              <w:right w:val="single" w:color="D1D5DB" w:sz="1"/>
            </w:tcBorders>
            <w:shd w:fill="F9FAFB"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6B7280"/>
                <w:sz w:val="17"/>
                <w:szCs w:val="17"/>
              </w:rPr>
              <w:t xml:space="preserve"/>
            </w:r>
          </w:p>
        </w:tc>
      </w:tr>
      <w:tr>
        <w:tc>
          <w:tcPr>
            <w:tcW w:type="dxa" w:w="1400"/>
            <w:tcBorders>
              <w:top w:val="single" w:color="DC2626" w:sz="1"/>
              <w:left w:val="single" w:color="DC2626" w:sz="1"/>
              <w:bottom w:val="single" w:color="DC2626" w:sz="1"/>
              <w:right w:val="single" w:color="DC2626" w:sz="1"/>
            </w:tcBorders>
            <w:shd w:fill="FEE2E2" w:val="clear"/>
            <w:tcMar>
              <w:top w:type="dxa" w:w="70"/>
              <w:left w:type="dxa" w:w="100"/>
              <w:bottom w:type="dxa" w:w="70"/>
              <w:right w:type="dxa" w:w="100"/>
            </w:tcMar>
          </w:tcPr>
          <w:p>
            <w:pPr>
              <w:spacing w:after="50" w:before="50"/>
              <w:jc w:val="left"/>
            </w:pPr>
            <w:r>
              <w:rPr>
                <w:rFonts w:ascii="Arial" w:cs="Arial" w:eastAsia="Arial" w:hAnsi="Arial"/>
                <w:b/>
                <w:bCs/>
                <w:i w:val="false"/>
                <w:iCs w:val="false"/>
                <w:color w:val="991B1B"/>
                <w:sz w:val="15"/>
                <w:szCs w:val="15"/>
              </w:rPr>
              <w:t xml:space="preserve">🔴 CRITICAL</w:t>
            </w:r>
          </w:p>
        </w:tc>
        <w:tc>
          <w:tcPr>
            <w:tcW w:type="dxa" w:w="49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Construction Survey service name in FTF — Building Stake Out, Form Board, Foundation Tie-In, or other?</w:t>
            </w:r>
          </w:p>
        </w:tc>
        <w:tc>
          <w:tcPr>
            <w:tcW w:type="dxa" w:w="15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1E1B4B"/>
                <w:sz w:val="18"/>
                <w:szCs w:val="18"/>
              </w:rPr>
              <w:t xml:space="preserve">Robert / Mark</w:t>
            </w:r>
          </w:p>
        </w:tc>
        <w:tc>
          <w:tcPr>
            <w:tcW w:type="dxa" w:w="1500"/>
            <w:tcBorders>
              <w:top w:val="single" w:color="D1D5DB" w:sz="1"/>
              <w:left w:val="single" w:color="D1D5DB" w:sz="1"/>
              <w:bottom w:val="single" w:color="D1D5DB" w:sz="1"/>
              <w:right w:val="single" w:color="D1D5DB" w:sz="1"/>
            </w:tcBorders>
            <w:shd w:fill="F9FAFB"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6B7280"/>
                <w:sz w:val="17"/>
                <w:szCs w:val="17"/>
              </w:rPr>
              <w:t xml:space="preserve"/>
            </w:r>
          </w:p>
        </w:tc>
      </w:tr>
      <w:tr>
        <w:tc>
          <w:tcPr>
            <w:tcW w:type="dxa" w:w="1400"/>
            <w:tcBorders>
              <w:top w:val="single" w:color="DC2626" w:sz="1"/>
              <w:left w:val="single" w:color="DC2626" w:sz="1"/>
              <w:bottom w:val="single" w:color="DC2626" w:sz="1"/>
              <w:right w:val="single" w:color="DC2626" w:sz="1"/>
            </w:tcBorders>
            <w:shd w:fill="FEE2E2" w:val="clear"/>
            <w:tcMar>
              <w:top w:type="dxa" w:w="70"/>
              <w:left w:type="dxa" w:w="100"/>
              <w:bottom w:type="dxa" w:w="70"/>
              <w:right w:type="dxa" w:w="100"/>
            </w:tcMar>
          </w:tcPr>
          <w:p>
            <w:pPr>
              <w:spacing w:after="50" w:before="50"/>
              <w:jc w:val="left"/>
            </w:pPr>
            <w:r>
              <w:rPr>
                <w:rFonts w:ascii="Arial" w:cs="Arial" w:eastAsia="Arial" w:hAnsi="Arial"/>
                <w:b/>
                <w:bCs/>
                <w:i w:val="false"/>
                <w:iCs w:val="false"/>
                <w:color w:val="991B1B"/>
                <w:sz w:val="15"/>
                <w:szCs w:val="15"/>
              </w:rPr>
              <w:t xml:space="preserve">🔴 CRITICAL</w:t>
            </w:r>
          </w:p>
        </w:tc>
        <w:tc>
          <w:tcPr>
            <w:tcW w:type="dxa" w:w="496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Permitting Survey service name in FTF — Specific Purpose Survey, Other Services, or other?</w:t>
            </w:r>
          </w:p>
        </w:tc>
        <w:tc>
          <w:tcPr>
            <w:tcW w:type="dxa" w:w="15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1E1B4B"/>
                <w:sz w:val="18"/>
                <w:szCs w:val="18"/>
              </w:rPr>
              <w:t xml:space="preserve">Robert / Mark</w:t>
            </w:r>
          </w:p>
        </w:tc>
        <w:tc>
          <w:tcPr>
            <w:tcW w:type="dxa" w:w="1500"/>
            <w:tcBorders>
              <w:top w:val="single" w:color="D1D5DB" w:sz="1"/>
              <w:left w:val="single" w:color="D1D5DB" w:sz="1"/>
              <w:bottom w:val="single" w:color="D1D5DB" w:sz="1"/>
              <w:right w:val="single" w:color="D1D5DB" w:sz="1"/>
            </w:tcBorders>
            <w:shd w:fill="F9FAFB"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6B7280"/>
                <w:sz w:val="17"/>
                <w:szCs w:val="17"/>
              </w:rPr>
              <w:t xml:space="preserve"/>
            </w:r>
          </w:p>
        </w:tc>
      </w:tr>
      <w:tr>
        <w:tc>
          <w:tcPr>
            <w:tcW w:type="dxa" w:w="1400"/>
            <w:tcBorders>
              <w:top w:val="single" w:color="DC2626" w:sz="1"/>
              <w:left w:val="single" w:color="DC2626" w:sz="1"/>
              <w:bottom w:val="single" w:color="DC2626" w:sz="1"/>
              <w:right w:val="single" w:color="DC2626" w:sz="1"/>
            </w:tcBorders>
            <w:shd w:fill="FEE2E2" w:val="clear"/>
            <w:tcMar>
              <w:top w:type="dxa" w:w="70"/>
              <w:left w:type="dxa" w:w="100"/>
              <w:bottom w:type="dxa" w:w="70"/>
              <w:right w:type="dxa" w:w="100"/>
            </w:tcMar>
          </w:tcPr>
          <w:p>
            <w:pPr>
              <w:spacing w:after="50" w:before="50"/>
              <w:jc w:val="left"/>
            </w:pPr>
            <w:r>
              <w:rPr>
                <w:rFonts w:ascii="Arial" w:cs="Arial" w:eastAsia="Arial" w:hAnsi="Arial"/>
                <w:b/>
                <w:bCs/>
                <w:i w:val="false"/>
                <w:iCs w:val="false"/>
                <w:color w:val="991B1B"/>
                <w:sz w:val="15"/>
                <w:szCs w:val="15"/>
              </w:rPr>
              <w:t xml:space="preserve">🔴 CRITICAL</w:t>
            </w:r>
          </w:p>
        </w:tc>
        <w:tc>
          <w:tcPr>
            <w:tcW w:type="dxa" w:w="49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Is there one login key for all FTF APIs or separate keys per module?</w:t>
            </w:r>
          </w:p>
        </w:tc>
        <w:tc>
          <w:tcPr>
            <w:tcW w:type="dxa" w:w="15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1E1B4B"/>
                <w:sz w:val="18"/>
                <w:szCs w:val="18"/>
              </w:rPr>
              <w:t xml:space="preserve">Dev Team</w:t>
            </w:r>
          </w:p>
        </w:tc>
        <w:tc>
          <w:tcPr>
            <w:tcW w:type="dxa" w:w="1500"/>
            <w:tcBorders>
              <w:top w:val="single" w:color="D1D5DB" w:sz="1"/>
              <w:left w:val="single" w:color="D1D5DB" w:sz="1"/>
              <w:bottom w:val="single" w:color="D1D5DB" w:sz="1"/>
              <w:right w:val="single" w:color="D1D5DB" w:sz="1"/>
            </w:tcBorders>
            <w:shd w:fill="F9FAFB"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6B7280"/>
                <w:sz w:val="17"/>
                <w:szCs w:val="17"/>
              </w:rPr>
              <w:t xml:space="preserve"/>
            </w:r>
          </w:p>
        </w:tc>
      </w:tr>
      <w:tr>
        <w:tc>
          <w:tcPr>
            <w:tcW w:type="dxa" w:w="1400"/>
            <w:tcBorders>
              <w:top w:val="single" w:color="CA8A04" w:sz="1"/>
              <w:left w:val="single" w:color="CA8A04" w:sz="1"/>
              <w:bottom w:val="single" w:color="CA8A04" w:sz="1"/>
              <w:right w:val="single" w:color="CA8A04" w:sz="1"/>
            </w:tcBorders>
            <w:shd w:fill="FEFCE8" w:val="clear"/>
            <w:tcMar>
              <w:top w:type="dxa" w:w="70"/>
              <w:left w:type="dxa" w:w="100"/>
              <w:bottom w:type="dxa" w:w="70"/>
              <w:right w:type="dxa" w:w="100"/>
            </w:tcMar>
          </w:tcPr>
          <w:p>
            <w:pPr>
              <w:spacing w:after="50" w:before="50"/>
              <w:jc w:val="left"/>
            </w:pPr>
            <w:r>
              <w:rPr>
                <w:rFonts w:ascii="Arial" w:cs="Arial" w:eastAsia="Arial" w:hAnsi="Arial"/>
                <w:b/>
                <w:bCs/>
                <w:i w:val="false"/>
                <w:iCs w:val="false"/>
                <w:color w:val="92400E"/>
                <w:sz w:val="15"/>
                <w:szCs w:val="15"/>
              </w:rPr>
              <w:t xml:space="preserve">🟡 HIGH</w:t>
            </w:r>
          </w:p>
        </w:tc>
        <w:tc>
          <w:tcPr>
            <w:tcW w:type="dxa" w:w="496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Full list of competitor company names and flagged email domains for Human Gate.</w:t>
            </w:r>
          </w:p>
        </w:tc>
        <w:tc>
          <w:tcPr>
            <w:tcW w:type="dxa" w:w="15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1E1B4B"/>
                <w:sz w:val="18"/>
                <w:szCs w:val="18"/>
              </w:rPr>
              <w:t xml:space="preserve">Robert / Mark</w:t>
            </w:r>
          </w:p>
        </w:tc>
        <w:tc>
          <w:tcPr>
            <w:tcW w:type="dxa" w:w="1500"/>
            <w:tcBorders>
              <w:top w:val="single" w:color="D1D5DB" w:sz="1"/>
              <w:left w:val="single" w:color="D1D5DB" w:sz="1"/>
              <w:bottom w:val="single" w:color="D1D5DB" w:sz="1"/>
              <w:right w:val="single" w:color="D1D5DB" w:sz="1"/>
            </w:tcBorders>
            <w:shd w:fill="F9FAFB"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6B7280"/>
                <w:sz w:val="17"/>
                <w:szCs w:val="17"/>
              </w:rPr>
              <w:t xml:space="preserve"/>
            </w:r>
          </w:p>
        </w:tc>
      </w:tr>
      <w:tr>
        <w:tc>
          <w:tcPr>
            <w:tcW w:type="dxa" w:w="1400"/>
            <w:tcBorders>
              <w:top w:val="single" w:color="CA8A04" w:sz="1"/>
              <w:left w:val="single" w:color="CA8A04" w:sz="1"/>
              <w:bottom w:val="single" w:color="CA8A04" w:sz="1"/>
              <w:right w:val="single" w:color="CA8A04" w:sz="1"/>
            </w:tcBorders>
            <w:shd w:fill="FEFCE8" w:val="clear"/>
            <w:tcMar>
              <w:top w:type="dxa" w:w="70"/>
              <w:left w:type="dxa" w:w="100"/>
              <w:bottom w:type="dxa" w:w="70"/>
              <w:right w:type="dxa" w:w="100"/>
            </w:tcMar>
          </w:tcPr>
          <w:p>
            <w:pPr>
              <w:spacing w:after="50" w:before="50"/>
              <w:jc w:val="left"/>
            </w:pPr>
            <w:r>
              <w:rPr>
                <w:rFonts w:ascii="Arial" w:cs="Arial" w:eastAsia="Arial" w:hAnsi="Arial"/>
                <w:b/>
                <w:bCs/>
                <w:i w:val="false"/>
                <w:iCs w:val="false"/>
                <w:color w:val="92400E"/>
                <w:sz w:val="15"/>
                <w:szCs w:val="15"/>
              </w:rPr>
              <w:t xml:space="preserve">🟡 HIGH</w:t>
            </w:r>
          </w:p>
        </w:tc>
        <w:tc>
          <w:tcPr>
            <w:tcW w:type="dxa" w:w="49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Complete list of survey types NGE does NOT perform (never-auto-quote list).</w:t>
            </w:r>
          </w:p>
        </w:tc>
        <w:tc>
          <w:tcPr>
            <w:tcW w:type="dxa" w:w="15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1E1B4B"/>
                <w:sz w:val="18"/>
                <w:szCs w:val="18"/>
              </w:rPr>
              <w:t xml:space="preserve">Robert / Mark</w:t>
            </w:r>
          </w:p>
        </w:tc>
        <w:tc>
          <w:tcPr>
            <w:tcW w:type="dxa" w:w="1500"/>
            <w:tcBorders>
              <w:top w:val="single" w:color="D1D5DB" w:sz="1"/>
              <w:left w:val="single" w:color="D1D5DB" w:sz="1"/>
              <w:bottom w:val="single" w:color="D1D5DB" w:sz="1"/>
              <w:right w:val="single" w:color="D1D5DB" w:sz="1"/>
            </w:tcBorders>
            <w:shd w:fill="F9FAFB"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6B7280"/>
                <w:sz w:val="17"/>
                <w:szCs w:val="17"/>
              </w:rPr>
              <w:t xml:space="preserve"/>
            </w:r>
          </w:p>
        </w:tc>
      </w:tr>
      <w:tr>
        <w:tc>
          <w:tcPr>
            <w:tcW w:type="dxa" w:w="1400"/>
            <w:tcBorders>
              <w:top w:val="single" w:color="CA8A04" w:sz="1"/>
              <w:left w:val="single" w:color="CA8A04" w:sz="1"/>
              <w:bottom w:val="single" w:color="CA8A04" w:sz="1"/>
              <w:right w:val="single" w:color="CA8A04" w:sz="1"/>
            </w:tcBorders>
            <w:shd w:fill="FEFCE8" w:val="clear"/>
            <w:tcMar>
              <w:top w:type="dxa" w:w="70"/>
              <w:left w:type="dxa" w:w="100"/>
              <w:bottom w:type="dxa" w:w="70"/>
              <w:right w:type="dxa" w:w="100"/>
            </w:tcMar>
          </w:tcPr>
          <w:p>
            <w:pPr>
              <w:spacing w:after="50" w:before="50"/>
              <w:jc w:val="left"/>
            </w:pPr>
            <w:r>
              <w:rPr>
                <w:rFonts w:ascii="Arial" w:cs="Arial" w:eastAsia="Arial" w:hAnsi="Arial"/>
                <w:b/>
                <w:bCs/>
                <w:i w:val="false"/>
                <w:iCs w:val="false"/>
                <w:color w:val="92400E"/>
                <w:sz w:val="15"/>
                <w:szCs w:val="15"/>
              </w:rPr>
              <w:t xml:space="preserve">🟡 HIGH</w:t>
            </w:r>
          </w:p>
        </w:tc>
        <w:tc>
          <w:tcPr>
            <w:tcW w:type="dxa" w:w="496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Specific Purpose Survey vs Special Purpose Survey — which name is used in FTF?</w:t>
            </w:r>
          </w:p>
        </w:tc>
        <w:tc>
          <w:tcPr>
            <w:tcW w:type="dxa" w:w="15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1E1B4B"/>
                <w:sz w:val="18"/>
                <w:szCs w:val="18"/>
              </w:rPr>
              <w:t xml:space="preserve">Robert / Mark</w:t>
            </w:r>
          </w:p>
        </w:tc>
        <w:tc>
          <w:tcPr>
            <w:tcW w:type="dxa" w:w="1500"/>
            <w:tcBorders>
              <w:top w:val="single" w:color="D1D5DB" w:sz="1"/>
              <w:left w:val="single" w:color="D1D5DB" w:sz="1"/>
              <w:bottom w:val="single" w:color="D1D5DB" w:sz="1"/>
              <w:right w:val="single" w:color="D1D5DB" w:sz="1"/>
            </w:tcBorders>
            <w:shd w:fill="F9FAFB"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6B7280"/>
                <w:sz w:val="17"/>
                <w:szCs w:val="17"/>
              </w:rPr>
              <w:t xml:space="preserve"/>
            </w:r>
          </w:p>
        </w:tc>
      </w:tr>
      <w:tr>
        <w:tc>
          <w:tcPr>
            <w:tcW w:type="dxa" w:w="1400"/>
            <w:tcBorders>
              <w:top w:val="single" w:color="CA8A04" w:sz="1"/>
              <w:left w:val="single" w:color="CA8A04" w:sz="1"/>
              <w:bottom w:val="single" w:color="CA8A04" w:sz="1"/>
              <w:right w:val="single" w:color="CA8A04" w:sz="1"/>
            </w:tcBorders>
            <w:shd w:fill="FEFCE8" w:val="clear"/>
            <w:tcMar>
              <w:top w:type="dxa" w:w="70"/>
              <w:left w:type="dxa" w:w="100"/>
              <w:bottom w:type="dxa" w:w="70"/>
              <w:right w:type="dxa" w:w="100"/>
            </w:tcMar>
          </w:tcPr>
          <w:p>
            <w:pPr>
              <w:spacing w:after="50" w:before="50"/>
              <w:jc w:val="left"/>
            </w:pPr>
            <w:r>
              <w:rPr>
                <w:rFonts w:ascii="Arial" w:cs="Arial" w:eastAsia="Arial" w:hAnsi="Arial"/>
                <w:b/>
                <w:bCs/>
                <w:i w:val="false"/>
                <w:iCs w:val="false"/>
                <w:color w:val="92400E"/>
                <w:sz w:val="15"/>
                <w:szCs w:val="15"/>
              </w:rPr>
              <w:t xml:space="preserve">🟡 HIGH</w:t>
            </w:r>
          </w:p>
        </w:tc>
        <w:tc>
          <w:tcPr>
            <w:tcW w:type="dxa" w:w="49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Reminder schedule confirmation — 5 days before, 2-3 days before, due date, every 3 days after.</w:t>
            </w:r>
          </w:p>
        </w:tc>
        <w:tc>
          <w:tcPr>
            <w:tcW w:type="dxa" w:w="15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1E1B4B"/>
                <w:sz w:val="18"/>
                <w:szCs w:val="18"/>
              </w:rPr>
              <w:t xml:space="preserve">Jessica</w:t>
            </w:r>
          </w:p>
        </w:tc>
        <w:tc>
          <w:tcPr>
            <w:tcW w:type="dxa" w:w="1500"/>
            <w:tcBorders>
              <w:top w:val="single" w:color="D1D5DB" w:sz="1"/>
              <w:left w:val="single" w:color="D1D5DB" w:sz="1"/>
              <w:bottom w:val="single" w:color="D1D5DB" w:sz="1"/>
              <w:right w:val="single" w:color="D1D5DB" w:sz="1"/>
            </w:tcBorders>
            <w:shd w:fill="F9FAFB"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6B7280"/>
                <w:sz w:val="17"/>
                <w:szCs w:val="17"/>
              </w:rPr>
              <w:t xml:space="preserve"/>
            </w:r>
          </w:p>
        </w:tc>
      </w:tr>
      <w:tr>
        <w:tc>
          <w:tcPr>
            <w:tcW w:type="dxa" w:w="1400"/>
            <w:tcBorders>
              <w:top w:val="single" w:color="CA8A04" w:sz="1"/>
              <w:left w:val="single" w:color="CA8A04" w:sz="1"/>
              <w:bottom w:val="single" w:color="CA8A04" w:sz="1"/>
              <w:right w:val="single" w:color="CA8A04" w:sz="1"/>
            </w:tcBorders>
            <w:shd w:fill="FEFCE8" w:val="clear"/>
            <w:tcMar>
              <w:top w:type="dxa" w:w="70"/>
              <w:left w:type="dxa" w:w="100"/>
              <w:bottom w:type="dxa" w:w="70"/>
              <w:right w:type="dxa" w:w="100"/>
            </w:tcMar>
          </w:tcPr>
          <w:p>
            <w:pPr>
              <w:spacing w:after="50" w:before="50"/>
              <w:jc w:val="left"/>
            </w:pPr>
            <w:r>
              <w:rPr>
                <w:rFonts w:ascii="Arial" w:cs="Arial" w:eastAsia="Arial" w:hAnsi="Arial"/>
                <w:b/>
                <w:bCs/>
                <w:i w:val="false"/>
                <w:iCs w:val="false"/>
                <w:color w:val="92400E"/>
                <w:sz w:val="15"/>
                <w:szCs w:val="15"/>
              </w:rPr>
              <w:t xml:space="preserve">🟡 HIGH</w:t>
            </w:r>
          </w:p>
        </w:tc>
        <w:tc>
          <w:tcPr>
            <w:tcW w:type="dxa" w:w="496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Escalation threshold — 90 days overdue right, or different?</w:t>
            </w:r>
          </w:p>
        </w:tc>
        <w:tc>
          <w:tcPr>
            <w:tcW w:type="dxa" w:w="15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1E1B4B"/>
                <w:sz w:val="18"/>
                <w:szCs w:val="18"/>
              </w:rPr>
              <w:t xml:space="preserve">Jessica</w:t>
            </w:r>
          </w:p>
        </w:tc>
        <w:tc>
          <w:tcPr>
            <w:tcW w:type="dxa" w:w="1500"/>
            <w:tcBorders>
              <w:top w:val="single" w:color="D1D5DB" w:sz="1"/>
              <w:left w:val="single" w:color="D1D5DB" w:sz="1"/>
              <w:bottom w:val="single" w:color="D1D5DB" w:sz="1"/>
              <w:right w:val="single" w:color="D1D5DB" w:sz="1"/>
            </w:tcBorders>
            <w:shd w:fill="F9FAFB"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6B7280"/>
                <w:sz w:val="17"/>
                <w:szCs w:val="17"/>
              </w:rPr>
              <w:t xml:space="preserve"/>
            </w:r>
          </w:p>
        </w:tc>
      </w:tr>
      <w:tr>
        <w:tc>
          <w:tcPr>
            <w:tcW w:type="dxa" w:w="1400"/>
            <w:tcBorders>
              <w:top w:val="single" w:color="CA8A04" w:sz="1"/>
              <w:left w:val="single" w:color="CA8A04" w:sz="1"/>
              <w:bottom w:val="single" w:color="CA8A04" w:sz="1"/>
              <w:right w:val="single" w:color="CA8A04" w:sz="1"/>
            </w:tcBorders>
            <w:shd w:fill="FEFCE8" w:val="clear"/>
            <w:tcMar>
              <w:top w:type="dxa" w:w="70"/>
              <w:left w:type="dxa" w:w="100"/>
              <w:bottom w:type="dxa" w:w="70"/>
              <w:right w:type="dxa" w:w="100"/>
            </w:tcMar>
          </w:tcPr>
          <w:p>
            <w:pPr>
              <w:spacing w:after="50" w:before="50"/>
              <w:jc w:val="left"/>
            </w:pPr>
            <w:r>
              <w:rPr>
                <w:rFonts w:ascii="Arial" w:cs="Arial" w:eastAsia="Arial" w:hAnsi="Arial"/>
                <w:b/>
                <w:bCs/>
                <w:i w:val="false"/>
                <w:iCs w:val="false"/>
                <w:color w:val="92400E"/>
                <w:sz w:val="15"/>
                <w:szCs w:val="15"/>
              </w:rPr>
              <w:t xml:space="preserve">🟡 HIGH</w:t>
            </w:r>
          </w:p>
        </w:tc>
        <w:tc>
          <w:tcPr>
            <w:tcW w:type="dxa" w:w="49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ALTA Table A Survey, B-II Title Review, Wetland Delineation — should any always need human review?</w:t>
            </w:r>
          </w:p>
        </w:tc>
        <w:tc>
          <w:tcPr>
            <w:tcW w:type="dxa" w:w="15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1E1B4B"/>
                <w:sz w:val="18"/>
                <w:szCs w:val="18"/>
              </w:rPr>
              <w:t xml:space="preserve">Robert / Mark</w:t>
            </w:r>
          </w:p>
        </w:tc>
        <w:tc>
          <w:tcPr>
            <w:tcW w:type="dxa" w:w="1500"/>
            <w:tcBorders>
              <w:top w:val="single" w:color="D1D5DB" w:sz="1"/>
              <w:left w:val="single" w:color="D1D5DB" w:sz="1"/>
              <w:bottom w:val="single" w:color="D1D5DB" w:sz="1"/>
              <w:right w:val="single" w:color="D1D5DB" w:sz="1"/>
            </w:tcBorders>
            <w:shd w:fill="F9FAFB"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6B7280"/>
                <w:sz w:val="17"/>
                <w:szCs w:val="17"/>
              </w:rPr>
              <w:t xml:space="preserve"/>
            </w:r>
          </w:p>
        </w:tc>
      </w:tr>
      <w:tr>
        <w:tc>
          <w:tcPr>
            <w:tcW w:type="dxa" w:w="1400"/>
            <w:tcBorders>
              <w:top w:val="single" w:color="CA8A04" w:sz="1"/>
              <w:left w:val="single" w:color="CA8A04" w:sz="1"/>
              <w:bottom w:val="single" w:color="CA8A04" w:sz="1"/>
              <w:right w:val="single" w:color="CA8A04" w:sz="1"/>
            </w:tcBorders>
            <w:shd w:fill="FEFCE8" w:val="clear"/>
            <w:tcMar>
              <w:top w:type="dxa" w:w="70"/>
              <w:left w:type="dxa" w:w="100"/>
              <w:bottom w:type="dxa" w:w="70"/>
              <w:right w:type="dxa" w:w="100"/>
            </w:tcMar>
          </w:tcPr>
          <w:p>
            <w:pPr>
              <w:spacing w:after="50" w:before="50"/>
              <w:jc w:val="left"/>
            </w:pPr>
            <w:r>
              <w:rPr>
                <w:rFonts w:ascii="Arial" w:cs="Arial" w:eastAsia="Arial" w:hAnsi="Arial"/>
                <w:b/>
                <w:bCs/>
                <w:i w:val="false"/>
                <w:iCs w:val="false"/>
                <w:color w:val="92400E"/>
                <w:sz w:val="15"/>
                <w:szCs w:val="15"/>
              </w:rPr>
              <w:t xml:space="preserve">🟡 HIGH</w:t>
            </w:r>
          </w:p>
        </w:tc>
        <w:tc>
          <w:tcPr>
            <w:tcW w:type="dxa" w:w="496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Dev team: does FTF estimate in Books arrive as PDF, inline email, or web link?</w:t>
            </w:r>
          </w:p>
        </w:tc>
        <w:tc>
          <w:tcPr>
            <w:tcW w:type="dxa" w:w="15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1E1B4B"/>
                <w:sz w:val="18"/>
                <w:szCs w:val="18"/>
              </w:rPr>
              <w:t xml:space="preserve">Dev Team</w:t>
            </w:r>
          </w:p>
        </w:tc>
        <w:tc>
          <w:tcPr>
            <w:tcW w:type="dxa" w:w="1500"/>
            <w:tcBorders>
              <w:top w:val="single" w:color="D1D5DB" w:sz="1"/>
              <w:left w:val="single" w:color="D1D5DB" w:sz="1"/>
              <w:bottom w:val="single" w:color="D1D5DB" w:sz="1"/>
              <w:right w:val="single" w:color="D1D5DB" w:sz="1"/>
            </w:tcBorders>
            <w:shd w:fill="F9FAFB"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6B7280"/>
                <w:sz w:val="17"/>
                <w:szCs w:val="17"/>
              </w:rPr>
              <w:t xml:space="preserve"/>
            </w:r>
          </w:p>
        </w:tc>
      </w:tr>
      <w:tr>
        <w:tc>
          <w:tcPr>
            <w:tcW w:type="dxa" w:w="1400"/>
            <w:tcBorders>
              <w:top w:val="single" w:color="CA8A04" w:sz="1"/>
              <w:left w:val="single" w:color="CA8A04" w:sz="1"/>
              <w:bottom w:val="single" w:color="CA8A04" w:sz="1"/>
              <w:right w:val="single" w:color="CA8A04" w:sz="1"/>
            </w:tcBorders>
            <w:shd w:fill="FEFCE8" w:val="clear"/>
            <w:tcMar>
              <w:top w:type="dxa" w:w="70"/>
              <w:left w:type="dxa" w:w="100"/>
              <w:bottom w:type="dxa" w:w="70"/>
              <w:right w:type="dxa" w:w="100"/>
            </w:tcMar>
          </w:tcPr>
          <w:p>
            <w:pPr>
              <w:spacing w:after="50" w:before="50"/>
              <w:jc w:val="left"/>
            </w:pPr>
            <w:r>
              <w:rPr>
                <w:rFonts w:ascii="Arial" w:cs="Arial" w:eastAsia="Arial" w:hAnsi="Arial"/>
                <w:b/>
                <w:bCs/>
                <w:i w:val="false"/>
                <w:iCs w:val="false"/>
                <w:color w:val="92400E"/>
                <w:sz w:val="15"/>
                <w:szCs w:val="15"/>
              </w:rPr>
              <w:t xml:space="preserve">🟡 HIGH</w:t>
            </w:r>
          </w:p>
        </w:tc>
        <w:tc>
          <w:tcPr>
            <w:tcW w:type="dxa" w:w="49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Ryan: has the change order clause been legally reviewed, or is business owner approval sufficient?</w:t>
            </w:r>
          </w:p>
        </w:tc>
        <w:tc>
          <w:tcPr>
            <w:tcW w:type="dxa" w:w="15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1E1B4B"/>
                <w:sz w:val="18"/>
                <w:szCs w:val="18"/>
              </w:rPr>
              <w:t xml:space="preserve">Ryan</w:t>
            </w:r>
          </w:p>
        </w:tc>
        <w:tc>
          <w:tcPr>
            <w:tcW w:type="dxa" w:w="1500"/>
            <w:tcBorders>
              <w:top w:val="single" w:color="D1D5DB" w:sz="1"/>
              <w:left w:val="single" w:color="D1D5DB" w:sz="1"/>
              <w:bottom w:val="single" w:color="D1D5DB" w:sz="1"/>
              <w:right w:val="single" w:color="D1D5DB" w:sz="1"/>
            </w:tcBorders>
            <w:shd w:fill="F9FAFB"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6B7280"/>
                <w:sz w:val="17"/>
                <w:szCs w:val="17"/>
              </w:rPr>
              <w:t xml:space="preserve"/>
            </w:r>
          </w:p>
        </w:tc>
      </w:tr>
    </w:tbl>
    <w:p>
      <w:r>
        <w:br w:type="page"/>
      </w:r>
    </w:p>
    <w:p>
      <w:pPr>
        <w:pBdr>
          <w:bottom w:val="single" w:color="1E1B4B" w:sz="10" w:space="1"/>
        </w:pBdr>
        <w:spacing w:after="100" w:before="300"/>
      </w:pPr>
      <w:r>
        <w:rPr>
          <w:rFonts w:ascii="Arial" w:cs="Arial" w:eastAsia="Arial" w:hAnsi="Arial"/>
          <w:b/>
          <w:bCs/>
          <w:i w:val="false"/>
          <w:iCs w:val="false"/>
          <w:color w:val="1E1B4B"/>
          <w:sz w:val="38"/>
          <w:szCs w:val="38"/>
        </w:rPr>
        <w:t xml:space="preserve">13.  Build Phases and Timeline</w:t>
      </w:r>
    </w:p>
    <w:p>
      <w:pPr>
        <w:spacing w:after="50" w:before="50"/>
        <w:jc w:val="left"/>
      </w:pPr>
      <w:r>
        <w:rPr>
          <w:rFonts w:ascii="Arial" w:cs="Arial" w:eastAsia="Arial" w:hAnsi="Arial"/>
          <w:b w:val="false"/>
          <w:bCs w:val="false"/>
          <w:i w:val="false"/>
          <w:iCs w:val="false"/>
          <w:color w:val="1F2937"/>
          <w:sz w:val="20"/>
          <w:szCs w:val="20"/>
        </w:rPr>
        <w:t xml:space="preserve">Ryan's confirmed build rule: Skills first → test manually → build agent → test agent → combine agents into loop → test loop → combine loops into OS. Do not skip steps.</w:t>
      </w:r>
    </w:p>
    <w:p>
      <w:pPr>
        <w:spacing w:after="1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c>
          <w:tcPr>
            <w:tcW w:type="dxa" w:w="1600"/>
            <w:tcBorders>
              <w:top w:val="single" w:color="1E1B4B" w:sz="1"/>
              <w:left w:val="single" w:color="1E1B4B" w:sz="1"/>
              <w:bottom w:val="single" w:color="1E1B4B" w:sz="1"/>
              <w:right w:val="single" w:color="1E1B4B" w:sz="1"/>
            </w:tcBorders>
            <w:shd w:fill="1E1B4B"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Phase</w:t>
            </w:r>
          </w:p>
        </w:tc>
        <w:tc>
          <w:tcPr>
            <w:tcW w:type="dxa" w:w="2200"/>
            <w:tcBorders>
              <w:top w:val="single" w:color="1E1B4B" w:sz="1"/>
              <w:left w:val="single" w:color="1E1B4B" w:sz="1"/>
              <w:bottom w:val="single" w:color="1E1B4B" w:sz="1"/>
              <w:right w:val="single" w:color="1E1B4B" w:sz="1"/>
            </w:tcBorders>
            <w:shd w:fill="1E1B4B"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Name</w:t>
            </w:r>
          </w:p>
        </w:tc>
        <w:tc>
          <w:tcPr>
            <w:tcW w:type="dxa" w:w="2800"/>
            <w:tcBorders>
              <w:top w:val="single" w:color="1E1B4B" w:sz="1"/>
              <w:left w:val="single" w:color="1E1B4B" w:sz="1"/>
              <w:bottom w:val="single" w:color="1E1B4B" w:sz="1"/>
              <w:right w:val="single" w:color="1E1B4B" w:sz="1"/>
            </w:tcBorders>
            <w:shd w:fill="1E1B4B"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What Gets Built</w:t>
            </w:r>
          </w:p>
        </w:tc>
        <w:tc>
          <w:tcPr>
            <w:tcW w:type="dxa" w:w="2760"/>
            <w:tcBorders>
              <w:top w:val="single" w:color="1E1B4B" w:sz="1"/>
              <w:left w:val="single" w:color="1E1B4B" w:sz="1"/>
              <w:bottom w:val="single" w:color="1E1B4B" w:sz="1"/>
              <w:right w:val="single" w:color="1E1B4B" w:sz="1"/>
            </w:tcBorders>
            <w:shd w:fill="1E1B4B"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Blocker If Skipped</w:t>
            </w:r>
          </w:p>
        </w:tc>
      </w:tr>
      <w:tr>
        <w:tc>
          <w:tcPr>
            <w:tcW w:type="dxa" w:w="16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Phase 0</w:t>
            </w:r>
          </w:p>
        </w:tc>
        <w:tc>
          <w:tcPr>
            <w:tcW w:type="dxa" w:w="22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Pre-Build Setup</w:t>
            </w:r>
          </w:p>
        </w:tc>
        <w:tc>
          <w:tcPr>
            <w:tcW w:type="dxa" w:w="28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VPS provisioned, PostgreSQL schema, GitHub repo, all API credentials, Synthesia video sent to Robert/Mark/Jessica/Wyatt for recordings</w:t>
            </w:r>
          </w:p>
        </w:tc>
        <w:tc>
          <w:tcPr>
            <w:tcW w:type="dxa" w:w="27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No recordings = no knowledge base = agents cannot be prompted correctly</w:t>
            </w:r>
          </w:p>
        </w:tc>
      </w:tr>
      <w:tr>
        <w:tc>
          <w:tcPr>
            <w:tcW w:type="dxa" w:w="16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Phase 1 Wk 1</w:t>
            </w:r>
          </w:p>
        </w:tc>
        <w:tc>
          <w:tcPr>
            <w:tcW w:type="dxa" w:w="22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Monitor Agent</w:t>
            </w:r>
          </w:p>
        </w:tc>
        <w:tc>
          <w:tcPr>
            <w:tcW w:type="dxa" w:w="28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Agent 2 — polls FTF CRM, reads new orders, writes to state DB</w:t>
            </w:r>
          </w:p>
        </w:tc>
        <w:tc>
          <w:tcPr>
            <w:tcW w:type="dxa" w:w="276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All subsequent agents depend on this</w:t>
            </w:r>
          </w:p>
        </w:tc>
      </w:tr>
      <w:tr>
        <w:tc>
          <w:tcPr>
            <w:tcW w:type="dxa" w:w="16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Phase 1 Wk 2</w:t>
            </w:r>
          </w:p>
        </w:tc>
        <w:tc>
          <w:tcPr>
            <w:tcW w:type="dxa" w:w="22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Classifier + Human Gate</w:t>
            </w:r>
          </w:p>
        </w:tc>
        <w:tc>
          <w:tcPr>
            <w:tcW w:type="dxa" w:w="28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Agents 3 and 4 — classifies orders, checks FEMA, routes flagged orders</w:t>
            </w:r>
          </w:p>
        </w:tc>
        <w:tc>
          <w:tcPr>
            <w:tcW w:type="dxa" w:w="27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Cannot price without classification</w:t>
            </w:r>
          </w:p>
        </w:tc>
      </w:tr>
      <w:tr>
        <w:tc>
          <w:tcPr>
            <w:tcW w:type="dxa" w:w="16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Phase 1 Wk 3</w:t>
            </w:r>
          </w:p>
        </w:tc>
        <w:tc>
          <w:tcPr>
            <w:tcW w:type="dxa" w:w="22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Pricing + Writer</w:t>
            </w:r>
          </w:p>
        </w:tc>
        <w:tc>
          <w:tcPr>
            <w:tcW w:type="dxa" w:w="28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Agents 5 and 6 — two-level pricing lookup, estimate email with change order clause</w:t>
            </w:r>
          </w:p>
        </w:tc>
        <w:tc>
          <w:tcPr>
            <w:tcW w:type="dxa" w:w="276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Cannot review without a written estimate</w:t>
            </w:r>
          </w:p>
        </w:tc>
      </w:tr>
      <w:tr>
        <w:tc>
          <w:tcPr>
            <w:tcW w:type="dxa" w:w="16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Phase 1 Wk 4</w:t>
            </w:r>
          </w:p>
        </w:tc>
        <w:tc>
          <w:tcPr>
            <w:tcW w:type="dxa" w:w="22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Reviewer + Sender + Reporter</w:t>
            </w:r>
          </w:p>
        </w:tc>
        <w:tc>
          <w:tcPr>
            <w:tcW w:type="dxa" w:w="28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Agents 7, 8, 9 — up to 3 correction loops, send with delay, daily digest</w:t>
            </w:r>
          </w:p>
        </w:tc>
        <w:tc>
          <w:tcPr>
            <w:tcW w:type="dxa" w:w="27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Completes Loop 1</w:t>
            </w:r>
          </w:p>
        </w:tc>
      </w:tr>
      <w:tr>
        <w:tc>
          <w:tcPr>
            <w:tcW w:type="dxa" w:w="16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Phase 1 Wk 5</w:t>
            </w:r>
          </w:p>
        </w:tc>
        <w:tc>
          <w:tcPr>
            <w:tcW w:type="dxa" w:w="22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Orchestrator</w:t>
            </w:r>
          </w:p>
        </w:tc>
        <w:tc>
          <w:tcPr>
            <w:tcW w:type="dxa" w:w="28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Agent 1 — connects all Loop 1 agents, full end-to-end test on staging</w:t>
            </w:r>
          </w:p>
        </w:tc>
        <w:tc>
          <w:tcPr>
            <w:tcW w:type="dxa" w:w="276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Cannot run AUTO mode without orchestrator</w:t>
            </w:r>
          </w:p>
        </w:tc>
      </w:tr>
      <w:tr>
        <w:tc>
          <w:tcPr>
            <w:tcW w:type="dxa" w:w="16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Phase 1 Wk 6</w:t>
            </w:r>
          </w:p>
        </w:tc>
        <w:tc>
          <w:tcPr>
            <w:tcW w:type="dxa" w:w="22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AR Loop</w:t>
            </w:r>
          </w:p>
        </w:tc>
        <w:tc>
          <w:tcPr>
            <w:tcW w:type="dxa" w:w="28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Agents 10–14 — daily reminder cycle, escalation, AR reporter</w:t>
            </w:r>
          </w:p>
        </w:tc>
        <w:tc>
          <w:tcPr>
            <w:tcW w:type="dxa" w:w="27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Requires Jessica recording</w:t>
            </w:r>
          </w:p>
        </w:tc>
      </w:tr>
      <w:tr>
        <w:tc>
          <w:tcPr>
            <w:tcW w:type="dxa" w:w="16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Phase 1 Wk 7</w:t>
            </w:r>
          </w:p>
        </w:tc>
        <w:tc>
          <w:tcPr>
            <w:tcW w:type="dxa" w:w="22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Statement Loop</w:t>
            </w:r>
          </w:p>
        </w:tc>
        <w:tc>
          <w:tcPr>
            <w:tcW w:type="dxa" w:w="28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Agents 15–17 — monthly statement generation and delivery</w:t>
            </w:r>
          </w:p>
        </w:tc>
        <w:tc>
          <w:tcPr>
            <w:tcW w:type="dxa" w:w="276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Requires Wyatt + Jessica recording</w:t>
            </w:r>
          </w:p>
        </w:tc>
      </w:tr>
      <w:tr>
        <w:tc>
          <w:tcPr>
            <w:tcW w:type="dxa" w:w="16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Phase 1 Wk 8</w:t>
            </w:r>
          </w:p>
        </w:tc>
        <w:tc>
          <w:tcPr>
            <w:tcW w:type="dxa" w:w="22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Memory + Dream Loop</w:t>
            </w:r>
          </w:p>
        </w:tc>
        <w:tc>
          <w:tcPr>
            <w:tcW w:type="dxa" w:w="28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Memory Manager + Dream Processor — nightly self-improvement</w:t>
            </w:r>
          </w:p>
        </w:tc>
        <w:tc>
          <w:tcPr>
            <w:tcW w:type="dxa" w:w="27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Not blocking but important for long-term reliability</w:t>
            </w:r>
          </w:p>
        </w:tc>
      </w:tr>
      <w:tr>
        <w:tc>
          <w:tcPr>
            <w:tcW w:type="dxa" w:w="16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Phase 2</w:t>
            </w:r>
          </w:p>
        </w:tc>
        <w:tc>
          <w:tcPr>
            <w:tcW w:type="dxa" w:w="22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Stage Testing</w:t>
            </w:r>
          </w:p>
        </w:tc>
        <w:tc>
          <w:tcPr>
            <w:tcW w:type="dxa" w:w="28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Full end-to-end test on staging with real FTF test data. All 3 loops running. Benchmarking costs.</w:t>
            </w:r>
          </w:p>
        </w:tc>
        <w:tc>
          <w:tcPr>
            <w:tcW w:type="dxa" w:w="276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Ryan must approve cost before Phase 3</w:t>
            </w:r>
          </w:p>
        </w:tc>
      </w:tr>
      <w:tr>
        <w:tc>
          <w:tcPr>
            <w:tcW w:type="dxa" w:w="16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Phase 3</w:t>
            </w:r>
          </w:p>
        </w:tc>
        <w:tc>
          <w:tcPr>
            <w:tcW w:type="dxa" w:w="22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Limited Production</w:t>
            </w:r>
          </w:p>
        </w:tc>
        <w:tc>
          <w:tcPr>
            <w:tcW w:type="dxa" w:w="28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Survey orders only on live FTF. Human monitors each estimate. 2-week observation period.</w:t>
            </w:r>
          </w:p>
        </w:tc>
        <w:tc>
          <w:tcPr>
            <w:tcW w:type="dxa" w:w="27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Must not skip — catches real-world edge cases</w:t>
            </w:r>
          </w:p>
        </w:tc>
      </w:tr>
      <w:tr>
        <w:tc>
          <w:tcPr>
            <w:tcW w:type="dxa" w:w="16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Phase 4</w:t>
            </w:r>
          </w:p>
        </w:tc>
        <w:tc>
          <w:tcPr>
            <w:tcW w:type="dxa" w:w="22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Full Production</w:t>
            </w:r>
          </w:p>
        </w:tc>
        <w:tc>
          <w:tcPr>
            <w:tcW w:type="dxa" w:w="28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All 17 agents live on FTF. All 3 loops running autonomously.</w:t>
            </w:r>
          </w:p>
        </w:tc>
        <w:tc>
          <w:tcPr>
            <w:tcW w:type="dxa" w:w="276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Phase 3 must complete without critical failures</w:t>
            </w:r>
          </w:p>
        </w:tc>
      </w:tr>
      <w:tr>
        <w:tc>
          <w:tcPr>
            <w:tcW w:type="dxa" w:w="16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Phase 5</w:t>
            </w:r>
          </w:p>
        </w:tc>
        <w:tc>
          <w:tcPr>
            <w:tcW w:type="dxa" w:w="22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POF + NGE Rollout</w:t>
            </w:r>
          </w:p>
        </w:tc>
        <w:tc>
          <w:tcPr>
            <w:tcW w:type="dxa" w:w="28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Replicate to POF Books and NGE Books. Minimal code changes — config update only.</w:t>
            </w:r>
          </w:p>
        </w:tc>
        <w:tc>
          <w:tcPr>
            <w:tcW w:type="dxa" w:w="27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Phase 4 must be stable for 30+ days</w:t>
            </w:r>
          </w:p>
        </w:tc>
      </w:tr>
    </w:tbl>
    <w:p>
      <w:r>
        <w:br w:type="page"/>
      </w:r>
    </w:p>
    <w:p>
      <w:pPr>
        <w:pBdr>
          <w:bottom w:val="single" w:color="4F46E5" w:sz="10" w:space="1"/>
        </w:pBdr>
        <w:spacing w:after="100" w:before="300"/>
      </w:pPr>
      <w:r>
        <w:rPr>
          <w:rFonts w:ascii="Arial" w:cs="Arial" w:eastAsia="Arial" w:hAnsi="Arial"/>
          <w:b/>
          <w:bCs/>
          <w:i w:val="false"/>
          <w:iCs w:val="false"/>
          <w:color w:val="1E1B4B"/>
          <w:sz w:val="38"/>
          <w:szCs w:val="38"/>
        </w:rPr>
        <w:t xml:space="preserve">14.  Stakeholders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4F46E5" w:sz="1"/>
              <w:left w:val="single" w:color="4F46E5" w:sz="1"/>
              <w:bottom w:val="single" w:color="4F46E5" w:sz="1"/>
              <w:right w:val="single" w:color="4F46E5" w:sz="1"/>
            </w:tcBorders>
            <w:shd w:fill="4F46E5"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Name</w:t>
            </w:r>
          </w:p>
        </w:tc>
        <w:tc>
          <w:tcPr>
            <w:tcW w:type="dxa" w:w="2000"/>
            <w:tcBorders>
              <w:top w:val="single" w:color="4F46E5" w:sz="1"/>
              <w:left w:val="single" w:color="4F46E5" w:sz="1"/>
              <w:bottom w:val="single" w:color="4F46E5" w:sz="1"/>
              <w:right w:val="single" w:color="4F46E5" w:sz="1"/>
            </w:tcBorders>
            <w:shd w:fill="4F46E5"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Role</w:t>
            </w:r>
          </w:p>
        </w:tc>
        <w:tc>
          <w:tcPr>
            <w:tcW w:type="dxa" w:w="5560"/>
            <w:tcBorders>
              <w:top w:val="single" w:color="4F46E5" w:sz="1"/>
              <w:left w:val="single" w:color="4F46E5" w:sz="1"/>
              <w:bottom w:val="single" w:color="4F46E5" w:sz="1"/>
              <w:right w:val="single" w:color="4F46E5" w:sz="1"/>
            </w:tcBorders>
            <w:shd w:fill="4F46E5"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Primary Responsibilities</w:t>
            </w:r>
          </w:p>
        </w:tc>
      </w:tr>
      <w:tr>
        <w:tc>
          <w:tcPr>
            <w:tcW w:type="dxa" w:w="18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Ryan</w:t>
            </w:r>
          </w:p>
        </w:tc>
        <w:tc>
          <w:tcPr>
            <w:tcW w:type="dxa" w:w="20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Owner / Decision Maker</w:t>
            </w:r>
          </w:p>
        </w:tc>
        <w:tc>
          <w:tcPr>
            <w:tcW w:type="dxa" w:w="55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Approve pricing sheet, approve flag triggers, provide change order clause text, sign off on build costs and go-live</w:t>
            </w:r>
          </w:p>
        </w:tc>
      </w:tr>
      <w:tr>
        <w:tc>
          <w:tcPr>
            <w:tcW w:type="dxa" w:w="18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Robert (Bobby)</w:t>
            </w:r>
          </w:p>
        </w:tc>
        <w:tc>
          <w:tcPr>
            <w:tcW w:type="dxa" w:w="20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Primary SME</w:t>
            </w:r>
          </w:p>
        </w:tc>
        <w:tc>
          <w:tcPr>
            <w:tcW w:type="dxa" w:w="556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Recordings 1–9 and 12–15, confirm service name mappings, provide competitor list, review test estimates</w:t>
            </w:r>
          </w:p>
        </w:tc>
      </w:tr>
      <w:tr>
        <w:tc>
          <w:tcPr>
            <w:tcW w:type="dxa" w:w="18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Mark</w:t>
            </w:r>
          </w:p>
        </w:tc>
        <w:tc>
          <w:tcPr>
            <w:tcW w:type="dxa" w:w="20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Secondary SME</w:t>
            </w:r>
          </w:p>
        </w:tc>
        <w:tc>
          <w:tcPr>
            <w:tcW w:type="dxa" w:w="55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Same as Robert — records same sessions independently. Mark's recordings provide a second data source.</w:t>
            </w:r>
          </w:p>
        </w:tc>
      </w:tr>
      <w:tr>
        <w:tc>
          <w:tcPr>
            <w:tcW w:type="dxa" w:w="18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Jessica</w:t>
            </w:r>
          </w:p>
        </w:tc>
        <w:tc>
          <w:tcPr>
            <w:tcW w:type="dxa" w:w="20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AR Lead</w:t>
            </w:r>
          </w:p>
        </w:tc>
        <w:tc>
          <w:tcPr>
            <w:tcW w:type="dxa" w:w="556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Recording 10, confirm reminder schedule, confirm escalation threshold, provide client exclusion list</w:t>
            </w:r>
          </w:p>
        </w:tc>
      </w:tr>
      <w:tr>
        <w:tc>
          <w:tcPr>
            <w:tcW w:type="dxa" w:w="18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Wyatt</w:t>
            </w:r>
          </w:p>
        </w:tc>
        <w:tc>
          <w:tcPr>
            <w:tcW w:type="dxa" w:w="20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Oversight</w:t>
            </w:r>
          </w:p>
        </w:tc>
        <w:tc>
          <w:tcPr>
            <w:tcW w:type="dxa" w:w="55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Recording 11 (with Jessica), confirm monthly statement format, receive and review monthly reports</w:t>
            </w:r>
          </w:p>
        </w:tc>
      </w:tr>
      <w:tr>
        <w:tc>
          <w:tcPr>
            <w:tcW w:type="dxa" w:w="18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Dev Team</w:t>
            </w:r>
          </w:p>
        </w:tc>
        <w:tc>
          <w:tcPr>
            <w:tcW w:type="dxa" w:w="20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Technical</w:t>
            </w:r>
          </w:p>
        </w:tc>
        <w:tc>
          <w:tcPr>
            <w:tcW w:type="dxa" w:w="556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Restore payment email, provide API credentials, confirm FTF Books footer capability, create staging test data</w:t>
            </w:r>
          </w:p>
        </w:tc>
      </w:tr>
      <w:tr>
        <w:tc>
          <w:tcPr>
            <w:tcW w:type="dxa" w:w="18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Prateek</w:t>
            </w:r>
          </w:p>
        </w:tc>
        <w:tc>
          <w:tcPr>
            <w:tcW w:type="dxa" w:w="20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Architect / Builder</w:t>
            </w:r>
          </w:p>
        </w:tc>
        <w:tc>
          <w:tcPr>
            <w:tcW w:type="dxa" w:w="55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Build all 17 agents, provision VPS, create Synthesia recording guide video, benchmark costs, manage deployment</w:t>
            </w:r>
          </w:p>
        </w:tc>
      </w:tr>
    </w:tbl>
    <w:p>
      <w:r>
        <w:br w:type="page"/>
      </w:r>
    </w:p>
    <w:p>
      <w:pPr>
        <w:pBdr>
          <w:bottom w:val="single" w:color="0F766E" w:sz="10" w:space="1"/>
        </w:pBdr>
        <w:spacing w:after="100" w:before="300"/>
      </w:pPr>
      <w:r>
        <w:rPr>
          <w:rFonts w:ascii="Arial" w:cs="Arial" w:eastAsia="Arial" w:hAnsi="Arial"/>
          <w:b/>
          <w:bCs/>
          <w:i w:val="false"/>
          <w:iCs w:val="false"/>
          <w:color w:val="1E1B4B"/>
          <w:sz w:val="38"/>
          <w:szCs w:val="38"/>
        </w:rPr>
        <w:t xml:space="preserve">15.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F766E" w:sz="1"/>
              <w:left w:val="single" w:color="0F766E" w:sz="1"/>
              <w:bottom w:val="single" w:color="0F766E" w:sz="1"/>
              <w:right w:val="single" w:color="0F766E" w:sz="1"/>
            </w:tcBorders>
            <w:shd w:fill="0F766E"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Requirement</w:t>
            </w:r>
          </w:p>
        </w:tc>
        <w:tc>
          <w:tcPr>
            <w:tcW w:type="dxa" w:w="6960"/>
            <w:tcBorders>
              <w:top w:val="single" w:color="0F766E" w:sz="1"/>
              <w:left w:val="single" w:color="0F766E" w:sz="1"/>
              <w:bottom w:val="single" w:color="0F766E" w:sz="1"/>
              <w:right w:val="single" w:color="0F766E" w:sz="1"/>
            </w:tcBorders>
            <w:shd w:fill="0F766E" w:val="clear"/>
            <w:tcMar>
              <w:top w:type="dxa" w:w="75"/>
              <w:left w:type="dxa" w:w="110"/>
              <w:bottom w:type="dxa" w:w="75"/>
              <w:right w:type="dxa" w:w="110"/>
            </w:tcMar>
          </w:tcPr>
          <w:p>
            <w:pPr>
              <w:spacing w:after="50" w:before="50"/>
              <w:jc w:val="left"/>
            </w:pPr>
            <w:r>
              <w:rPr>
                <w:rFonts w:ascii="Arial" w:cs="Arial" w:eastAsia="Arial" w:hAnsi="Arial"/>
                <w:b/>
                <w:bCs/>
                <w:i w:val="false"/>
                <w:iCs w:val="false"/>
                <w:color w:val="FFFFFF"/>
                <w:sz w:val="18"/>
                <w:szCs w:val="18"/>
              </w:rPr>
              <w:t xml:space="preserve">Detail</w:t>
            </w:r>
          </w:p>
        </w:tc>
      </w:tr>
      <w:tr>
        <w:tc>
          <w:tcPr>
            <w:tcW w:type="dxa" w:w="24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Availability</w:t>
            </w:r>
          </w:p>
        </w:tc>
        <w:tc>
          <w:tcPr>
            <w:tcW w:type="dxa" w:w="69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System must run 24/7 without manual intervention. GitHub Actions provides uptime. UptimeRobot monitors all loops.</w:t>
            </w:r>
          </w:p>
        </w:tc>
      </w:tr>
      <w:tr>
        <w:tc>
          <w:tcPr>
            <w:tcW w:type="dxa" w:w="24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Reliability</w:t>
            </w:r>
          </w:p>
        </w:tc>
        <w:tc>
          <w:tcPr>
            <w:tcW w:type="dxa" w:w="696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If any single agent fails, the loop fails gracefully. Error is logged, alert sent via MS Teams, and the order is not lost — it remains in the state DB for retry.</w:t>
            </w:r>
          </w:p>
        </w:tc>
      </w:tr>
      <w:tr>
        <w:tc>
          <w:tcPr>
            <w:tcW w:type="dxa" w:w="24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Latency</w:t>
            </w:r>
          </w:p>
        </w:tc>
        <w:tc>
          <w:tcPr>
            <w:tcW w:type="dxa" w:w="69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Estimate delivered within 60 minutes of order placement. Target: 90th percentile under 45 minutes.</w:t>
            </w:r>
          </w:p>
        </w:tc>
      </w:tr>
      <w:tr>
        <w:tc>
          <w:tcPr>
            <w:tcW w:type="dxa" w:w="24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LLM Failover</w:t>
            </w:r>
          </w:p>
        </w:tc>
        <w:tc>
          <w:tcPr>
            <w:tcW w:type="dxa" w:w="696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If Claude API is unavailable, system switches to backup LLM automatically. No manual intervention required.</w:t>
            </w:r>
          </w:p>
        </w:tc>
      </w:tr>
      <w:tr>
        <w:tc>
          <w:tcPr>
            <w:tcW w:type="dxa" w:w="24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Security</w:t>
            </w:r>
          </w:p>
        </w:tc>
        <w:tc>
          <w:tcPr>
            <w:tcW w:type="dxa" w:w="69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All API keys stored in .env — never in code or logs. No customer PII written to logs. .env never committed to Git.</w:t>
            </w:r>
          </w:p>
        </w:tc>
      </w:tr>
      <w:tr>
        <w:tc>
          <w:tcPr>
            <w:tcW w:type="dxa" w:w="24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Cost Management</w:t>
            </w:r>
          </w:p>
        </w:tc>
        <w:tc>
          <w:tcPr>
            <w:tcW w:type="dxa" w:w="696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Monthly LLM credit cost benchmarked before production go-live. Ryan approves budget before activation.</w:t>
            </w:r>
          </w:p>
        </w:tc>
      </w:tr>
      <w:tr>
        <w:tc>
          <w:tcPr>
            <w:tcW w:type="dxa" w:w="24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Data Retention</w:t>
            </w:r>
          </w:p>
        </w:tc>
        <w:tc>
          <w:tcPr>
            <w:tcW w:type="dxa" w:w="69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State database retains all processed orders and sent estimates for 12 months minimum.</w:t>
            </w:r>
          </w:p>
        </w:tc>
      </w:tr>
      <w:tr>
        <w:tc>
          <w:tcPr>
            <w:tcW w:type="dxa" w:w="24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Auditability</w:t>
            </w:r>
          </w:p>
        </w:tc>
        <w:tc>
          <w:tcPr>
            <w:tcW w:type="dxa" w:w="696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Every estimate generated, every reminder sent, every statement delivered — logged with timestamp, agent version, and input/output hash.</w:t>
            </w:r>
          </w:p>
        </w:tc>
      </w:tr>
      <w:tr>
        <w:tc>
          <w:tcPr>
            <w:tcW w:type="dxa" w:w="240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Scalability</w:t>
            </w:r>
          </w:p>
        </w:tc>
        <w:tc>
          <w:tcPr>
            <w:tcW w:type="dxa" w:w="6960"/>
            <w:tcBorders>
              <w:top w:val="single" w:color="D1D5DB" w:sz="1"/>
              <w:left w:val="single" w:color="D1D5DB" w:sz="1"/>
              <w:bottom w:val="single" w:color="D1D5DB" w:sz="1"/>
              <w:right w:val="single" w:color="D1D5DB" w:sz="1"/>
            </w:tcBorders>
            <w:shd w:fill="F0F4FF" w:val="clear"/>
            <w:tcMar>
              <w:top w:type="dxa" w:w="75"/>
              <w:left w:type="dxa" w:w="110"/>
              <w:bottom w:type="dxa" w:w="75"/>
              <w:right w:type="dxa" w:w="110"/>
            </w:tcMar>
          </w:tcPr>
          <w:p>
            <w:pPr>
              <w:spacing w:after="50" w:before="50"/>
              <w:jc w:val="left"/>
            </w:pPr>
            <w:r>
              <w:rPr>
                <w:rFonts w:ascii="Arial" w:cs="Arial" w:eastAsia="Arial" w:hAnsi="Arial"/>
                <w:b w:val="false"/>
                <w:bCs w:val="false"/>
                <w:i w:val="false"/>
                <w:iCs w:val="false"/>
                <w:color w:val="1F2937"/>
                <w:sz w:val="18"/>
                <w:szCs w:val="18"/>
              </w:rPr>
              <w:t xml:space="preserve">Architecture supports replication to POF and NGE with config changes only — no agent code changes required.</w:t>
            </w:r>
          </w:p>
        </w:tc>
      </w:tr>
    </w:tbl>
    <w:p>
      <w:pPr>
        <w:spacing w:after="40" w:before="80"/>
      </w:pPr>
      <w:r>
        <w:t xml:space="preserve"/>
      </w:r>
    </w:p>
    <w:p>
      <w:pPr>
        <w:spacing w:after="50" w:before="50"/>
        <w:jc w:val="center"/>
      </w:pPr>
      <w:r>
        <w:rPr>
          <w:rFonts w:ascii="Arial" w:cs="Arial" w:eastAsia="Arial" w:hAnsi="Arial"/>
          <w:b w:val="false"/>
          <w:bCs w:val="false"/>
          <w:i/>
          <w:iCs/>
          <w:color w:val="6B7280"/>
          <w:sz w:val="17"/>
          <w:szCs w:val="17"/>
        </w:rPr>
        <w:t xml:space="preserve">FTF Agentic AI OS — Full BRD v2.0 — Prepared by Prateek — May 2026</w:t>
      </w:r>
    </w:p>
    <w:sectPr>
      <w:headerReference w:type="default" r:id="rId7"/>
      <w:footerReference w:type="default" r:id="rId8"/>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F46E5" w:sz="6" w:space="1"/>
      </w:pBdr>
    </w:pPr>
    <w:r>
      <w:rPr>
        <w:rFonts w:ascii="Arial" w:cs="Arial" w:eastAsia="Arial" w:hAnsi="Arial"/>
        <w:b w:val="false"/>
        <w:bCs w:val="false"/>
        <w:i w:val="false"/>
        <w:iCs w:val="false"/>
        <w:color w:val="6B7280"/>
        <w:sz w:val="16"/>
        <w:szCs w:val="16"/>
      </w:rPr>
      <w:t xml:space="preserve">Prepared by Prateek  |  May 2026  |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1"/>
      </w:pBdr>
    </w:pPr>
    <w:r>
      <w:rPr>
        <w:rFonts w:ascii="Arial" w:cs="Arial" w:eastAsia="Arial" w:hAnsi="Arial"/>
        <w:b w:val="false"/>
        <w:bCs w:val="false"/>
        <w:i w:val="false"/>
        <w:iCs w:val="false"/>
        <w:color w:val="6B7280"/>
        <w:sz w:val="16"/>
        <w:szCs w:val="16"/>
      </w:rPr>
      <w:t xml:space="preserve">FTF Agentic AI OS — Business Requirements Document v2.0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2026-05-18T16:36:59.061Z</dcterms:created>
  <dcterms:modified xsi:type="dcterms:W3CDTF">2026-05-18T16:36:59.075Z</dcterms:modified>
</cp:coreProperties>
</file>

<file path=docProps/custom.xml><?xml version="1.0" encoding="utf-8"?>
<Properties xmlns="http://schemas.openxmlformats.org/officeDocument/2006/custom-properties" xmlns:vt="http://schemas.openxmlformats.org/officeDocument/2006/docPropsVTypes"/>
</file>