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B4B" w:val="clear"/>
            <w:tcMar>
              <w:top w:type="dxa" w:w="200"/>
              <w:left w:type="dxa" w:w="280"/>
              <w:bottom w:type="dxa" w:w="200"/>
              <w:right w:type="dxa" w:w="280"/>
            </w:tcMar>
          </w:tcPr>
          <w:p>
            <w:pPr>
              <w:spacing w:after="30" w:before="50"/>
              <w:jc w:val="left"/>
            </w:pPr>
            <w:r>
              <w:rPr>
                <w:rFonts w:ascii="Arial" w:cs="Arial" w:eastAsia="Arial" w:hAnsi="Arial"/>
                <w:b w:val="false"/>
                <w:bCs w:val="false"/>
                <w:i/>
                <w:iCs/>
                <w:color w:val="C7D2FE"/>
                <w:sz w:val="17"/>
                <w:szCs w:val="17"/>
              </w:rPr>
              <w:t xml:space="preserve">FTF AGENTIC AI SYSTEM</w:t>
            </w:r>
          </w:p>
          <w:p>
            <w:pPr>
              <w:spacing w:after="20" w:before="50"/>
              <w:jc w:val="left"/>
            </w:pPr>
            <w:r>
              <w:rPr>
                <w:rFonts w:ascii="Arial" w:cs="Arial" w:eastAsia="Arial" w:hAnsi="Arial"/>
                <w:b/>
                <w:bCs/>
                <w:i w:val="false"/>
                <w:iCs w:val="false"/>
                <w:color w:val="FFFFFF"/>
                <w:sz w:val="52"/>
                <w:szCs w:val="52"/>
              </w:rPr>
              <w:t xml:space="preserve">Robert &amp; Mark</w:t>
            </w:r>
          </w:p>
          <w:p>
            <w:pPr>
              <w:spacing w:after="40" w:before="50"/>
              <w:jc w:val="left"/>
            </w:pPr>
            <w:r>
              <w:rPr>
                <w:rFonts w:ascii="Arial" w:cs="Arial" w:eastAsia="Arial" w:hAnsi="Arial"/>
                <w:b w:val="false"/>
                <w:bCs w:val="false"/>
                <w:i w:val="false"/>
                <w:iCs w:val="false"/>
                <w:color w:val="A5B4FC"/>
                <w:sz w:val="22"/>
                <w:szCs w:val="22"/>
              </w:rPr>
              <w:t xml:space="preserve">Survey Operations — Primary Subject Matter Experts</w:t>
            </w:r>
          </w:p>
          <w:p>
            <w:pPr>
              <w:spacing w:after="50" w:before="50"/>
              <w:jc w:val="left"/>
            </w:pPr>
            <w:r>
              <w:rPr>
                <w:rFonts w:ascii="Arial" w:cs="Arial" w:eastAsia="Arial" w:hAnsi="Arial"/>
                <w:b w:val="false"/>
                <w:bCs w:val="false"/>
                <w:i/>
                <w:iCs/>
                <w:color w:val="C7D2FE"/>
                <w:sz w:val="19"/>
                <w:szCs w:val="19"/>
              </w:rPr>
              <w:t xml:space="preserve">Questions &amp; Information We Need From You</w:t>
            </w:r>
          </w:p>
        </w:tc>
      </w:tr>
    </w:tbl>
    <w:p>
      <w:pPr>
        <w:spacing w:after="2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C2626" w:sz="1"/>
              <w:left w:val="single" w:color="DC2626" w:sz="1"/>
              <w:bottom w:val="single" w:color="DC2626" w:sz="1"/>
              <w:right w:val="single" w:color="DC2626" w:sz="1"/>
            </w:tcBorders>
            <w:shd w:fill="FEE2E2" w:val="clear"/>
            <w:tcMar>
              <w:top w:type="dxa" w:w="70"/>
              <w:left w:type="dxa" w:w="120"/>
              <w:bottom w:type="dxa" w:w="70"/>
              <w:right w:type="dxa" w:w="120"/>
            </w:tcMar>
          </w:tcPr>
          <w:p>
            <w:pPr>
              <w:spacing w:after="50" w:before="50"/>
              <w:jc w:val="left"/>
            </w:pPr>
            <w:r>
              <w:rPr>
                <w:rFonts w:ascii="Arial" w:cs="Arial" w:eastAsia="Arial" w:hAnsi="Arial"/>
                <w:b/>
                <w:bCs/>
                <w:i w:val="false"/>
                <w:iCs w:val="false"/>
                <w:color w:val="991B1B"/>
                <w:sz w:val="17"/>
                <w:szCs w:val="17"/>
              </w:rPr>
              <w:t xml:space="preserve">🔴  CRITICAL — answer this first</w:t>
            </w:r>
          </w:p>
        </w:tc>
        <w:tc>
          <w:tcPr>
            <w:tcW w:type="dxa" w:w="3120"/>
            <w:tcBorders>
              <w:top w:val="single" w:color="CA8A04" w:sz="1"/>
              <w:left w:val="single" w:color="CA8A04" w:sz="1"/>
              <w:bottom w:val="single" w:color="CA8A04" w:sz="1"/>
              <w:right w:val="single" w:color="CA8A04" w:sz="1"/>
            </w:tcBorders>
            <w:shd w:fill="FEFCE8" w:val="clear"/>
            <w:tcMar>
              <w:top w:type="dxa" w:w="70"/>
              <w:left w:type="dxa" w:w="120"/>
              <w:bottom w:type="dxa" w:w="70"/>
              <w:right w:type="dxa" w:w="120"/>
            </w:tcMar>
          </w:tcPr>
          <w:p>
            <w:pPr>
              <w:spacing w:after="50" w:before="50"/>
              <w:jc w:val="left"/>
            </w:pPr>
            <w:r>
              <w:rPr>
                <w:rFonts w:ascii="Arial" w:cs="Arial" w:eastAsia="Arial" w:hAnsi="Arial"/>
                <w:b/>
                <w:bCs/>
                <w:i w:val="false"/>
                <w:iCs w:val="false"/>
                <w:color w:val="92400E"/>
                <w:sz w:val="17"/>
                <w:szCs w:val="17"/>
              </w:rPr>
              <w:t xml:space="preserve">🟡  HIGH — needed before go-live</w:t>
            </w:r>
          </w:p>
        </w:tc>
        <w:tc>
          <w:tcPr>
            <w:tcW w:type="dxa" w:w="3120"/>
            <w:tcBorders>
              <w:top w:val="single" w:color="2563EB" w:sz="1"/>
              <w:left w:val="single" w:color="2563EB" w:sz="1"/>
              <w:bottom w:val="single" w:color="2563EB" w:sz="1"/>
              <w:right w:val="single" w:color="2563EB" w:sz="1"/>
            </w:tcBorders>
            <w:shd w:fill="EFF6FF" w:val="clear"/>
            <w:tcMar>
              <w:top w:type="dxa" w:w="70"/>
              <w:left w:type="dxa" w:w="120"/>
              <w:bottom w:type="dxa" w:w="70"/>
              <w:right w:type="dxa" w:w="120"/>
            </w:tcMar>
          </w:tcPr>
          <w:p>
            <w:pPr>
              <w:spacing w:after="50" w:before="50"/>
              <w:jc w:val="left"/>
            </w:pPr>
            <w:r>
              <w:rPr>
                <w:rFonts w:ascii="Arial" w:cs="Arial" w:eastAsia="Arial" w:hAnsi="Arial"/>
                <w:b/>
                <w:bCs/>
                <w:i w:val="false"/>
                <w:iCs w:val="false"/>
                <w:color w:val="1D4ED8"/>
                <w:sz w:val="17"/>
                <w:szCs w:val="17"/>
              </w:rPr>
              <w:t xml:space="preserve">⚪  STANDARD — can wait</w:t>
            </w:r>
          </w:p>
        </w:tc>
      </w:tr>
    </w:tbl>
    <w:p>
      <w:pPr>
        <w:spacing w:after="2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F8FAFF" w:val="clear"/>
            <w:tcMar>
              <w:top w:type="dxa" w:w="120"/>
              <w:left w:type="dxa" w:w="160"/>
              <w:bottom w:type="dxa" w:w="120"/>
              <w:right w:type="dxa" w:w="160"/>
            </w:tcMar>
          </w:tcPr>
          <w:p>
            <w:pPr>
              <w:spacing w:after="25" w:before="50"/>
              <w:jc w:val="left"/>
            </w:pPr>
            <w:r>
              <w:rPr>
                <w:rFonts w:ascii="Arial" w:cs="Arial" w:eastAsia="Arial" w:hAnsi="Arial"/>
                <w:b w:val="false"/>
                <w:bCs w:val="false"/>
                <w:i w:val="false"/>
                <w:iCs w:val="false"/>
                <w:color w:val="374151"/>
                <w:sz w:val="19"/>
                <w:szCs w:val="19"/>
              </w:rPr>
              <w:t xml:space="preserve">Hi Robert and Mark,</w:t>
            </w:r>
          </w:p>
          <w:p>
            <w:pPr>
              <w:spacing w:after="50" w:before="50"/>
              <w:jc w:val="left"/>
            </w:pPr>
            <w:r>
              <w:rPr>
                <w:rFonts w:ascii="Arial" w:cs="Arial" w:eastAsia="Arial" w:hAnsi="Arial"/>
                <w:b w:val="false"/>
                <w:bCs w:val="false"/>
                <w:i w:val="false"/>
                <w:iCs w:val="false"/>
                <w:color w:val="374151"/>
                <w:sz w:val="19"/>
                <w:szCs w:val="19"/>
              </w:rPr>
              <w:t xml:space="preserve"/>
            </w:r>
          </w:p>
          <w:p>
            <w:pPr>
              <w:spacing w:after="25" w:before="50"/>
              <w:jc w:val="left"/>
            </w:pPr>
            <w:r>
              <w:rPr>
                <w:rFonts w:ascii="Arial" w:cs="Arial" w:eastAsia="Arial" w:hAnsi="Arial"/>
                <w:b w:val="false"/>
                <w:bCs w:val="false"/>
                <w:i w:val="false"/>
                <w:iCs w:val="false"/>
                <w:color w:val="374151"/>
                <w:sz w:val="19"/>
                <w:szCs w:val="19"/>
              </w:rPr>
              <w:t xml:space="preserve">We are building an AI system that will automatically generate survey estimates for every new order that comes into FTF. Before we can build it, the AI needs to learn from you — because you are the people who know how this business works.</w:t>
            </w:r>
          </w:p>
          <w:p>
            <w:pPr>
              <w:spacing w:after="50" w:before="50"/>
              <w:jc w:val="left"/>
            </w:pPr>
            <w:r>
              <w:rPr>
                <w:rFonts w:ascii="Arial" w:cs="Arial" w:eastAsia="Arial" w:hAnsi="Arial"/>
                <w:b w:val="false"/>
                <w:bCs w:val="false"/>
                <w:i w:val="false"/>
                <w:iCs w:val="false"/>
                <w:color w:val="374151"/>
                <w:sz w:val="19"/>
                <w:szCs w:val="19"/>
              </w:rPr>
              <w:t xml:space="preserve"/>
            </w:r>
          </w:p>
          <w:p>
            <w:pPr>
              <w:spacing w:after="25" w:before="50"/>
              <w:jc w:val="left"/>
            </w:pPr>
            <w:r>
              <w:rPr>
                <w:rFonts w:ascii="Arial" w:cs="Arial" w:eastAsia="Arial" w:hAnsi="Arial"/>
                <w:b w:val="false"/>
                <w:bCs w:val="false"/>
                <w:i w:val="false"/>
                <w:iCs w:val="false"/>
                <w:color w:val="374151"/>
                <w:sz w:val="19"/>
                <w:szCs w:val="19"/>
              </w:rPr>
              <w:t xml:space="preserve">Below are the questions we need you to answer. Start with the 🔴 Critical items first — nothing can be built until those are done. Write your answers in the 'Your Answer' column and send back to Prateek.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c>
          <w:tcPr>
            <w:tcW w:type="dxa" w:w="1400"/>
            <w:tcBorders>
              <w:top w:val="single" w:color="1E1B4B" w:sz="1"/>
              <w:left w:val="single" w:color="1E1B4B" w:sz="1"/>
              <w:bottom w:val="single" w:color="1E1B4B" w:sz="1"/>
              <w:right w:val="single" w:color="1E1B4B" w:sz="1"/>
            </w:tcBorders>
            <w:shd w:fill="1E1B4B" w:val="clear"/>
            <w:tcMar>
              <w:top w:type="dxa" w:w="90"/>
              <w:left w:type="dxa" w:w="140"/>
              <w:bottom w:type="dxa" w:w="90"/>
              <w:right w:type="dxa" w:w="140"/>
            </w:tcMar>
          </w:tcPr>
          <w:p>
            <w:pPr>
              <w:spacing w:after="50" w:before="50"/>
              <w:jc w:val="left"/>
            </w:pPr>
            <w:r>
              <w:rPr>
                <w:rFonts w:ascii="Arial" w:cs="Arial" w:eastAsia="Arial" w:hAnsi="Arial"/>
                <w:b/>
                <w:bCs/>
                <w:i w:val="false"/>
                <w:iCs w:val="false"/>
                <w:color w:val="FFFFFF"/>
                <w:sz w:val="19"/>
                <w:szCs w:val="19"/>
              </w:rPr>
              <w:t xml:space="preserve">Priority</w:t>
            </w:r>
          </w:p>
        </w:tc>
        <w:tc>
          <w:tcPr>
            <w:tcW w:type="dxa" w:w="5560"/>
            <w:tcBorders>
              <w:top w:val="single" w:color="1E1B4B" w:sz="1"/>
              <w:left w:val="single" w:color="1E1B4B" w:sz="1"/>
              <w:bottom w:val="single" w:color="1E1B4B" w:sz="1"/>
              <w:right w:val="single" w:color="1E1B4B" w:sz="1"/>
            </w:tcBorders>
            <w:shd w:fill="1E1B4B" w:val="clear"/>
            <w:tcMar>
              <w:top w:type="dxa" w:w="90"/>
              <w:left w:type="dxa" w:w="140"/>
              <w:bottom w:type="dxa" w:w="90"/>
              <w:right w:type="dxa" w:w="140"/>
            </w:tcMar>
          </w:tcPr>
          <w:p>
            <w:pPr>
              <w:spacing w:after="50" w:before="50"/>
              <w:jc w:val="left"/>
            </w:pPr>
            <w:r>
              <w:rPr>
                <w:rFonts w:ascii="Arial" w:cs="Arial" w:eastAsia="Arial" w:hAnsi="Arial"/>
                <w:b/>
                <w:bCs/>
                <w:i w:val="false"/>
                <w:iCs w:val="false"/>
                <w:color w:val="FFFFFF"/>
                <w:sz w:val="19"/>
                <w:szCs w:val="19"/>
              </w:rPr>
              <w:t xml:space="preserve">What We Need From You</w:t>
            </w:r>
          </w:p>
        </w:tc>
        <w:tc>
          <w:tcPr>
            <w:tcW w:type="dxa" w:w="2400"/>
            <w:tcBorders>
              <w:top w:val="single" w:color="1E1B4B" w:sz="1"/>
              <w:left w:val="single" w:color="1E1B4B" w:sz="1"/>
              <w:bottom w:val="single" w:color="1E1B4B" w:sz="1"/>
              <w:right w:val="single" w:color="1E1B4B" w:sz="1"/>
            </w:tcBorders>
            <w:shd w:fill="1E1B4B" w:val="clear"/>
            <w:tcMar>
              <w:top w:type="dxa" w:w="90"/>
              <w:left w:type="dxa" w:w="140"/>
              <w:bottom w:type="dxa" w:w="90"/>
              <w:right w:type="dxa" w:w="140"/>
            </w:tcMar>
          </w:tcPr>
          <w:p>
            <w:pPr>
              <w:spacing w:after="50" w:before="50"/>
              <w:jc w:val="left"/>
            </w:pPr>
            <w:r>
              <w:rPr>
                <w:rFonts w:ascii="Arial" w:cs="Arial" w:eastAsia="Arial" w:hAnsi="Arial"/>
                <w:b/>
                <w:bCs/>
                <w:i w:val="false"/>
                <w:iCs w:val="false"/>
                <w:color w:val="FFFFFF"/>
                <w:sz w:val="19"/>
                <w:szCs w:val="19"/>
              </w:rPr>
              <w:t xml:space="preserve">Your Answer</w:t>
            </w:r>
          </w:p>
        </w:tc>
      </w:tr>
      <w:tr>
        <w:tc>
          <w:tcPr>
            <w:tcW w:type="dxa" w:w="9360"/>
            <w:gridSpan w:val="3"/>
            <w:tcBorders>
              <w:top w:val="single" w:color="DC2626" w:sz="1"/>
              <w:left w:val="single" w:color="DC2626" w:sz="1"/>
              <w:bottom w:val="single" w:color="DC2626" w:sz="1"/>
              <w:right w:val="single" w:color="DC2626" w:sz="1"/>
            </w:tcBorders>
            <w:shd w:fill="DC2626" w:val="clear"/>
            <w:tcMar>
              <w:top w:type="dxa" w:w="80"/>
              <w:left w:type="dxa" w:w="140"/>
              <w:bottom w:type="dxa" w:w="80"/>
              <w:right w:type="dxa" w:w="140"/>
            </w:tcMar>
          </w:tcPr>
          <w:p>
            <w:pPr>
              <w:spacing w:after="50" w:before="50"/>
              <w:jc w:val="left"/>
            </w:pPr>
            <w:r>
              <w:rPr>
                <w:rFonts w:ascii="Arial" w:cs="Arial" w:eastAsia="Arial" w:hAnsi="Arial"/>
                <w:b/>
                <w:bCs/>
                <w:i w:val="false"/>
                <w:iCs w:val="false"/>
                <w:color w:val="FFFFFF"/>
                <w:sz w:val="19"/>
                <w:szCs w:val="19"/>
              </w:rPr>
              <w:t xml:space="preserve">Step 1 — Your Recording Sessions  (Most Important)</w:t>
            </w:r>
          </w:p>
        </w:tc>
      </w:tr>
      <w:tr>
        <w:tc>
          <w:tcPr>
            <w:tcW w:type="dxa" w:w="1400"/>
            <w:tcBorders>
              <w:top w:val="single" w:color="DC2626" w:sz="1"/>
              <w:left w:val="single" w:color="DC2626" w:sz="1"/>
              <w:bottom w:val="single" w:color="DC2626" w:sz="1"/>
              <w:right w:val="single" w:color="DC2626" w:sz="1"/>
            </w:tcBorders>
            <w:shd w:fill="FEE2E2"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991B1B"/>
                <w:sz w:val="17"/>
                <w:szCs w:val="17"/>
              </w:rPr>
              <w:t xml:space="preserve">🔴  CRITICAL</w:t>
            </w:r>
          </w:p>
        </w:tc>
        <w:tc>
          <w:tcPr>
            <w:tcW w:type="dxa" w:w="5560"/>
            <w:tcBorders>
              <w:top w:val="single" w:color="DC2626" w:sz="1"/>
              <w:left w:val="single" w:color="DC2626" w:sz="1"/>
              <w:bottom w:val="single" w:color="DC2626" w:sz="1"/>
              <w:right w:val="single" w:color="DC2626" w:sz="1"/>
            </w:tcBorders>
            <w:shd w:fill="FEE2E2"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Robert and Mark each need to record a screen-share session (using Loom or any recorder) showing how you currently handle a new order from start to finish — opening it, looking up the price, writing the estimate email, and sending it. Narrate everything out loud as you do it. These recordings teach the AI everything it needs to know. We cannot build it without them.
Do you need a walkthrough of how to record? Yes / No
When can you do your first recording session?</w:t>
            </w:r>
          </w:p>
        </w:tc>
        <w:tc>
          <w:tcPr>
            <w:tcW w:type="dxa" w:w="2400"/>
            <w:tcBorders>
              <w:top w:val="single" w:color="DC2626" w:sz="1"/>
              <w:left w:val="single" w:color="DC2626" w:sz="1"/>
              <w:bottom w:val="single" w:color="DC2626" w:sz="1"/>
              <w:right w:val="single" w:color="DC2626" w:sz="1"/>
            </w:tcBorders>
            <w:shd w:fill="F9FAFB" w:val="clear"/>
            <w:tcMar>
              <w:top w:type="dxa" w:w="90"/>
              <w:left w:type="dxa" w:w="140"/>
              <w:bottom w:type="dxa" w:w="90"/>
              <w:right w:type="dxa" w:w="140"/>
            </w:tcMar>
          </w:tcPr>
          <w:p>
            <w:pPr>
              <w:spacing w:after="50" w:before="50"/>
              <w:jc w:val="left"/>
            </w:pPr>
            <w:r>
              <w:rPr>
                <w:b/>
              </w:rPr>
              <w:t>ANSWERED — 2026-05-25</w:t>
            </w:r>
          </w:p>
          <w:p>
            <w:r/>
          </w:p>
          <w:p>
            <w:r>
              <w:t>Robert completed Recording 1 (AI Quoting &amp; Review Process Guidelines, ~24 min) and Recording 2 (Quoting &amp; Ordering Workflow, ~14 min) on 2026-05-25. No walkthrough needed. Both sessions fully transcribed and extracted into docs/recording_01_ai_quoting_review_guidelines.md and docs/recording_02_quoting_ordering_workflow.md.</w:t>
            </w:r>
          </w:p>
        </w:tc>
      </w:tr>
      <w:tr>
        <w:tc>
          <w:tcPr>
            <w:tcW w:type="dxa" w:w="9360"/>
            <w:gridSpan w:val="3"/>
            <w:tcBorders>
              <w:top w:val="single" w:color="DC2626" w:sz="1"/>
              <w:left w:val="single" w:color="DC2626" w:sz="1"/>
              <w:bottom w:val="single" w:color="DC2626" w:sz="1"/>
              <w:right w:val="single" w:color="DC2626" w:sz="1"/>
            </w:tcBorders>
            <w:shd w:fill="DC2626" w:val="clear"/>
            <w:tcMar>
              <w:top w:type="dxa" w:w="80"/>
              <w:left w:type="dxa" w:w="140"/>
              <w:bottom w:type="dxa" w:w="80"/>
              <w:right w:type="dxa" w:w="140"/>
            </w:tcMar>
          </w:tcPr>
          <w:p>
            <w:pPr>
              <w:spacing w:after="50" w:before="50"/>
              <w:jc w:val="left"/>
            </w:pPr>
            <w:r>
              <w:rPr>
                <w:rFonts w:ascii="Arial" w:cs="Arial" w:eastAsia="Arial" w:hAnsi="Arial"/>
                <w:b/>
                <w:bCs/>
                <w:i w:val="false"/>
                <w:iCs w:val="false"/>
                <w:color w:val="FFFFFF"/>
                <w:sz w:val="19"/>
                <w:szCs w:val="19"/>
              </w:rPr>
              <w:t xml:space="preserve">Step 2 — Survey Names in the FTF System  (Critical — AI needs exact names)</w:t>
            </w:r>
          </w:p>
        </w:tc>
      </w:tr>
      <w:tr>
        <w:tc>
          <w:tcPr>
            <w:tcW w:type="dxa" w:w="1400"/>
            <w:tcBorders>
              <w:top w:val="single" w:color="DC2626" w:sz="1"/>
              <w:left w:val="single" w:color="DC2626" w:sz="1"/>
              <w:bottom w:val="single" w:color="DC2626" w:sz="1"/>
              <w:right w:val="single" w:color="DC2626" w:sz="1"/>
            </w:tcBorders>
            <w:shd w:fill="FEE2E2"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991B1B"/>
                <w:sz w:val="17"/>
                <w:szCs w:val="17"/>
              </w:rPr>
              <w:t xml:space="preserve">🔴  CRITICAL</w:t>
            </w:r>
          </w:p>
        </w:tc>
        <w:tc>
          <w:tcPr>
            <w:tcW w:type="dxa" w:w="5560"/>
            <w:tcBorders>
              <w:top w:val="single" w:color="DC2626" w:sz="1"/>
              <w:left w:val="single" w:color="DC2626" w:sz="1"/>
              <w:bottom w:val="single" w:color="DC2626" w:sz="1"/>
              <w:right w:val="single" w:color="DC2626" w:sz="1"/>
            </w:tcBorders>
            <w:shd w:fill="FEE2E2"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When a customer submits a Topographic Survey order in FTF, what exact name appears in the system?
The AI's pricing system has it listed as 'Topography Survey'. Is that the name you see in FTF orders — or is it spelled differently?</w:t>
            </w:r>
          </w:p>
        </w:tc>
        <w:tc>
          <w:tcPr>
            <w:tcW w:type="dxa" w:w="2400"/>
            <w:tcBorders>
              <w:top w:val="single" w:color="DC2626" w:sz="1"/>
              <w:left w:val="single" w:color="DC2626" w:sz="1"/>
              <w:bottom w:val="single" w:color="DC2626" w:sz="1"/>
              <w:right w:val="single" w:color="DC2626" w:sz="1"/>
            </w:tcBorders>
            <w:shd w:fill="F9FAFB" w:val="clear"/>
            <w:tcMar>
              <w:top w:type="dxa" w:w="90"/>
              <w:left w:type="dxa" w:w="140"/>
              <w:bottom w:type="dxa" w:w="90"/>
              <w:right w:type="dxa" w:w="140"/>
            </w:tcMar>
          </w:tcPr>
          <w:p>
            <w:pPr>
              <w:spacing w:after="50" w:before="50"/>
              <w:jc w:val="left"/>
            </w:pPr>
            <w:r>
              <w:rPr>
                <w:b/>
              </w:rPr>
              <w:t>ANSWERED — 2026-05-25 (Recording 1)</w:t>
            </w:r>
          </w:p>
          <w:p>
            <w:r/>
          </w:p>
          <w:p>
            <w:r>
              <w:t>Brand-new from-scratch topographic survey: 'Topographic Boundary Survey'</w:t>
            </w:r>
          </w:p>
          <w:p>
            <w:r>
              <w:t>Update / topo-only: 'Topo Survey', 'Topographic Survey', or 'Update/Topographic Survey' (any of these three names is used).</w:t>
            </w:r>
          </w:p>
          <w:p>
            <w:r/>
          </w:p>
          <w:p>
            <w:r>
              <w:t>Note: 'Topography Survey' (in our pricing system) maps to these names — classifier uses the actual FTF service_type field from the order.</w:t>
            </w:r>
          </w:p>
        </w:tc>
      </w:tr>
      <w:tr>
        <w:tc>
          <w:tcPr>
            <w:tcW w:type="dxa" w:w="1400"/>
            <w:tcBorders>
              <w:top w:val="single" w:color="DC2626" w:sz="1"/>
              <w:left w:val="single" w:color="DC2626" w:sz="1"/>
              <w:bottom w:val="single" w:color="DC2626" w:sz="1"/>
              <w:right w:val="single" w:color="DC2626" w:sz="1"/>
            </w:tcBorders>
            <w:shd w:fill="FEE2E2"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991B1B"/>
                <w:sz w:val="17"/>
                <w:szCs w:val="17"/>
              </w:rPr>
              <w:t xml:space="preserve">🔴  CRITICAL</w:t>
            </w:r>
          </w:p>
        </w:tc>
        <w:tc>
          <w:tcPr>
            <w:tcW w:type="dxa" w:w="5560"/>
            <w:tcBorders>
              <w:top w:val="single" w:color="DC2626" w:sz="1"/>
              <w:left w:val="single" w:color="DC2626" w:sz="1"/>
              <w:bottom w:val="single" w:color="DC2626" w:sz="1"/>
              <w:right w:val="single" w:color="DC2626" w:sz="1"/>
            </w:tcBorders>
            <w:shd w:fill="FEE2E2"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When a construction-related job comes in, what service name is used in FTF?
The pricing system does not have 'Construction Survey' as an option. It has: Building Stake Out, Form Board Survey, Foundation Tie-In, Pad Stake Out. Which one is used, or is it something else?</w:t>
            </w:r>
          </w:p>
        </w:tc>
        <w:tc>
          <w:tcPr>
            <w:tcW w:type="dxa" w:w="2400"/>
            <w:tcBorders>
              <w:top w:val="single" w:color="DC2626" w:sz="1"/>
              <w:left w:val="single" w:color="DC2626" w:sz="1"/>
              <w:bottom w:val="single" w:color="DC2626" w:sz="1"/>
              <w:right w:val="single" w:color="DC2626" w:sz="1"/>
            </w:tcBorders>
            <w:shd w:fill="F9FAFB" w:val="clear"/>
            <w:tcMar>
              <w:top w:type="dxa" w:w="90"/>
              <w:left w:type="dxa" w:w="140"/>
              <w:bottom w:type="dxa" w:w="90"/>
              <w:right w:type="dxa" w:w="140"/>
            </w:tcMar>
          </w:tcPr>
          <w:p>
            <w:pPr>
              <w:spacing w:after="50" w:before="50"/>
              <w:jc w:val="left"/>
            </w:pPr>
            <w:r>
              <w:rPr>
                <w:b/>
              </w:rPr>
              <w:t>ANSWERED — 2026-05-25 (Recording 1)</w:t>
            </w:r>
          </w:p>
          <w:p>
            <w:r/>
          </w:p>
          <w:p>
            <w:r>
              <w:t>Construction survey at the design phase maps to 'Topo Survey' in FTF.</w:t>
            </w:r>
          </w:p>
          <w:p>
            <w:r>
              <w:t>The DURING-construction sub-services are separate line items: Building Stake Out, Form Board Survey, Foundation Tie-In.</w:t>
            </w:r>
          </w:p>
          <w:p>
            <w:r/>
          </w:p>
          <w:p>
            <w:r>
              <w:t>These are not 'Construction Survey' — they are individual services ordered at different stages of the build.</w:t>
            </w:r>
          </w:p>
        </w:tc>
      </w:tr>
      <w:tr>
        <w:tc>
          <w:tcPr>
            <w:tcW w:type="dxa" w:w="1400"/>
            <w:tcBorders>
              <w:top w:val="single" w:color="DC2626" w:sz="1"/>
              <w:left w:val="single" w:color="DC2626" w:sz="1"/>
              <w:bottom w:val="single" w:color="DC2626" w:sz="1"/>
              <w:right w:val="single" w:color="DC2626" w:sz="1"/>
            </w:tcBorders>
            <w:shd w:fill="FEE2E2"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991B1B"/>
                <w:sz w:val="17"/>
                <w:szCs w:val="17"/>
              </w:rPr>
              <w:t xml:space="preserve">🔴  CRITICAL</w:t>
            </w:r>
          </w:p>
        </w:tc>
        <w:tc>
          <w:tcPr>
            <w:tcW w:type="dxa" w:w="5560"/>
            <w:tcBorders>
              <w:top w:val="single" w:color="DC2626" w:sz="1"/>
              <w:left w:val="single" w:color="DC2626" w:sz="1"/>
              <w:bottom w:val="single" w:color="DC2626" w:sz="1"/>
              <w:right w:val="single" w:color="DC2626" w:sz="1"/>
            </w:tcBorders>
            <w:shd w:fill="FEE2E2"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When a permitting job comes in, what service name is used in FTF?
The pricing system does not have 'Permitting Survey'. Does it go under 'Specific Purpose Survey', 'Other Services', or something else?</w:t>
            </w:r>
          </w:p>
        </w:tc>
        <w:tc>
          <w:tcPr>
            <w:tcW w:type="dxa" w:w="2400"/>
            <w:tcBorders>
              <w:top w:val="single" w:color="DC2626" w:sz="1"/>
              <w:left w:val="single" w:color="DC2626" w:sz="1"/>
              <w:bottom w:val="single" w:color="DC2626" w:sz="1"/>
              <w:right w:val="single" w:color="DC2626" w:sz="1"/>
            </w:tcBorders>
            <w:shd w:fill="F9FAFB" w:val="clear"/>
            <w:tcMar>
              <w:top w:type="dxa" w:w="90"/>
              <w:left w:type="dxa" w:w="140"/>
              <w:bottom w:type="dxa" w:w="90"/>
              <w:right w:type="dxa" w:w="140"/>
            </w:tcMar>
          </w:tcPr>
          <w:p>
            <w:pPr>
              <w:spacing w:after="50" w:before="50"/>
              <w:jc w:val="left"/>
            </w:pPr>
            <w:r>
              <w:rPr>
                <w:b/>
              </w:rPr>
              <w:t>ANSWERED — 2026-05-25 (Recording 1)</w:t>
            </w:r>
          </w:p>
          <w:p>
            <w:r/>
          </w:p>
          <w:p>
            <w:r>
              <w:t>A permitting job is still a 'Boundary Survey' in FTF — the difference is that it requires a 3rd-party digital signature for county portal uploads. 'Permitting' describes the delivery requirement, not a separate service type.</w:t>
            </w:r>
          </w:p>
          <w:p>
            <w:r/>
          </w:p>
          <w:p>
            <w:r>
              <w:t>Classifier rule: service_type = 'Boundary Survey'; flag if notes contain 'Permitting' or 'county portal' to ensure digital signature step is noted.</w:t>
            </w:r>
          </w:p>
        </w:tc>
      </w:tr>
      <w:tr>
        <w:tc>
          <w:tcPr>
            <w:tcW w:type="dxa" w:w="1400"/>
            <w:tcBorders>
              <w:top w:val="single" w:color="CA8A04" w:sz="1"/>
              <w:left w:val="single" w:color="CA8A04" w:sz="1"/>
              <w:bottom w:val="single" w:color="CA8A04" w:sz="1"/>
              <w:right w:val="single" w:color="CA8A04" w:sz="1"/>
            </w:tcBorders>
            <w:shd w:fill="FEFCE8"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92400E"/>
                <w:sz w:val="17"/>
                <w:szCs w:val="17"/>
              </w:rPr>
              <w:t xml:space="preserve">🟡  HIGH</w:t>
            </w:r>
          </w:p>
        </w:tc>
        <w:tc>
          <w:tcPr>
            <w:tcW w:type="dxa" w:w="5560"/>
            <w:tcBorders>
              <w:top w:val="single" w:color="CA8A04" w:sz="1"/>
              <w:left w:val="single" w:color="CA8A04" w:sz="1"/>
              <w:bottom w:val="single" w:color="CA8A04" w:sz="1"/>
              <w:right w:val="single" w:color="CA8A04" w:sz="1"/>
            </w:tcBorders>
            <w:shd w:fill="FEFCE8"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The pricing system has a service called 'Specific Purpose Survey'. Our documents call it 'Special Purpose Survey'. Which name appears in the actual FTF orders you see?</w:t>
            </w:r>
          </w:p>
        </w:tc>
        <w:tc>
          <w:tcPr>
            <w:tcW w:type="dxa" w:w="2400"/>
            <w:tcBorders>
              <w:top w:val="single" w:color="CA8A04" w:sz="1"/>
              <w:left w:val="single" w:color="CA8A04" w:sz="1"/>
              <w:bottom w:val="single" w:color="CA8A04" w:sz="1"/>
              <w:right w:val="single" w:color="CA8A04" w:sz="1"/>
            </w:tcBorders>
            <w:shd w:fill="F9FAFB" w:val="clear"/>
            <w:tcMar>
              <w:top w:type="dxa" w:w="90"/>
              <w:left w:type="dxa" w:w="140"/>
              <w:bottom w:type="dxa" w:w="90"/>
              <w:right w:type="dxa" w:w="140"/>
            </w:tcMar>
          </w:tcPr>
          <w:p>
            <w:pPr>
              <w:spacing w:after="50" w:before="50"/>
              <w:jc w:val="left"/>
            </w:pPr>
            <w:r>
              <w:rPr>
                <w:b/>
              </w:rPr>
              <w:t>ANSWERED — 2026-05-25 (Recording 1)</w:t>
            </w:r>
          </w:p>
          <w:p>
            <w:r/>
          </w:p>
          <w:p>
            <w:r>
              <w:t>Both names refer to the same service. Robert uses 'Specific Purpose Survey' as the canonical name in FTF. 'Special Purpose Survey' is also accepted when it appears in customer requests. Use 'Specific Purpose Survey' as the standard name in all AI output.</w:t>
            </w:r>
          </w:p>
        </w:tc>
      </w:tr>
      <w:tr>
        <w:tc>
          <w:tcPr>
            <w:tcW w:type="dxa" w:w="9360"/>
            <w:gridSpan w:val="3"/>
            <w:tcBorders>
              <w:top w:val="single" w:color="DC2626" w:sz="1"/>
              <w:left w:val="single" w:color="DC2626" w:sz="1"/>
              <w:bottom w:val="single" w:color="DC2626" w:sz="1"/>
              <w:right w:val="single" w:color="DC2626" w:sz="1"/>
            </w:tcBorders>
            <w:shd w:fill="DC2626" w:val="clear"/>
            <w:tcMar>
              <w:top w:type="dxa" w:w="80"/>
              <w:left w:type="dxa" w:w="140"/>
              <w:bottom w:type="dxa" w:w="80"/>
              <w:right w:type="dxa" w:w="140"/>
            </w:tcMar>
          </w:tcPr>
          <w:p>
            <w:pPr>
              <w:spacing w:after="50" w:before="50"/>
              <w:jc w:val="left"/>
            </w:pPr>
            <w:r>
              <w:rPr>
                <w:rFonts w:ascii="Arial" w:cs="Arial" w:eastAsia="Arial" w:hAnsi="Arial"/>
                <w:b/>
                <w:bCs/>
                <w:i w:val="false"/>
                <w:iCs w:val="false"/>
                <w:color w:val="FFFFFF"/>
                <w:sz w:val="19"/>
                <w:szCs w:val="19"/>
              </w:rPr>
              <w:t xml:space="preserve">Step 3 — Flagging Rules  (Critical — the AI's decision rules)</w:t>
            </w:r>
          </w:p>
        </w:tc>
      </w:tr>
      <w:tr>
        <w:tc>
          <w:tcPr>
            <w:tcW w:type="dxa" w:w="1400"/>
            <w:tcBorders>
              <w:top w:val="single" w:color="DC2626" w:sz="1"/>
              <w:left w:val="single" w:color="DC2626" w:sz="1"/>
              <w:bottom w:val="single" w:color="DC2626" w:sz="1"/>
              <w:right w:val="single" w:color="DC2626" w:sz="1"/>
            </w:tcBorders>
            <w:shd w:fill="FEE2E2"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991B1B"/>
                <w:sz w:val="17"/>
                <w:szCs w:val="17"/>
              </w:rPr>
              <w:t xml:space="preserve">🔴  CRITICAL</w:t>
            </w:r>
          </w:p>
        </w:tc>
        <w:tc>
          <w:tcPr>
            <w:tcW w:type="dxa" w:w="5560"/>
            <w:tcBorders>
              <w:top w:val="single" w:color="DC2626" w:sz="1"/>
              <w:left w:val="single" w:color="DC2626" w:sz="1"/>
              <w:bottom w:val="single" w:color="DC2626" w:sz="1"/>
              <w:right w:val="single" w:color="DC2626" w:sz="1"/>
            </w:tcBorders>
            <w:shd w:fill="FEE2E2"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We need a complete list of all company names that should NEVER be auto-quoted by the AI. These are competitor companies, suspicious companies, or anyone where you always stop and check before sending a price.
Please list every company name you can think of here, or note them in your recording session (Recording 6).</w:t>
            </w:r>
          </w:p>
        </w:tc>
        <w:tc>
          <w:tcPr>
            <w:tcW w:type="dxa" w:w="2400"/>
            <w:tcBorders>
              <w:top w:val="single" w:color="DC2626" w:sz="1"/>
              <w:left w:val="single" w:color="DC2626" w:sz="1"/>
              <w:bottom w:val="single" w:color="DC2626" w:sz="1"/>
              <w:right w:val="single" w:color="DC2626" w:sz="1"/>
            </w:tcBorders>
            <w:shd w:fill="F9FAFB" w:val="clear"/>
            <w:tcMar>
              <w:top w:type="dxa" w:w="90"/>
              <w:left w:type="dxa" w:w="140"/>
              <w:bottom w:type="dxa" w:w="90"/>
              <w:right w:type="dxa" w:w="140"/>
            </w:tcMar>
          </w:tcPr>
          <w:p>
            <w:pPr>
              <w:spacing w:after="50" w:before="50"/>
              <w:jc w:val="left"/>
            </w:pPr>
            <w:r>
              <w:rPr>
                <w:b/>
              </w:rPr>
              <w:t>PARTIALLY ANSWERED — 2026-05-25 (Recording 2)</w:t>
            </w:r>
          </w:p>
          <w:p>
            <w:r/>
          </w:p>
          <w:p>
            <w:r>
              <w:t>Robert confirmed the list EXISTS and will write it up (referenced as 'Recording 6' in this Q&amp;A doc). A bootstrapped list of 25 competitor names and 16 domains has been added to config/flag_triggers.py from web research pending Robert's formal list.</w:t>
            </w:r>
          </w:p>
          <w:p>
            <w:r/>
          </w:p>
          <w:p>
            <w:r>
              <w:t>PENDING: Robert to provide complete list (tracked as I-041). Current bootstrapped list includes: GT Surveys, Apex Surveying, Accurate Land Surveyors, Suarez Surveying, Stoner &amp; Associates, SurvTech Solutions, and others. Robert must validate before go-live.</w:t>
            </w:r>
          </w:p>
        </w:tc>
      </w:tr>
      <w:tr>
        <w:tc>
          <w:tcPr>
            <w:tcW w:type="dxa" w:w="1400"/>
            <w:tcBorders>
              <w:top w:val="single" w:color="DC2626" w:sz="1"/>
              <w:left w:val="single" w:color="DC2626" w:sz="1"/>
              <w:bottom w:val="single" w:color="DC2626" w:sz="1"/>
              <w:right w:val="single" w:color="DC2626" w:sz="1"/>
            </w:tcBorders>
            <w:shd w:fill="FEE2E2"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991B1B"/>
                <w:sz w:val="17"/>
                <w:szCs w:val="17"/>
              </w:rPr>
              <w:t xml:space="preserve">🔴  CRITICAL</w:t>
            </w:r>
          </w:p>
        </w:tc>
        <w:tc>
          <w:tcPr>
            <w:tcW w:type="dxa" w:w="5560"/>
            <w:tcBorders>
              <w:top w:val="single" w:color="DC2626" w:sz="1"/>
              <w:left w:val="single" w:color="DC2626" w:sz="1"/>
              <w:bottom w:val="single" w:color="DC2626" w:sz="1"/>
              <w:right w:val="single" w:color="DC2626" w:sz="1"/>
            </w:tcBorders>
            <w:shd w:fill="FEE2E2"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We need a confirmed list of every survey type NGE performs — and every survey type NGE does NOT perform.
Anything not on the 'we do this' list will be automatically flagged for human review. Please list both — what you do and what you don't do.</w:t>
            </w:r>
          </w:p>
        </w:tc>
        <w:tc>
          <w:tcPr>
            <w:tcW w:type="dxa" w:w="2400"/>
            <w:tcBorders>
              <w:top w:val="single" w:color="DC2626" w:sz="1"/>
              <w:left w:val="single" w:color="DC2626" w:sz="1"/>
              <w:bottom w:val="single" w:color="DC2626" w:sz="1"/>
              <w:right w:val="single" w:color="DC2626" w:sz="1"/>
            </w:tcBorders>
            <w:shd w:fill="F9FAFB" w:val="clear"/>
            <w:tcMar>
              <w:top w:type="dxa" w:w="90"/>
              <w:left w:type="dxa" w:w="140"/>
              <w:bottom w:type="dxa" w:w="90"/>
              <w:right w:type="dxa" w:w="140"/>
            </w:tcMar>
          </w:tcPr>
          <w:p>
            <w:pPr>
              <w:spacing w:after="50" w:before="50"/>
              <w:jc w:val="left"/>
            </w:pPr>
            <w:r>
              <w:rPr>
                <w:b/>
              </w:rPr>
              <w:t>ANSWERED — 2026-05-25 (Recording 1)</w:t>
            </w:r>
          </w:p>
          <w:p>
            <w:r/>
          </w:p>
          <w:p>
            <w:r>
              <w:t>NGE DOES perform:</w:t>
            </w:r>
          </w:p>
          <w:p>
            <w:r>
              <w:t>Boundary Survey, Topographic Survey, Topographic Boundary Survey, Form Board Survey, Spot Survey, Foundation Tie-In Survey, As-Built Survey, Specific Purpose Survey / Special Purpose Survey, Elevation Certificate, Plot Plan, Acreage, Elevation Only, Final Survey, Legal Description, Sketch and Description, Survey Re-draw, Surveyor's Affidavit, Tree Location, Update Survey.</w:t>
            </w:r>
          </w:p>
          <w:p>
            <w:r/>
          </w:p>
          <w:p>
            <w:r>
              <w:t>NGE does NOT perform:</w:t>
            </w:r>
          </w:p>
          <w:p>
            <w:r>
              <w:t>Engineering services / drainage design (NGE is surveying only — no engineers).</w:t>
            </w:r>
          </w:p>
          <w:p>
            <w:r>
              <w:t>Site Plans (should be architects or engineers).</w:t>
            </w:r>
          </w:p>
          <w:p>
            <w:r>
              <w:t>Wetland Delineation (needs specialist engineer; too complex).</w:t>
            </w:r>
          </w:p>
          <w:p>
            <w:r>
              <w:t>Building Stakeout — NGE is 'dabbling' in it again; status ambiguous — flag all Building Stakeout orders for human review until confirmed back in service (I-042).</w:t>
            </w:r>
          </w:p>
        </w:tc>
      </w:tr>
      <w:tr>
        <w:tc>
          <w:tcPr>
            <w:tcW w:type="dxa" w:w="1400"/>
            <w:tcBorders>
              <w:top w:val="single" w:color="CA8A04" w:sz="1"/>
              <w:left w:val="single" w:color="CA8A04" w:sz="1"/>
              <w:bottom w:val="single" w:color="CA8A04" w:sz="1"/>
              <w:right w:val="single" w:color="CA8A04" w:sz="1"/>
            </w:tcBorders>
            <w:shd w:fill="FEFCE8"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92400E"/>
                <w:sz w:val="17"/>
                <w:szCs w:val="17"/>
              </w:rPr>
              <w:t xml:space="preserve">🟡  HIGH</w:t>
            </w:r>
          </w:p>
        </w:tc>
        <w:tc>
          <w:tcPr>
            <w:tcW w:type="dxa" w:w="5560"/>
            <w:tcBorders>
              <w:top w:val="single" w:color="CA8A04" w:sz="1"/>
              <w:left w:val="single" w:color="CA8A04" w:sz="1"/>
              <w:bottom w:val="single" w:color="CA8A04" w:sz="1"/>
              <w:right w:val="single" w:color="CA8A04" w:sz="1"/>
            </w:tcBorders>
            <w:shd w:fill="FEFCE8"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Beyond competitors, construction, and permitting — are there any other situations or order types where you always review manually before sending an estimate? Please list all of them so the AI knows to flag those too.</w:t>
            </w:r>
          </w:p>
        </w:tc>
        <w:tc>
          <w:tcPr>
            <w:tcW w:type="dxa" w:w="2400"/>
            <w:tcBorders>
              <w:top w:val="single" w:color="CA8A04" w:sz="1"/>
              <w:left w:val="single" w:color="CA8A04" w:sz="1"/>
              <w:bottom w:val="single" w:color="CA8A04" w:sz="1"/>
              <w:right w:val="single" w:color="CA8A04" w:sz="1"/>
            </w:tcBorders>
            <w:shd w:fill="F9FAFB" w:val="clear"/>
            <w:tcMar>
              <w:top w:type="dxa" w:w="90"/>
              <w:left w:type="dxa" w:w="140"/>
              <w:bottom w:type="dxa" w:w="90"/>
              <w:right w:type="dxa" w:w="140"/>
            </w:tcMar>
          </w:tcPr>
          <w:p>
            <w:pPr>
              <w:spacing w:after="50" w:before="50"/>
              <w:jc w:val="left"/>
            </w:pPr>
            <w:r>
              <w:rPr>
                <w:b/>
              </w:rPr>
              <w:t>ANSWERED — 2026-05-25 (Recording 1)</w:t>
            </w:r>
          </w:p>
          <w:p>
            <w:r/>
          </w:p>
          <w:p>
            <w:r>
              <w:t>Always require human review before sending:</w:t>
            </w:r>
          </w:p>
          <w:p>
            <w:r>
              <w:t>• ALTA Table A Survey — management-level review required</w:t>
            </w:r>
          </w:p>
          <w:p>
            <w:r>
              <w:t>• B-II Title Review — human review required</w:t>
            </w:r>
          </w:p>
          <w:p>
            <w:r>
              <w:t>• Wetland Delineation — never auto-quote; flag immediately</w:t>
            </w:r>
          </w:p>
          <w:p>
            <w:r>
              <w:t>• Lot Split — management-level review required</w:t>
            </w:r>
          </w:p>
          <w:p>
            <w:r>
              <w:t>• Building Stakeout — flag for human review until confirmed back in service (I-042)</w:t>
            </w:r>
          </w:p>
          <w:p>
            <w:r>
              <w:t>• Monroe County (Florida Keys) orders — non-standard pricing, limited crew; flag for extra review and charge more</w:t>
            </w:r>
          </w:p>
          <w:p>
            <w:r>
              <w:t>• Out-of-state properties — flag immediately; NGE is FL-only</w:t>
            </w:r>
          </w:p>
          <w:p>
            <w:r>
              <w:t>• Engineering / drainage design requests — reject; NGE does not do engineering</w:t>
            </w:r>
          </w:p>
          <w:p>
            <w:r>
              <w:t>• Competitor company name or email domain in order — flag for review</w:t>
            </w:r>
          </w:p>
          <w:p>
            <w:r>
              <w:t>• service_type = 'Quote' (unclassified by FTF staff) — hold for manual review</w:t>
            </w:r>
          </w:p>
        </w:tc>
      </w:tr>
      <w:tr>
        <w:tc>
          <w:tcPr>
            <w:tcW w:type="dxa" w:w="9360"/>
            <w:gridSpan w:val="3"/>
            <w:tcBorders>
              <w:top w:val="single" w:color="CA8A04" w:sz="1"/>
              <w:left w:val="single" w:color="CA8A04" w:sz="1"/>
              <w:bottom w:val="single" w:color="CA8A04" w:sz="1"/>
              <w:right w:val="single" w:color="CA8A04" w:sz="1"/>
            </w:tcBorders>
            <w:shd w:fill="CA8A04" w:val="clear"/>
            <w:tcMar>
              <w:top w:type="dxa" w:w="80"/>
              <w:left w:type="dxa" w:w="140"/>
              <w:bottom w:type="dxa" w:w="80"/>
              <w:right w:type="dxa" w:w="140"/>
            </w:tcMar>
          </w:tcPr>
          <w:p>
            <w:pPr>
              <w:spacing w:after="50" w:before="50"/>
              <w:jc w:val="left"/>
            </w:pPr>
            <w:r>
              <w:rPr>
                <w:rFonts w:ascii="Arial" w:cs="Arial" w:eastAsia="Arial" w:hAnsi="Arial"/>
                <w:b/>
                <w:bCs/>
                <w:i w:val="false"/>
                <w:iCs w:val="false"/>
                <w:color w:val="FFFFFF"/>
                <w:sz w:val="19"/>
                <w:szCs w:val="19"/>
              </w:rPr>
              <w:t xml:space="preserve">Step 4 — Specific Services  (Need your input before go-live)</w:t>
            </w:r>
          </w:p>
        </w:tc>
      </w:tr>
      <w:tr>
        <w:tc>
          <w:tcPr>
            <w:tcW w:type="dxa" w:w="1400"/>
            <w:tcBorders>
              <w:top w:val="single" w:color="CA8A04" w:sz="1"/>
              <w:left w:val="single" w:color="CA8A04" w:sz="1"/>
              <w:bottom w:val="single" w:color="CA8A04" w:sz="1"/>
              <w:right w:val="single" w:color="CA8A04" w:sz="1"/>
            </w:tcBorders>
            <w:shd w:fill="FEFCE8"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92400E"/>
                <w:sz w:val="17"/>
                <w:szCs w:val="17"/>
              </w:rPr>
              <w:t xml:space="preserve">🟡  HIGH</w:t>
            </w:r>
          </w:p>
        </w:tc>
        <w:tc>
          <w:tcPr>
            <w:tcW w:type="dxa" w:w="5560"/>
            <w:tcBorders>
              <w:top w:val="single" w:color="CA8A04" w:sz="1"/>
              <w:left w:val="single" w:color="CA8A04" w:sz="1"/>
              <w:bottom w:val="single" w:color="CA8A04" w:sz="1"/>
              <w:right w:val="single" w:color="CA8A04" w:sz="1"/>
            </w:tcBorders>
            <w:shd w:fill="FEFCE8"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The FTF pricing system includes these services:
• ALTA Table A Survey ($1,500)
• B-II Title Review ($450)
• Wetland Delineation ($300)
• Lot Split ($450)
Should any of these always go to human review before the AI sends a quote? Or are any of these services NGE does not perform?</w:t>
            </w:r>
          </w:p>
        </w:tc>
        <w:tc>
          <w:tcPr>
            <w:tcW w:type="dxa" w:w="2400"/>
            <w:tcBorders>
              <w:top w:val="single" w:color="CA8A04" w:sz="1"/>
              <w:left w:val="single" w:color="CA8A04" w:sz="1"/>
              <w:bottom w:val="single" w:color="CA8A04" w:sz="1"/>
              <w:right w:val="single" w:color="CA8A04" w:sz="1"/>
            </w:tcBorders>
            <w:shd w:fill="F9FAFB" w:val="clear"/>
            <w:tcMar>
              <w:top w:type="dxa" w:w="90"/>
              <w:left w:type="dxa" w:w="140"/>
              <w:bottom w:type="dxa" w:w="90"/>
              <w:right w:type="dxa" w:w="140"/>
            </w:tcMar>
          </w:tcPr>
          <w:p>
            <w:pPr>
              <w:spacing w:after="50" w:before="50"/>
              <w:jc w:val="left"/>
            </w:pPr>
            <w:r>
              <w:rPr>
                <w:b/>
              </w:rPr>
              <w:t>ANSWERED — 2026-05-25 (Recording 1)</w:t>
            </w:r>
          </w:p>
          <w:p>
            <w:r/>
          </w:p>
          <w:p>
            <w:r>
              <w:t>All four listed services require management-level human review before the AI sends a quote — no exceptions:</w:t>
            </w:r>
          </w:p>
          <w:p>
            <w:r>
              <w:t>• ALTA Table A Survey ($1,500) — always human review</w:t>
            </w:r>
          </w:p>
          <w:p>
            <w:r>
              <w:t>• B-II Title Review ($450) — always human review</w:t>
            </w:r>
          </w:p>
          <w:p>
            <w:r>
              <w:t>• Wetland Delineation ($300) — never auto-quote</w:t>
            </w:r>
          </w:p>
          <w:p>
            <w:r>
              <w:t>• Lot Split ($450) — always human review</w:t>
            </w:r>
          </w:p>
        </w:tc>
      </w:tr>
      <w:tr>
        <w:tc>
          <w:tcPr>
            <w:tcW w:type="dxa" w:w="1400"/>
            <w:tcBorders>
              <w:top w:val="single" w:color="2563EB" w:sz="1"/>
              <w:left w:val="single" w:color="2563EB" w:sz="1"/>
              <w:bottom w:val="single" w:color="2563EB" w:sz="1"/>
              <w:right w:val="single" w:color="2563EB" w:sz="1"/>
            </w:tcBorders>
            <w:shd w:fill="EFF6FF"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1D4ED8"/>
                <w:sz w:val="17"/>
                <w:szCs w:val="17"/>
              </w:rPr>
              <w:t xml:space="preserve">⚪  STANDARD</w:t>
            </w:r>
          </w:p>
        </w:tc>
        <w:tc>
          <w:tcPr>
            <w:tcW w:type="dxa" w:w="5560"/>
            <w:tcBorders>
              <w:top w:val="single" w:color="2563EB" w:sz="1"/>
              <w:left w:val="single" w:color="2563EB" w:sz="1"/>
              <w:bottom w:val="single" w:color="2563EB" w:sz="1"/>
              <w:right w:val="single" w:color="2563EB" w:sz="1"/>
            </w:tcBorders>
            <w:shd w:fill="EFF6FF"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Does NGE perform Wetland Delineation surveys?
If yes — does it need a specialist to review before quoting?
If no — we will add it to the never-auto-quote list.</w:t>
            </w:r>
          </w:p>
        </w:tc>
        <w:tc>
          <w:tcPr>
            <w:tcW w:type="dxa" w:w="2400"/>
            <w:tcBorders>
              <w:top w:val="single" w:color="2563EB" w:sz="1"/>
              <w:left w:val="single" w:color="2563EB" w:sz="1"/>
              <w:bottom w:val="single" w:color="2563EB" w:sz="1"/>
              <w:right w:val="single" w:color="2563EB" w:sz="1"/>
            </w:tcBorders>
            <w:shd w:fill="F9FAFB" w:val="clear"/>
            <w:tcMar>
              <w:top w:type="dxa" w:w="90"/>
              <w:left w:type="dxa" w:w="140"/>
              <w:bottom w:type="dxa" w:w="90"/>
              <w:right w:type="dxa" w:w="140"/>
            </w:tcMar>
          </w:tcPr>
          <w:p>
            <w:pPr>
              <w:spacing w:after="50" w:before="50"/>
              <w:jc w:val="left"/>
            </w:pPr>
            <w:r>
              <w:rPr>
                <w:b/>
              </w:rPr>
              <w:t>ANSWERED — 2026-05-25 (Recording 1)</w:t>
            </w:r>
          </w:p>
          <w:p>
            <w:r/>
          </w:p>
          <w:p>
            <w:r>
              <w:t>NGE does NOT perform Wetland Delineation. It requires a specialist engineer and is too complex for NGE's current capabilities. Added to the never-auto-quote list in config/flag_triggers.py. Any Wetland Delineation order must be flagged for human review immediately — do not price or send.</w:t>
            </w:r>
          </w:p>
        </w:tc>
      </w:tr>
      <w:tr>
        <w:tc>
          <w:tcPr>
            <w:tcW w:type="dxa" w:w="1400"/>
            <w:tcBorders>
              <w:top w:val="single" w:color="2563EB" w:sz="1"/>
              <w:left w:val="single" w:color="2563EB" w:sz="1"/>
              <w:bottom w:val="single" w:color="2563EB" w:sz="1"/>
              <w:right w:val="single" w:color="2563EB" w:sz="1"/>
            </w:tcBorders>
            <w:shd w:fill="EFF6FF"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1D4ED8"/>
                <w:sz w:val="17"/>
                <w:szCs w:val="17"/>
              </w:rPr>
              <w:t xml:space="preserve">⚪  STANDARD</w:t>
            </w:r>
          </w:p>
        </w:tc>
        <w:tc>
          <w:tcPr>
            <w:tcW w:type="dxa" w:w="5560"/>
            <w:tcBorders>
              <w:top w:val="single" w:color="2563EB" w:sz="1"/>
              <w:left w:val="single" w:color="2563EB" w:sz="1"/>
              <w:bottom w:val="single" w:color="2563EB" w:sz="1"/>
              <w:right w:val="single" w:color="2563EB" w:sz="1"/>
            </w:tcBorders>
            <w:shd w:fill="EFF6FF"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Are there any geographic limitations on the orders NGE can accept?
For example — are there counties or states where NGE does not operate? If so, the AI should flag orders from those areas immediately instead of quoting them.</w:t>
            </w:r>
          </w:p>
        </w:tc>
        <w:tc>
          <w:tcPr>
            <w:tcW w:type="dxa" w:w="2400"/>
            <w:tcBorders>
              <w:top w:val="single" w:color="2563EB" w:sz="1"/>
              <w:left w:val="single" w:color="2563EB" w:sz="1"/>
              <w:bottom w:val="single" w:color="2563EB" w:sz="1"/>
              <w:right w:val="single" w:color="2563EB" w:sz="1"/>
            </w:tcBorders>
            <w:shd w:fill="F9FAFB" w:val="clear"/>
            <w:tcMar>
              <w:top w:type="dxa" w:w="90"/>
              <w:left w:type="dxa" w:w="140"/>
              <w:bottom w:type="dxa" w:w="90"/>
              <w:right w:type="dxa" w:w="140"/>
            </w:tcMar>
          </w:tcPr>
          <w:p>
            <w:pPr>
              <w:spacing w:after="50" w:before="50"/>
              <w:jc w:val="left"/>
            </w:pPr>
            <w:r>
              <w:rPr>
                <w:b/>
              </w:rPr>
              <w:t>ANSWERED — 2026-05-25 (Recording 1)</w:t>
            </w:r>
          </w:p>
          <w:p>
            <w:r/>
          </w:p>
          <w:p>
            <w:r>
              <w:t>NGE operates in Florida only (Phase 1). All 67 FL counties can be quoted.</w:t>
            </w:r>
          </w:p>
          <w:p>
            <w:r/>
          </w:p>
          <w:p>
            <w:r>
              <w:t>Special handling:</w:t>
            </w:r>
          </w:p>
          <w:p>
            <w:r>
              <w:t>• Monroe County (Florida Keys): flag for extra review, charge more, limited crew availability — non-standard pricing applies.</w:t>
            </w:r>
          </w:p>
          <w:p>
            <w:r>
              <w:t>• Panhandle / northwest FL (Apalachicola, Tallahassee area): NGE struggles with crew coverage but still quotes — do not auto-reject.</w:t>
            </w:r>
          </w:p>
          <w:p>
            <w:r>
              <w:t>• Vero Beach: having issues but manageable — do not auto-reject.</w:t>
            </w:r>
          </w:p>
          <w:p>
            <w:r>
              <w:t>• Strong coverage: Jacksonville, St. Augustine, Orlando, South / Southeast / Southwest FL.</w:t>
            </w:r>
          </w:p>
          <w:p>
            <w:r/>
          </w:p>
          <w:p>
            <w:r>
              <w:t>Out-of-state: flag immediately and do not quote — NGE is FL-only for Phase 1.</w:t>
            </w:r>
          </w:p>
        </w:tc>
      </w:tr>
      <w:tr>
        <w:tc>
          <w:tcPr>
            <w:tcW w:type="dxa" w:w="9360"/>
            <w:gridSpan w:val="3"/>
            <w:tcBorders>
              <w:top w:val="single" w:color="DC2626" w:sz="1"/>
              <w:left w:val="single" w:color="DC2626" w:sz="1"/>
              <w:bottom w:val="single" w:color="DC2626" w:sz="1"/>
              <w:right w:val="single" w:color="DC2626" w:sz="1"/>
            </w:tcBorders>
            <w:shd w:fill="DC2626" w:val="clear"/>
            <w:tcMar>
              <w:top w:type="dxa" w:w="80"/>
              <w:left w:type="dxa" w:w="140"/>
              <w:bottom w:type="dxa" w:w="80"/>
              <w:right w:type="dxa" w:w="140"/>
            </w:tcMar>
          </w:tcPr>
          <w:p>
            <w:pPr>
              <w:spacing w:after="50" w:before="50"/>
              <w:jc w:val="left"/>
            </w:pPr>
            <w:r>
              <w:rPr>
                <w:rFonts w:ascii="Arial" w:cs="Arial" w:eastAsia="Arial" w:hAnsi="Arial"/>
                <w:b/>
                <w:bCs/>
                <w:i w:val="false"/>
                <w:iCs w:val="false"/>
                <w:color w:val="FFFFFF"/>
                <w:sz w:val="19"/>
                <w:szCs w:val="19"/>
              </w:rPr>
              <w:t xml:space="preserve">Step 5 — Change Order Clause  (New requirement — BRD Amendment 001)</w:t>
            </w:r>
          </w:p>
        </w:tc>
      </w:tr>
      <w:tr>
        <w:tc>
          <w:tcPr>
            <w:tcW w:type="dxa" w:w="1400"/>
            <w:tcBorders>
              <w:top w:val="single" w:color="CA8A04" w:sz="1"/>
              <w:left w:val="single" w:color="CA8A04" w:sz="1"/>
              <w:bottom w:val="single" w:color="CA8A04" w:sz="1"/>
              <w:right w:val="single" w:color="CA8A04" w:sz="1"/>
            </w:tcBorders>
            <w:shd w:fill="FEFCE8"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92400E"/>
                <w:sz w:val="17"/>
                <w:szCs w:val="17"/>
              </w:rPr>
              <w:t xml:space="preserve">🟡  HIGH</w:t>
            </w:r>
          </w:p>
        </w:tc>
        <w:tc>
          <w:tcPr>
            <w:tcW w:type="dxa" w:w="5560"/>
            <w:tcBorders>
              <w:top w:val="single" w:color="CA8A04" w:sz="1"/>
              <w:left w:val="single" w:color="CA8A04" w:sz="1"/>
              <w:bottom w:val="single" w:color="CA8A04" w:sz="1"/>
              <w:right w:val="single" w:color="CA8A04" w:sz="1"/>
            </w:tcBorders>
            <w:shd w:fill="FEFCE8"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Every estimate the AI generates will now include a change order clause at the bottom. This clause pre-authorises the company to issue a change order if the scope or complexity of a job changes after the estimate is approved.
Does the current estimate format already include any change order language — or is this completely new?
If there is existing text in use, please share it so we do not duplicate or contradict it.</w:t>
            </w:r>
          </w:p>
        </w:tc>
        <w:tc>
          <w:tcPr>
            <w:tcW w:type="dxa" w:w="2400"/>
            <w:tcBorders>
              <w:top w:val="single" w:color="CA8A04" w:sz="1"/>
              <w:left w:val="single" w:color="CA8A04" w:sz="1"/>
              <w:bottom w:val="single" w:color="CA8A04" w:sz="1"/>
              <w:right w:val="single" w:color="CA8A04" w:sz="1"/>
            </w:tcBorders>
            <w:shd w:fill="F9FAFB" w:val="clear"/>
            <w:tcMar>
              <w:top w:type="dxa" w:w="90"/>
              <w:left w:type="dxa" w:w="140"/>
              <w:bottom w:type="dxa" w:w="90"/>
              <w:right w:type="dxa" w:w="140"/>
            </w:tcMar>
          </w:tcPr>
          <w:p>
            <w:pPr>
              <w:spacing w:after="50" w:before="50"/>
              <w:jc w:val="left"/>
            </w:pPr>
            <w:r>
              <w:rPr>
                <w:b/>
              </w:rPr>
              <w:t>ANSWERED — 2026-05-25 (Recording 1)</w:t>
            </w:r>
          </w:p>
          <w:p>
            <w:r/>
          </w:p>
          <w:p>
            <w:r>
              <w:t>Currently NO change order language exists in any NGE estimates. This is completely new (BRD Amendment 001).</w:t>
            </w:r>
          </w:p>
          <w:p>
            <w:r/>
          </w:p>
          <w:p>
            <w:r>
              <w:t>Robert's process when scope changes mid-project:</w:t>
            </w:r>
          </w:p>
          <w:p>
            <w:r>
              <w:t>1. Call or contact the client first</w:t>
            </w:r>
          </w:p>
          <w:p>
            <w:r>
              <w:t>2. Explain the scope change</w:t>
            </w:r>
          </w:p>
          <w:p>
            <w:r>
              <w:t>3. Get verbal or email confirmation</w:t>
            </w:r>
          </w:p>
          <w:p>
            <w:r>
              <w:t>4. THEN add the change order to the invoice</w:t>
            </w:r>
          </w:p>
          <w:p>
            <w:r/>
          </w:p>
          <w:p>
            <w:r>
              <w:t>Change order additions must NEVER be auto-added without explicit client confirmation. Ryan is drafting the clause text (I-043). A placeholder clause is live in config/knowledge_base/change_order_clause.txt — Ryan must review before production go-live.</w:t>
            </w:r>
          </w:p>
        </w:tc>
      </w:tr>
      <w:tr>
        <w:tc>
          <w:tcPr>
            <w:tcW w:type="dxa" w:w="1400"/>
            <w:tcBorders>
              <w:top w:val="single" w:color="CA8A04" w:sz="1"/>
              <w:left w:val="single" w:color="CA8A04" w:sz="1"/>
              <w:bottom w:val="single" w:color="CA8A04" w:sz="1"/>
              <w:right w:val="single" w:color="CA8A04" w:sz="1"/>
            </w:tcBorders>
            <w:shd w:fill="FEFCE8"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92400E"/>
                <w:sz w:val="17"/>
                <w:szCs w:val="17"/>
              </w:rPr>
              <w:t xml:space="preserve">🟡  HIGH</w:t>
            </w:r>
          </w:p>
        </w:tc>
        <w:tc>
          <w:tcPr>
            <w:tcW w:type="dxa" w:w="5560"/>
            <w:tcBorders>
              <w:top w:val="single" w:color="CA8A04" w:sz="1"/>
              <w:left w:val="single" w:color="CA8A04" w:sz="1"/>
              <w:bottom w:val="single" w:color="CA8A04" w:sz="1"/>
              <w:right w:val="single" w:color="CA8A04" w:sz="1"/>
            </w:tcBorders>
            <w:shd w:fill="FEFCE8"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When a customer approves a survey estimate today — how do they typically do it?
Options:
• Email reply (e.g. 'Please proceed' or 'Approved')
• Phone call only
• They sign something
• Other
This matters because the customer's approval of the estimate is also their acceptance of the change order terms. The more formal the approval, the stronger the legal protection.</w:t>
            </w:r>
          </w:p>
        </w:tc>
        <w:tc>
          <w:tcPr>
            <w:tcW w:type="dxa" w:w="2400"/>
            <w:tcBorders>
              <w:top w:val="single" w:color="CA8A04" w:sz="1"/>
              <w:left w:val="single" w:color="CA8A04" w:sz="1"/>
              <w:bottom w:val="single" w:color="CA8A04" w:sz="1"/>
              <w:right w:val="single" w:color="CA8A04" w:sz="1"/>
            </w:tcBorders>
            <w:shd w:fill="F9FAFB" w:val="clear"/>
            <w:tcMar>
              <w:top w:type="dxa" w:w="90"/>
              <w:left w:type="dxa" w:w="140"/>
              <w:bottom w:type="dxa" w:w="90"/>
              <w:right w:type="dxa" w:w="140"/>
            </w:tcMar>
          </w:tcPr>
          <w:p>
            <w:pPr>
              <w:spacing w:after="50" w:before="50"/>
              <w:jc w:val="left"/>
            </w:pPr>
            <w:r>
              <w:rPr>
                <w:b/>
              </w:rPr>
              <w:t>ANSWERED — 2026-05-25 (Recording 1)</w:t>
            </w:r>
          </w:p>
          <w:p>
            <w:r/>
          </w:p>
          <w:p>
            <w:r>
              <w:t>Customer approval methods, most to least common:</w:t>
            </w:r>
          </w:p>
          <w:p>
            <w:r>
              <w:t>1. Client pays the invoice via payment link → order auto-advances to 'pending' (most common — client paying IS the approval)</w:t>
            </w:r>
          </w:p>
          <w:p>
            <w:r>
              <w:t>2. Client emails confirmation: 'please proceed', 'we accept', etc.</w:t>
            </w:r>
          </w:p>
          <w:p>
            <w:r>
              <w:t>3. Client accepts via the FTF portal</w:t>
            </w:r>
          </w:p>
          <w:p>
            <w:r>
              <w:t>4. Phone call — Robert always asks for an email follow-up to document the approval</w:t>
            </w:r>
          </w:p>
        </w:tc>
      </w:tr>
      <w:tr>
        <w:tc>
          <w:tcPr>
            <w:tcW w:type="dxa" w:w="1400"/>
            <w:tcBorders>
              <w:top w:val="single" w:color="2563EB" w:sz="1"/>
              <w:left w:val="single" w:color="2563EB" w:sz="1"/>
              <w:bottom w:val="single" w:color="2563EB" w:sz="1"/>
              <w:right w:val="single" w:color="2563EB" w:sz="1"/>
            </w:tcBorders>
            <w:shd w:fill="EFF6FF" w:val="clear"/>
            <w:tcMar>
              <w:top w:type="dxa" w:w="90"/>
              <w:left w:type="dxa" w:w="120"/>
              <w:bottom w:type="dxa" w:w="90"/>
              <w:right w:type="dxa" w:w="120"/>
            </w:tcMar>
          </w:tcPr>
          <w:p>
            <w:pPr>
              <w:spacing w:after="50" w:before="50"/>
              <w:jc w:val="left"/>
            </w:pPr>
            <w:r>
              <w:rPr>
                <w:rFonts w:ascii="Arial" w:cs="Arial" w:eastAsia="Arial" w:hAnsi="Arial"/>
                <w:b/>
                <w:bCs/>
                <w:i w:val="false"/>
                <w:iCs w:val="false"/>
                <w:color w:val="1D4ED8"/>
                <w:sz w:val="17"/>
                <w:szCs w:val="17"/>
              </w:rPr>
              <w:t xml:space="preserve">⚪  STANDARD</w:t>
            </w:r>
          </w:p>
        </w:tc>
        <w:tc>
          <w:tcPr>
            <w:tcW w:type="dxa" w:w="5560"/>
            <w:tcBorders>
              <w:top w:val="single" w:color="2563EB" w:sz="1"/>
              <w:left w:val="single" w:color="2563EB" w:sz="1"/>
              <w:bottom w:val="single" w:color="2563EB" w:sz="1"/>
              <w:right w:val="single" w:color="2563EB" w:sz="1"/>
            </w:tcBorders>
            <w:shd w:fill="EFF6FF" w:val="clear"/>
            <w:tcMar>
              <w:top w:type="dxa" w:w="90"/>
              <w:left w:type="dxa" w:w="140"/>
              <w:bottom w:type="dxa" w:w="90"/>
              <w:right w:type="dxa" w:w="140"/>
            </w:tcMar>
          </w:tcPr>
          <w:p>
            <w:pPr>
              <w:spacing w:after="50" w:before="50"/>
              <w:jc w:val="left"/>
            </w:pPr>
            <w:r>
              <w:rPr>
                <w:rFonts w:ascii="Arial" w:cs="Arial" w:eastAsia="Arial" w:hAnsi="Arial"/>
                <w:b w:val="false"/>
                <w:bCs w:val="false"/>
                <w:i w:val="false"/>
                <w:iCs w:val="false"/>
                <w:color w:val="374151"/>
                <w:sz w:val="19"/>
                <w:szCs w:val="19"/>
              </w:rPr>
              <w:t xml:space="preserve">Have customers ever disputed additional charges mid-project — for example, when a job turned out to be more complex than the original estimate?
If yes, what were the circumstances? Understanding past friction points will help Ryan write the change order clause so it specifically covers the most common situations.</w:t>
            </w:r>
          </w:p>
        </w:tc>
        <w:tc>
          <w:tcPr>
            <w:tcW w:type="dxa" w:w="2400"/>
            <w:tcBorders>
              <w:top w:val="single" w:color="2563EB" w:sz="1"/>
              <w:left w:val="single" w:color="2563EB" w:sz="1"/>
              <w:bottom w:val="single" w:color="2563EB" w:sz="1"/>
              <w:right w:val="single" w:color="2563EB" w:sz="1"/>
            </w:tcBorders>
            <w:shd w:fill="F9FAFB" w:val="clear"/>
            <w:tcMar>
              <w:top w:type="dxa" w:w="90"/>
              <w:left w:type="dxa" w:w="140"/>
              <w:bottom w:type="dxa" w:w="90"/>
              <w:right w:type="dxa" w:w="140"/>
            </w:tcMar>
          </w:tcPr>
          <w:p>
            <w:pPr>
              <w:spacing w:after="50" w:before="50"/>
              <w:jc w:val="left"/>
            </w:pPr>
            <w:r>
              <w:rPr>
                <w:b/>
              </w:rPr>
              <w:t>PENDING — not yet provided</w:t>
            </w:r>
          </w:p>
          <w:p>
            <w:r/>
          </w:p>
          <w:p>
            <w:r>
              <w:t>Robert did not address past dispute history in either recording. This is a STANDARD priority item — Ryan needs this context to write the change order clause that covers the most common friction points. Please ask Robert to provide 2-3 examples if any disputes have occurred.</w:t>
            </w:r>
          </w:p>
        </w:tc>
      </w:tr>
    </w:tbl>
    <w:p>
      <w:pPr>
        <w:spacing w:after="2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E1B4B" w:sz="1"/>
              <w:left w:val="single" w:color="1E1B4B" w:sz="1"/>
              <w:bottom w:val="single" w:color="1E1B4B" w:sz="1"/>
              <w:right w:val="single" w:color="1E1B4B" w:sz="1"/>
            </w:tcBorders>
            <w:shd w:fill="1E1B4B" w:val="clear"/>
            <w:tcMar>
              <w:top w:type="dxa" w:w="100"/>
              <w:left w:type="dxa" w:w="140"/>
              <w:bottom w:type="dxa" w:w="100"/>
              <w:right w:type="dxa" w:w="140"/>
            </w:tcMar>
          </w:tcPr>
          <w:p>
            <w:pPr>
              <w:spacing w:after="50" w:before="50"/>
              <w:jc w:val="left"/>
            </w:pPr>
            <w:r>
              <w:rPr>
                <w:rFonts w:ascii="Arial" w:cs="Arial" w:eastAsia="Arial" w:hAnsi="Arial"/>
                <w:b/>
                <w:bCs/>
                <w:i w:val="false"/>
                <w:iCs w:val="false"/>
                <w:color w:val="FFFFFF"/>
                <w:sz w:val="19"/>
                <w:szCs w:val="19"/>
              </w:rPr>
              <w:t xml:space="preserve">General Notes</w:t>
            </w:r>
          </w:p>
        </w:tc>
        <w:tc>
          <w:tcPr>
            <w:tcW w:type="dxa" w:w="7360"/>
            <w:tcBorders>
              <w:top w:val="single" w:color="D1D5DB" w:sz="1"/>
              <w:left w:val="single" w:color="D1D5DB" w:sz="1"/>
              <w:bottom w:val="single" w:color="D1D5DB" w:sz="1"/>
              <w:right w:val="single" w:color="D1D5DB" w:sz="1"/>
            </w:tcBorders>
            <w:shd w:fill="F9FAFB" w:val="clear"/>
            <w:tcMar>
              <w:top w:type="dxa" w:w="100"/>
              <w:left w:type="dxa" w:w="140"/>
              <w:bottom w:type="dxa" w:w="400"/>
              <w:right w:type="dxa" w:w="140"/>
            </w:tcMar>
          </w:tcPr>
          <w:p>
            <w:pPr>
              <w:spacing w:after="50" w:before="50"/>
              <w:jc w:val="left"/>
            </w:pPr>
            <w:r>
              <w:t>Additional context confirmed by Robert (Recording 2, 2026-05-25):</w:t>
            </w:r>
          </w:p>
          <w:p>
            <w:r/>
          </w:p>
          <w:p>
            <w:r>
              <w:t>SUMMIT'S ROLE: Robert is NOT normally the one creating orders in FTF. Summit posts suggested prices in Microsoft Teams ('Blue Invoicing' and 'Yellow Invoicing' channels). Robert, Alan, and Mark review Summit's price, check the GIS map, check client history, then confirm or adjust — THEN the quote is sent. This is a deliberate review step, not a rubber-stamp.</w:t>
            </w:r>
          </w:p>
          <w:p>
            <w:r/>
          </w:p>
          <w:p>
            <w:r>
              <w:t>PRICING FACTORS (how Robert decides a price):</w:t>
            </w:r>
          </w:p>
          <w:p>
            <w:r>
              <w:t>1. Client sales history (what price they've accepted before)</w:t>
            </w:r>
          </w:p>
          <w:p>
            <w:r>
              <w:t>2. Property features (pool, seawall, canal, right-of-ways — checked on GIS map)</w:t>
            </w:r>
          </w:p>
          <w:p>
            <w:r>
              <w:t>3. Area / county / local market</w:t>
            </w:r>
          </w:p>
          <w:p>
            <w:r>
              <w:t>4. Platted vs. unplatted (affects survey complexity)</w:t>
            </w:r>
          </w:p>
          <w:p>
            <w:r>
              <w:t>5. Scope of work</w:t>
            </w:r>
          </w:p>
          <w:p>
            <w:r>
              <w:t>6. Competitive positioning vs. other FL surveyors for this client</w:t>
            </w:r>
          </w:p>
          <w:p>
            <w:r/>
          </w:p>
          <w:p>
            <w:r>
              <w:t>QUOTE EXPIRY: FTF auto-cancels any quote older than 60 days. AI pipeline must prioritise sending within this window.</w:t>
            </w:r>
          </w:p>
          <w:p>
            <w:r/>
          </w:p>
          <w:p>
            <w:r>
              <w:t>'SMITH ZONE' FLAG: Track Flow shows a yellow-highlighted territory called the 'Smith Zone'. Details and pricing rules unknown — to be confirmed by Robert (I-048).</w:t>
            </w:r>
          </w:p>
          <w:p>
            <w:r/>
          </w:p>
          <w:p>
            <w:r>
              <w:t>WORKFLOW CHANNELS: Quote requests come via (1) Outlook email, (2) Microsoft Teams 'Blue Invoicing' channel, (3) nexgensurveying.com web form. Robert uses county property appraiser GIS (bcpa.net for Broward, pbcgov.com for Palm Beach) to visually confirm parcel, lot size, and flood zone before pricing.</w:t>
            </w:r>
          </w:p>
        </w:tc>
      </w:tr>
    </w:tbl>
    <w:p>
      <w:pPr>
        <w:spacing w:after="40" w:before="60"/>
      </w:pPr>
      <w:r>
        <w:t xml:space="preserve"/>
      </w:r>
    </w:p>
    <w:p>
      <w:pPr>
        <w:spacing w:after="50" w:before="50"/>
        <w:jc w:val="center"/>
      </w:pPr>
      <w:r>
        <w:rPr>
          <w:rFonts w:ascii="Arial" w:cs="Arial" w:eastAsia="Arial" w:hAnsi="Arial"/>
          <w:b w:val="false"/>
          <w:bCs w:val="false"/>
          <w:i/>
          <w:iCs/>
          <w:color w:val="6B7280"/>
          <w:sz w:val="17"/>
          <w:szCs w:val="17"/>
        </w:rPr>
        <w:t xml:space="preserve">FTF Agentic AI OS  |  Prepared by Prateek  |  May 2026</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F46E5" w:sz="6" w:space="1"/>
      </w:pBdr>
    </w:pPr>
    <w:r>
      <w:rPr>
        <w:rFonts w:ascii="Arial" w:cs="Arial" w:eastAsia="Arial" w:hAnsi="Arial"/>
        <w:b w:val="false"/>
        <w:bCs w:val="false"/>
        <w:i w:val="false"/>
        <w:iCs w:val="false"/>
        <w:color w:val="6B7280"/>
        <w:sz w:val="16"/>
        <w:szCs w:val="16"/>
      </w:rPr>
      <w:t xml:space="preserve">Please fill in the Your Answer column and return to Prateek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1"/>
      </w:pBdr>
    </w:pPr>
    <w:r>
      <w:rPr>
        <w:rFonts w:ascii="Arial" w:cs="Arial" w:eastAsia="Arial" w:hAnsi="Arial"/>
        <w:b w:val="false"/>
        <w:bCs w:val="false"/>
        <w:i w:val="false"/>
        <w:iCs w:val="false"/>
        <w:color w:val="6B7280"/>
        <w:sz w:val="16"/>
        <w:szCs w:val="16"/>
      </w:rPr>
      <w:t xml:space="preserve">FTF Agentic AI OS  |  Robert &amp; Mark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7415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2026-05-18T16:24:23.636Z</dcterms:created>
  <dcterms:modified xsi:type="dcterms:W3CDTF">2026-05-18T16:24:23.653Z</dcterms:modified>
</cp:coreProperties>
</file>

<file path=docProps/custom.xml><?xml version="1.0" encoding="utf-8"?>
<Properties xmlns="http://schemas.openxmlformats.org/officeDocument/2006/custom-properties" xmlns:vt="http://schemas.openxmlformats.org/officeDocument/2006/docPropsVTypes"/>
</file>