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1127AE5D" w14:textId="0949B1CA" w:rsidR="0075070B"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r>
        <w:rPr>
          <w:rFonts w:eastAsia="Times New Roman"/>
        </w:rPr>
        <w:t xml:space="preserve">download </w:t>
      </w:r>
      <w:r w:rsidR="00924D5E">
        <w:rPr>
          <w:rFonts w:eastAsia="Times New Roman"/>
        </w:rPr>
        <w:t xml:space="preserve">raw </w:t>
      </w:r>
      <w:proofErr w:type="spellStart"/>
      <w:r w:rsidR="00924D5E">
        <w:rPr>
          <w:rFonts w:eastAsia="Times New Roman"/>
        </w:rPr>
        <w:t>fastq</w:t>
      </w:r>
      <w:proofErr w:type="spellEnd"/>
      <w:r w:rsidR="00924D5E">
        <w:rPr>
          <w:rFonts w:eastAsia="Times New Roman"/>
        </w:rPr>
        <w:t xml:space="preserve"> </w:t>
      </w:r>
      <w:r>
        <w:rPr>
          <w:rFonts w:eastAsia="Times New Roman"/>
        </w:rPr>
        <w:t xml:space="preserve">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sidR="005527BE">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"[1]", "plainTextFormattedCitation" : "[1]", "previouslyFormattedCitation" : "[1]" }, "properties" : {  }, "schema" : "https://github.com/citation-style-language/schema/raw/master/csl-citation.json" }</w:instrText>
      </w:r>
      <w:r>
        <w:rPr>
          <w:rFonts w:eastAsia="Times New Roman"/>
        </w:rPr>
        <w:fldChar w:fldCharType="separate"/>
      </w:r>
      <w:r w:rsidR="00CD4ED8" w:rsidRPr="00CD4ED8">
        <w:rPr>
          <w:rFonts w:eastAsia="Times New Roman"/>
          <w:noProof/>
        </w:rPr>
        <w:t>[1]</w:t>
      </w:r>
      <w:r>
        <w:rPr>
          <w:rFonts w:eastAsia="Times New Roman"/>
        </w:rPr>
        <w:fldChar w:fldCharType="end"/>
      </w:r>
      <w:r w:rsidR="00022D0F">
        <w:rPr>
          <w:rFonts w:eastAsia="Times New Roman"/>
        </w:rPr>
        <w:t xml:space="preserve">, </w:t>
      </w:r>
      <w:r>
        <w:rPr>
          <w:rFonts w:eastAsia="Times New Roman"/>
        </w:rPr>
        <w:t xml:space="preserve">quality assessment with </w:t>
      </w:r>
      <w:proofErr w:type="spellStart"/>
      <w:r w:rsidRPr="00663CB9">
        <w:rPr>
          <w:rFonts w:eastAsia="Times New Roman"/>
        </w:rPr>
        <w:t>FastQC</w:t>
      </w:r>
      <w:proofErr w:type="spellEnd"/>
      <w:r>
        <w:rPr>
          <w:rFonts w:eastAsia="Times New Roman"/>
        </w:rPr>
        <w:t xml:space="preserve"> </w:t>
      </w:r>
      <w:r w:rsidR="003868D7">
        <w:rPr>
          <w:rFonts w:eastAsia="Times New Roman"/>
        </w:rPr>
        <w:t>[40]</w:t>
      </w:r>
      <w:r>
        <w:rPr>
          <w:rFonts w:eastAsia="Times New Roman"/>
        </w:rPr>
        <w:t xml:space="preserve"> and trimming residual </w:t>
      </w:r>
      <w:r w:rsidR="00924D5E">
        <w:rPr>
          <w:rFonts w:eastAsia="Times New Roman"/>
        </w:rPr>
        <w:t xml:space="preserve">Illumina </w:t>
      </w:r>
      <w:r>
        <w:rPr>
          <w:rFonts w:eastAsia="Times New Roman"/>
        </w:rPr>
        <w:t xml:space="preserve">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sidR="00CD4ED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 "manualFormatting" : "[42]", "plainTextFormattedCitation" : "[2]", "previouslyFormattedCitation" : "[2]" }, "properties" : {  }, "schema" : "https://github.com/citation-style-language/schema/raw/master/csl-citation.json" }</w:instrText>
      </w:r>
      <w:r>
        <w:rPr>
          <w:rFonts w:eastAsia="Times New Roman"/>
        </w:rPr>
        <w:fldChar w:fldCharType="separate"/>
      </w:r>
      <w:r w:rsidR="003868D7">
        <w:rPr>
          <w:rFonts w:eastAsia="Times New Roman"/>
          <w:noProof/>
        </w:rPr>
        <w:t>[42</w:t>
      </w:r>
      <w:r w:rsidR="005073F8" w:rsidRPr="005073F8">
        <w:rPr>
          <w:rFonts w:eastAsia="Times New Roman"/>
          <w:noProof/>
        </w:rPr>
        <w:t>]</w:t>
      </w:r>
      <w:r>
        <w:rPr>
          <w:rFonts w:eastAsia="Times New Roman"/>
        </w:rPr>
        <w:fldChar w:fldCharType="end"/>
      </w:r>
      <w:r w:rsidR="00022D0F">
        <w:rPr>
          <w:rFonts w:eastAsia="Times New Roman"/>
        </w:rPr>
        <w:t>,</w:t>
      </w:r>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sidR="005527BE">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"[3]", "plainTextFormattedCitation" : "[3]", "previouslyFormattedCitation" : "[3]" }, "properties" : {  }, "schema" : "https://github.com/citation-style-language/schema/raw/master/csl-citation.json" }</w:instrText>
      </w:r>
      <w:r>
        <w:rPr>
          <w:rFonts w:eastAsia="Times New Roman"/>
        </w:rPr>
        <w:fldChar w:fldCharType="separate"/>
      </w:r>
      <w:r w:rsidR="005527BE" w:rsidRPr="005527BE">
        <w:rPr>
          <w:rFonts w:eastAsia="Times New Roman"/>
          <w:noProof/>
        </w:rPr>
        <w:t>[3]</w:t>
      </w:r>
      <w:r>
        <w:rPr>
          <w:rFonts w:eastAsia="Times New Roman"/>
        </w:rPr>
        <w:fldChar w:fldCharType="end"/>
      </w:r>
      <w:r>
        <w:rPr>
          <w:rFonts w:eastAsia="Times New Roman"/>
        </w:rPr>
        <w:t xml:space="preserve">, </w:t>
      </w:r>
      <w:r w:rsidR="00022D0F">
        <w:rPr>
          <w:rFonts w:eastAsia="Times New Roman"/>
        </w:rPr>
        <w:t>and</w:t>
      </w:r>
      <w:r>
        <w:rPr>
          <w:rFonts w:eastAsia="Times New Roman"/>
        </w:rPr>
        <w:t xml:space="preserve"> assembly with </w:t>
      </w:r>
      <w:r w:rsidRPr="00663CB9">
        <w:rPr>
          <w:rFonts w:eastAsia="Times New Roman"/>
        </w:rPr>
        <w:t>Trinity</w:t>
      </w:r>
      <w:r w:rsidR="003868D7">
        <w:rPr>
          <w:rFonts w:eastAsia="Times New Roman"/>
        </w:rPr>
        <w:t xml:space="preserve"> [18]</w:t>
      </w:r>
      <w:r>
        <w:rPr>
          <w:rFonts w:eastAsia="Times New Roman"/>
        </w:rPr>
        <w:t xml:space="preserve">. Each script in the pipeline uses </w:t>
      </w:r>
      <w:r w:rsidR="000050A4">
        <w:rPr>
          <w:rFonts w:eastAsia="Times New Roman"/>
        </w:rPr>
        <w:t>a</w:t>
      </w:r>
      <w:r>
        <w:rPr>
          <w:rFonts w:eastAsia="Times New Roman"/>
        </w:rPr>
        <w:t xml:space="preserve"> metadata file obtained from the SRA as input.</w:t>
      </w:r>
      <w:r w:rsidR="00DD74F5">
        <w:rPr>
          <w:rFonts w:eastAsia="Times New Roman"/>
        </w:rPr>
        <w:t xml:space="preserve"> If a process  is terminated, the automated nature of this pipeline allows </w:t>
      </w:r>
      <w:r>
        <w:rPr>
          <w:rFonts w:eastAsia="Times New Roman"/>
          <w:b/>
        </w:rPr>
        <w:br w:type="page"/>
      </w:r>
    </w:p>
    <w:p w14:paraId="255F07F2" w14:textId="64879A53" w:rsidR="0075070B" w:rsidRDefault="000D2E1F" w:rsidP="00D65F94">
      <w:pPr>
        <w:pStyle w:val="Normal1"/>
        <w:rPr>
          <w:rFonts w:eastAsia="Times New Roman"/>
        </w:rPr>
      </w:pPr>
      <w:r>
        <w:rPr>
          <w:rFonts w:eastAsia="Times New Roman"/>
          <w:noProof/>
          <w:lang w:val="en-US"/>
        </w:rPr>
        <w:lastRenderedPageBreak/>
        <w:drawing>
          <wp:inline distT="0" distB="0" distL="0" distR="0" wp14:anchorId="02DA6221" wp14:editId="5D527991">
            <wp:extent cx="3782853" cy="3577488"/>
            <wp:effectExtent l="0" t="0" r="1905" b="4445"/>
            <wp:docPr id="8" name="Picture 8" desc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conti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660" cy="3624591"/>
                    </a:xfrm>
                    <a:prstGeom prst="rect">
                      <a:avLst/>
                    </a:prstGeom>
                    <a:noFill/>
                    <a:ln>
                      <a:noFill/>
                    </a:ln>
                  </pic:spPr>
                </pic:pic>
              </a:graphicData>
            </a:graphic>
          </wp:inline>
        </w:drawing>
      </w:r>
    </w:p>
    <w:p w14:paraId="203FC409" w14:textId="260220D5" w:rsidR="000D2E1F" w:rsidRDefault="000D2E1F" w:rsidP="00D65F94">
      <w:pPr>
        <w:pStyle w:val="Normal1"/>
        <w:rPr>
          <w:rFonts w:eastAsia="Times New Roman"/>
        </w:rPr>
      </w:pPr>
      <w:r>
        <w:rPr>
          <w:rFonts w:eastAsia="Times New Roman"/>
          <w:noProof/>
          <w:lang w:val="en-US"/>
        </w:rPr>
        <w:drawing>
          <wp:inline distT="0" distB="0" distL="0" distR="0" wp14:anchorId="2868DEB2" wp14:editId="24AD60F2">
            <wp:extent cx="3360180" cy="3579853"/>
            <wp:effectExtent l="0" t="0" r="0" b="1905"/>
            <wp:docPr id="9" name="Picture 9" desc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r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355" cy="3605608"/>
                    </a:xfrm>
                    <a:prstGeom prst="rect">
                      <a:avLst/>
                    </a:prstGeom>
                    <a:noFill/>
                    <a:ln>
                      <a:noFill/>
                    </a:ln>
                  </pic:spPr>
                </pic:pic>
              </a:graphicData>
            </a:graphic>
          </wp:inline>
        </w:drawing>
      </w:r>
    </w:p>
    <w:p w14:paraId="5F781AF3" w14:textId="2E459A14"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w:t>
      </w:r>
      <w:r w:rsidR="003923AB">
        <w:rPr>
          <w:rFonts w:eastAsia="Times New Roman"/>
        </w:rPr>
        <w:t>A</w:t>
      </w:r>
      <w:r w:rsidR="004333AE">
        <w:rPr>
          <w:rFonts w:eastAsia="Times New Roman"/>
        </w:rPr>
        <w:t>,B</w:t>
      </w:r>
      <w:r>
        <w:rPr>
          <w:rFonts w:eastAsia="Times New Roman"/>
        </w:rPr>
        <w:t xml:space="preserve">) and </w:t>
      </w:r>
      <w:proofErr w:type="spellStart"/>
      <w:r>
        <w:rPr>
          <w:rFonts w:eastAsia="Times New Roman"/>
        </w:rPr>
        <w:t>Transrate</w:t>
      </w:r>
      <w:proofErr w:type="spellEnd"/>
      <w:r>
        <w:rPr>
          <w:rFonts w:eastAsia="Times New Roman"/>
        </w:rPr>
        <w:t xml:space="preserve"> quality scores (</w:t>
      </w:r>
      <w:r w:rsidR="004333AE">
        <w:rPr>
          <w:rFonts w:eastAsia="Times New Roman"/>
        </w:rPr>
        <w:t>C,D</w:t>
      </w:r>
      <w:r>
        <w:rPr>
          <w:rFonts w:eastAsia="Times New Roman"/>
        </w:rPr>
        <w:t xml:space="preserve">) of each pipeline. In the green (right side of </w:t>
      </w:r>
      <w:r w:rsidR="004333AE">
        <w:rPr>
          <w:rFonts w:eastAsia="Times New Roman"/>
        </w:rPr>
        <w:t>B and D</w:t>
      </w:r>
      <w:r>
        <w:rPr>
          <w:rFonts w:eastAsia="Times New Roman"/>
        </w:rPr>
        <w:t xml:space="preserve">) are the DIB re-assemblies and in gray (left side of </w:t>
      </w:r>
      <w:r w:rsidR="004333AE">
        <w:rPr>
          <w:rFonts w:eastAsia="Times New Roman"/>
        </w:rPr>
        <w:t>B and D</w:t>
      </w:r>
      <w:r>
        <w:rPr>
          <w:rFonts w:eastAsia="Times New Roman"/>
        </w:rPr>
        <w:t>) are the original assemblies from NCGR.</w:t>
      </w:r>
      <w:r w:rsidR="009153A8">
        <w:rPr>
          <w:rFonts w:eastAsia="Times New Roman"/>
        </w:rPr>
        <w:t xml:space="preserve"> </w:t>
      </w:r>
      <w:r w:rsidR="004333AE">
        <w:rPr>
          <w:rFonts w:eastAsia="Times New Roman"/>
        </w:rPr>
        <w:t>L</w:t>
      </w:r>
      <w:r w:rsidR="00673A16">
        <w:rPr>
          <w:rFonts w:eastAsia="Times New Roman"/>
        </w:rPr>
        <w:t xml:space="preserve">ine plots </w:t>
      </w:r>
      <w:r w:rsidR="004333AE">
        <w:rPr>
          <w:rFonts w:eastAsia="Times New Roman"/>
        </w:rPr>
        <w:t xml:space="preserve">(A,C) </w:t>
      </w:r>
      <w:r w:rsidR="00673A16">
        <w:rPr>
          <w:rFonts w:eastAsia="Times New Roman"/>
        </w:rPr>
        <w:t xml:space="preserve">compare </w:t>
      </w:r>
      <w:r w:rsidR="00AE1C6F">
        <w:rPr>
          <w:rFonts w:eastAsia="Times New Roman"/>
        </w:rPr>
        <w:t xml:space="preserve">values between the DIB and the </w:t>
      </w:r>
      <w:r w:rsidR="00673A16">
        <w:rPr>
          <w:rFonts w:eastAsia="Times New Roman"/>
        </w:rPr>
        <w:t>NCGR assemblies. Gray lines represent values where NCGR was higher than DIB and green lines represent values where DIB was higher than NCGR.</w:t>
      </w:r>
    </w:p>
    <w:p w14:paraId="54425AE9" w14:textId="2A6CD824" w:rsidR="00D65F94" w:rsidRDefault="00D65F94" w:rsidP="00D65F94">
      <w:pPr>
        <w:rPr>
          <w:rFonts w:eastAsia="Times New Roman"/>
          <w:b/>
        </w:rPr>
      </w:pPr>
    </w:p>
    <w:p w14:paraId="10A68FD0" w14:textId="70E14308" w:rsidR="00D65F94" w:rsidRDefault="000D2E1F" w:rsidP="00D65F94">
      <w:pPr>
        <w:pStyle w:val="Normal1"/>
        <w:rPr>
          <w:rFonts w:eastAsia="Times New Roman"/>
        </w:rPr>
      </w:pPr>
      <w:r>
        <w:rPr>
          <w:rFonts w:eastAsia="Times New Roman"/>
          <w:noProof/>
          <w:lang w:val="en-US"/>
        </w:rPr>
        <w:drawing>
          <wp:inline distT="0" distB="0" distL="0" distR="0" wp14:anchorId="0AFAB296" wp14:editId="427F7E00">
            <wp:extent cx="3176074" cy="3383710"/>
            <wp:effectExtent l="0" t="0" r="0" b="0"/>
            <wp:docPr id="10" name="Picture 10" desc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B-bl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09" cy="3390672"/>
                    </a:xfrm>
                    <a:prstGeom prst="rect">
                      <a:avLst/>
                    </a:prstGeom>
                    <a:noFill/>
                    <a:ln>
                      <a:noFill/>
                    </a:ln>
                  </pic:spPr>
                </pic:pic>
              </a:graphicData>
            </a:graphic>
          </wp:inline>
        </w:drawing>
      </w:r>
    </w:p>
    <w:p w14:paraId="397CEF47" w14:textId="6ACC3B4B" w:rsidR="00D65F94" w:rsidRDefault="00D65F94" w:rsidP="00D65F94">
      <w:pPr>
        <w:pStyle w:val="Normal1"/>
        <w:rPr>
          <w:rFonts w:eastAsia="Times New Roman"/>
        </w:rPr>
      </w:pPr>
      <w:r>
        <w:rPr>
          <w:rFonts w:eastAsia="Times New Roman"/>
        </w:rPr>
        <w:t xml:space="preserve">Figure 3. </w:t>
      </w:r>
      <w:r w:rsidR="005073F8">
        <w:rPr>
          <w:rFonts w:eastAsia="Times New Roman"/>
        </w:rPr>
        <w:t xml:space="preserve">When the </w:t>
      </w:r>
      <w:r w:rsidR="0096624D">
        <w:rPr>
          <w:rFonts w:eastAsia="Times New Roman"/>
        </w:rPr>
        <w:t xml:space="preserve">DIB re-assemblies </w:t>
      </w:r>
      <w:r w:rsidR="005073F8">
        <w:rPr>
          <w:rFonts w:eastAsia="Times New Roman"/>
        </w:rPr>
        <w:t xml:space="preserve">were assigned as </w:t>
      </w:r>
      <w:r>
        <w:rPr>
          <w:rFonts w:eastAsia="Times New Roman"/>
        </w:rPr>
        <w:t>references</w:t>
      </w:r>
      <w:r w:rsidR="005073F8">
        <w:rPr>
          <w:rFonts w:eastAsia="Times New Roman"/>
        </w:rPr>
        <w:t xml:space="preserve">, there was a higher proportion of </w:t>
      </w:r>
      <w:r w:rsidR="00A1371C">
        <w:rPr>
          <w:rFonts w:eastAsia="Times New Roman"/>
        </w:rPr>
        <w:t xml:space="preserve">conditional reciprocal best BLAST </w:t>
      </w:r>
      <w:r w:rsidR="00A1371C">
        <w:rPr>
          <w:rFonts w:eastAsia="Times New Roman"/>
        </w:rPr>
        <w:t>(</w:t>
      </w:r>
      <w:r w:rsidR="005073F8">
        <w:rPr>
          <w:rFonts w:eastAsia="Times New Roman"/>
        </w:rPr>
        <w:t>CRBB</w:t>
      </w:r>
      <w:r w:rsidR="00A1371C">
        <w:rPr>
          <w:rFonts w:eastAsia="Times New Roman"/>
        </w:rPr>
        <w:t>)</w:t>
      </w:r>
      <w:r w:rsidR="005073F8">
        <w:rPr>
          <w:rFonts w:eastAsia="Times New Roman"/>
        </w:rPr>
        <w:t xml:space="preserve"> hits compared to when </w:t>
      </w:r>
      <w:r w:rsidR="0096624D">
        <w:rPr>
          <w:rFonts w:eastAsia="Times New Roman"/>
        </w:rPr>
        <w:t xml:space="preserve">NCGR assemblies </w:t>
      </w:r>
      <w:r w:rsidR="005073F8">
        <w:rPr>
          <w:rFonts w:eastAsia="Times New Roman"/>
        </w:rPr>
        <w:t xml:space="preserve">were assigned as </w:t>
      </w:r>
      <w:r w:rsidR="00ED7335">
        <w:rPr>
          <w:rFonts w:eastAsia="Times New Roman"/>
        </w:rPr>
        <w:t xml:space="preserve">references. This indicated that the DIB re-assemblies contained more of the </w:t>
      </w:r>
      <w:r w:rsidR="005073F8">
        <w:rPr>
          <w:rFonts w:eastAsia="Times New Roman"/>
        </w:rPr>
        <w:t xml:space="preserve">sequence content in the </w:t>
      </w:r>
      <w:r w:rsidR="00ED7335">
        <w:rPr>
          <w:rFonts w:eastAsia="Times New Roman"/>
        </w:rPr>
        <w:t>NCGR assemblies than the NCGR assemblies contained the DIB re-assemblies</w:t>
      </w:r>
      <w:r>
        <w:rPr>
          <w:rFonts w:eastAsia="Times New Roman"/>
        </w:rPr>
        <w:t xml:space="preserve">. </w:t>
      </w:r>
      <w:r w:rsidR="003542FC">
        <w:rPr>
          <w:rFonts w:eastAsia="Times New Roman"/>
        </w:rPr>
        <w:t xml:space="preserve">A. </w:t>
      </w:r>
      <w:r w:rsidR="00ED7335">
        <w:rPr>
          <w:rFonts w:eastAsia="Times New Roman"/>
        </w:rPr>
        <w:t xml:space="preserve">Line plot comparing </w:t>
      </w:r>
      <w:r w:rsidR="005073F8">
        <w:rPr>
          <w:rFonts w:eastAsia="Times New Roman"/>
        </w:rPr>
        <w:t xml:space="preserve">proportion of </w:t>
      </w:r>
      <w:r w:rsidR="00ED7335">
        <w:rPr>
          <w:rFonts w:eastAsia="Times New Roman"/>
        </w:rPr>
        <w:t>CRBB hits between NCGR and DIB between the same samples</w:t>
      </w:r>
      <w:r w:rsidR="005073F8">
        <w:rPr>
          <w:rFonts w:eastAsia="Times New Roman"/>
        </w:rPr>
        <w:t xml:space="preserve">. </w:t>
      </w:r>
      <w:r w:rsidR="003542FC">
        <w:rPr>
          <w:rFonts w:eastAsia="Times New Roman"/>
        </w:rPr>
        <w:t>B. Violin plots showing the distribution of the proportion of NCGR transcripts with reciprocal BLAST hits to DIB (grey) and the proportion of DIB transcripts with reciprocal BLAST hits to NCGR (green)</w:t>
      </w:r>
      <w:r w:rsidR="005073F8">
        <w:rPr>
          <w:rFonts w:eastAsia="Times New Roman"/>
        </w:rPr>
        <w:t>.</w:t>
      </w:r>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58E97872" w:rsidR="00D65F94" w:rsidRDefault="00D65F94" w:rsidP="00D65F94">
      <w:pPr>
        <w:pStyle w:val="Normal1"/>
        <w:rPr>
          <w:rFonts w:eastAsia="Times New Roman"/>
        </w:rPr>
      </w:pPr>
      <w:r>
        <w:rPr>
          <w:rFonts w:eastAsia="Times New Roman"/>
        </w:rPr>
        <w:t xml:space="preserve">Figure 4. Unique </w:t>
      </w:r>
      <w:r w:rsidR="005073F8">
        <w:rPr>
          <w:rFonts w:eastAsia="Times New Roman"/>
        </w:rPr>
        <w:t xml:space="preserve">numbers of </w:t>
      </w:r>
      <w:r>
        <w:rPr>
          <w:rFonts w:eastAsia="Times New Roman"/>
          <w:i/>
        </w:rPr>
        <w:t>k</w:t>
      </w:r>
      <w:r w:rsidR="005073F8">
        <w:rPr>
          <w:rFonts w:eastAsia="Times New Roman"/>
        </w:rPr>
        <w:t>-</w:t>
      </w:r>
      <w:proofErr w:type="spellStart"/>
      <w:r w:rsidR="005073F8">
        <w:rPr>
          <w:rFonts w:eastAsia="Times New Roman"/>
        </w:rPr>
        <w:t>mers</w:t>
      </w:r>
      <w:proofErr w:type="spellEnd"/>
      <w:r>
        <w:rPr>
          <w:rFonts w:eastAsia="Times New Roman"/>
        </w:rPr>
        <w:t xml:space="preserve"> (</w:t>
      </w:r>
      <w:r>
        <w:rPr>
          <w:rFonts w:eastAsia="Times New Roman"/>
          <w:i/>
        </w:rPr>
        <w:t>k</w:t>
      </w:r>
      <w:r w:rsidR="005073F8">
        <w:rPr>
          <w:rFonts w:eastAsia="Times New Roman"/>
        </w:rPr>
        <w:t xml:space="preserve">=25), </w:t>
      </w:r>
      <w:r w:rsidR="005073F8">
        <w:rPr>
          <w:rFonts w:eastAsia="Times New Roman"/>
        </w:rPr>
        <w:t xml:space="preserve">calculated with the </w:t>
      </w:r>
      <w:proofErr w:type="spellStart"/>
      <w:r w:rsidR="005073F8">
        <w:rPr>
          <w:rFonts w:eastAsia="Times New Roman"/>
        </w:rPr>
        <w:t>HyperLogLog</w:t>
      </w:r>
      <w:proofErr w:type="spellEnd"/>
      <w:r w:rsidR="005073F8">
        <w:rPr>
          <w:rFonts w:eastAsia="Times New Roman"/>
        </w:rPr>
        <w:t xml:space="preserve"> function in the </w:t>
      </w:r>
      <w:proofErr w:type="spellStart"/>
      <w:r w:rsidR="005073F8">
        <w:rPr>
          <w:rFonts w:eastAsia="Times New Roman"/>
        </w:rPr>
        <w:t>khmer</w:t>
      </w:r>
      <w:proofErr w:type="spellEnd"/>
      <w:r w:rsidR="005073F8">
        <w:rPr>
          <w:rFonts w:eastAsia="Times New Roman"/>
        </w:rPr>
        <w:t xml:space="preserve"> software package</w:t>
      </w:r>
      <w:r w:rsidR="003868D7">
        <w:rPr>
          <w:rFonts w:eastAsia="Times New Roman"/>
        </w:rPr>
        <w:t xml:space="preserve"> [43,51]</w:t>
      </w:r>
      <w:r w:rsidR="005073F8">
        <w:rPr>
          <w:rFonts w:eastAsia="Times New Roman"/>
        </w:rPr>
        <w:t xml:space="preserve">, </w:t>
      </w:r>
      <w:r w:rsidR="003868D7">
        <w:rPr>
          <w:rFonts w:eastAsia="Times New Roman"/>
        </w:rPr>
        <w:t xml:space="preserve">in each of the 678 </w:t>
      </w:r>
      <w:r>
        <w:rPr>
          <w:rFonts w:eastAsia="Times New Roman"/>
        </w:rPr>
        <w:t xml:space="preserve">DIB </w:t>
      </w:r>
      <w:r w:rsidR="003868D7">
        <w:rPr>
          <w:rFonts w:eastAsia="Times New Roman"/>
        </w:rPr>
        <w:t>re-</w:t>
      </w:r>
      <w:r w:rsidR="00BB5D7D">
        <w:rPr>
          <w:rFonts w:eastAsia="Times New Roman"/>
        </w:rPr>
        <w:t>assembl</w:t>
      </w:r>
      <w:r w:rsidR="005073F8">
        <w:rPr>
          <w:rFonts w:eastAsia="Times New Roman"/>
        </w:rPr>
        <w:t>ies</w:t>
      </w:r>
      <w:r>
        <w:rPr>
          <w:rFonts w:eastAsia="Times New Roman"/>
        </w:rPr>
        <w:t xml:space="preserve"> compared </w:t>
      </w:r>
      <w:r w:rsidR="003868D7">
        <w:rPr>
          <w:rFonts w:eastAsia="Times New Roman"/>
        </w:rPr>
        <w:t>to the NCGR assemblies</w:t>
      </w:r>
      <w:r>
        <w:rPr>
          <w:rFonts w:eastAsia="Times New Roman"/>
        </w:rPr>
        <w:t xml:space="preserve"> </w:t>
      </w:r>
      <w:r w:rsidR="005073F8">
        <w:rPr>
          <w:rFonts w:eastAsia="Times New Roman"/>
        </w:rPr>
        <w:t>along a 1:1 unit line</w:t>
      </w:r>
      <w:r>
        <w:rPr>
          <w:rFonts w:eastAsia="Times New Roman"/>
        </w:rPr>
        <w:t xml:space="preserve">. </w:t>
      </w:r>
      <w:r w:rsidR="00BB5D7D">
        <w:rPr>
          <w:rFonts w:eastAsia="Times New Roman"/>
        </w:rPr>
        <w:t xml:space="preserve">Samples are colored based on their phylum level affiliation. </w:t>
      </w:r>
      <w:r>
        <w:rPr>
          <w:rFonts w:eastAsia="Times New Roman"/>
        </w:rPr>
        <w:t xml:space="preserve">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3E583EDA" w:rsidR="00D65F94" w:rsidRDefault="00682053" w:rsidP="00D65F94">
      <w:pPr>
        <w:pStyle w:val="Normal1"/>
        <w:rPr>
          <w:rFonts w:eastAsia="Times New Roman"/>
        </w:rPr>
      </w:pPr>
      <w:r>
        <w:rPr>
          <w:rFonts w:eastAsia="Times New Roman"/>
          <w:noProof/>
          <w:lang w:val="en-US"/>
        </w:rPr>
        <w:lastRenderedPageBreak/>
        <w:drawing>
          <wp:inline distT="0" distB="0" distL="0" distR="0" wp14:anchorId="7DE8FA90" wp14:editId="082B9863">
            <wp:extent cx="3237502" cy="3408652"/>
            <wp:effectExtent l="0" t="0" r="0" b="0"/>
            <wp:docPr id="11" name="Picture 11" desc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an_O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351" cy="3450607"/>
                    </a:xfrm>
                    <a:prstGeom prst="rect">
                      <a:avLst/>
                    </a:prstGeom>
                    <a:noFill/>
                    <a:ln>
                      <a:noFill/>
                    </a:ln>
                  </pic:spPr>
                </pic:pic>
              </a:graphicData>
            </a:graphic>
          </wp:inline>
        </w:drawing>
      </w:r>
      <w:r>
        <w:rPr>
          <w:rFonts w:eastAsia="Times New Roman"/>
          <w:noProof/>
          <w:lang w:val="en-US"/>
        </w:rPr>
        <w:drawing>
          <wp:inline distT="0" distB="0" distL="0" distR="0" wp14:anchorId="49B49A8A" wp14:editId="2C986B37">
            <wp:extent cx="3251835" cy="3423741"/>
            <wp:effectExtent l="0" t="0" r="0" b="5715"/>
            <wp:docPr id="12" name="Picture 12" desc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_BUS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681" cy="3467799"/>
                    </a:xfrm>
                    <a:prstGeom prst="rect">
                      <a:avLst/>
                    </a:prstGeom>
                    <a:noFill/>
                    <a:ln>
                      <a:noFill/>
                    </a:ln>
                  </pic:spPr>
                </pic:pic>
              </a:graphicData>
            </a:graphic>
          </wp:inline>
        </w:drawing>
      </w:r>
    </w:p>
    <w:p w14:paraId="0925C60B" w14:textId="341323DA" w:rsidR="00D65F94" w:rsidRDefault="00D65F94" w:rsidP="00682053">
      <w:pPr>
        <w:pStyle w:val="Normal1"/>
        <w:rPr>
          <w:rFonts w:eastAsia="Times New Roman"/>
        </w:rPr>
      </w:pPr>
      <w:r>
        <w:rPr>
          <w:rFonts w:eastAsia="Times New Roman"/>
        </w:rPr>
        <w:t xml:space="preserve">Figure 5. </w:t>
      </w:r>
      <w:r w:rsidR="00682053">
        <w:rPr>
          <w:rFonts w:eastAsia="Times New Roman"/>
        </w:rPr>
        <w:t xml:space="preserve">The </w:t>
      </w:r>
      <w:r>
        <w:rPr>
          <w:rFonts w:eastAsia="Times New Roman"/>
        </w:rPr>
        <w:t xml:space="preserve">percentage of </w:t>
      </w:r>
      <w:proofErr w:type="spellStart"/>
      <w:r>
        <w:rPr>
          <w:rFonts w:eastAsia="Times New Roman"/>
        </w:rPr>
        <w:t>contigs</w:t>
      </w:r>
      <w:proofErr w:type="spellEnd"/>
      <w:r>
        <w:rPr>
          <w:rFonts w:eastAsia="Times New Roman"/>
        </w:rPr>
        <w:t xml:space="preserve"> with predicted open reading frame (ORF) (</w:t>
      </w:r>
      <w:r w:rsidR="00682053">
        <w:rPr>
          <w:rFonts w:eastAsia="Times New Roman"/>
        </w:rPr>
        <w:t>A, B</w:t>
      </w:r>
      <w:r>
        <w:rPr>
          <w:rFonts w:eastAsia="Times New Roman"/>
        </w:rPr>
        <w:t xml:space="preserve">)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w:t>
      </w:r>
      <w:r w:rsidR="00682053">
        <w:rPr>
          <w:rFonts w:eastAsia="Times New Roman"/>
        </w:rPr>
        <w:t>C, D</w:t>
      </w:r>
      <w:r>
        <w:rPr>
          <w:rFonts w:eastAsia="Times New Roman"/>
        </w:rPr>
        <w:t xml:space="preserve">). In the green (right side </w:t>
      </w:r>
      <w:r w:rsidR="00DE47A6">
        <w:rPr>
          <w:rFonts w:eastAsia="Times New Roman"/>
        </w:rPr>
        <w:t>B, D</w:t>
      </w:r>
      <w:r>
        <w:rPr>
          <w:rFonts w:eastAsia="Times New Roman"/>
        </w:rPr>
        <w:t xml:space="preserve">) are the “DIB” re-assemblies and in gray (left side of </w:t>
      </w:r>
      <w:r w:rsidR="00DE47A6">
        <w:rPr>
          <w:rFonts w:eastAsia="Times New Roman"/>
        </w:rPr>
        <w:t>B, D</w:t>
      </w:r>
      <w:r>
        <w:rPr>
          <w:rFonts w:eastAsia="Times New Roman"/>
        </w:rPr>
        <w:t>) are th</w:t>
      </w:r>
      <w:r w:rsidR="00682053">
        <w:rPr>
          <w:rFonts w:eastAsia="Times New Roman"/>
        </w:rPr>
        <w:t>e original assemblies from NCGR.</w:t>
      </w:r>
      <w:r w:rsidR="00DE47A6">
        <w:rPr>
          <w:rFonts w:eastAsia="Times New Roman"/>
        </w:rPr>
        <w:t xml:space="preserve"> </w:t>
      </w:r>
      <w:r w:rsidR="00DE47A6">
        <w:rPr>
          <w:rFonts w:eastAsia="Times New Roman"/>
        </w:rPr>
        <w:t>Line plots (A,C) compare values between the DIB and the NCGR assemblies. Gray lines represent values where NCGR was higher than DIB and green lines represent values where DIB was higher than NCGR.</w:t>
      </w:r>
    </w:p>
    <w:p w14:paraId="092B5018" w14:textId="64A758E9" w:rsidR="00D65F94" w:rsidRDefault="00C57725" w:rsidP="00D65F94">
      <w:pPr>
        <w:pStyle w:val="Normal1"/>
        <w:rPr>
          <w:rFonts w:eastAsia="Times New Roman"/>
        </w:rPr>
      </w:pPr>
      <w:r>
        <w:rPr>
          <w:rFonts w:eastAsia="Times New Roman"/>
          <w:noProof/>
          <w:lang w:val="en-US"/>
        </w:rPr>
        <w:lastRenderedPageBreak/>
        <w:drawing>
          <wp:inline distT="0" distB="0" distL="0" distR="0" wp14:anchorId="2F72D7B9" wp14:editId="06B57597">
            <wp:extent cx="4908550" cy="4908550"/>
            <wp:effectExtent l="0" t="0" r="0" b="0"/>
            <wp:docPr id="14" name="Picture 14" descr="false_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lse_crb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14:paraId="5DAC4FC1" w14:textId="2A55CD3A" w:rsidR="00D65F94" w:rsidRDefault="00D65F94" w:rsidP="00D65F94">
      <w:pPr>
        <w:pStyle w:val="Normal1"/>
        <w:rPr>
          <w:rFonts w:eastAsia="Times New Roman"/>
        </w:rPr>
      </w:pPr>
      <w:r>
        <w:rPr>
          <w:rFonts w:eastAsia="Times New Roman"/>
        </w:rPr>
        <w:t>Figure 6. A histogram across</w:t>
      </w:r>
      <w:r w:rsidR="005527BE">
        <w:rPr>
          <w:rFonts w:eastAsia="Times New Roman"/>
        </w:rPr>
        <w:t xml:space="preserve"> MMETSP samples</w:t>
      </w:r>
      <w:r>
        <w:rPr>
          <w:rFonts w:eastAsia="Times New Roman"/>
        </w:rPr>
        <w:t xml:space="preserve"> depicting the number of </w:t>
      </w:r>
      <w:proofErr w:type="spellStart"/>
      <w:r>
        <w:rPr>
          <w:rFonts w:eastAsia="Times New Roman"/>
        </w:rPr>
        <w:t>contigs</w:t>
      </w:r>
      <w:proofErr w:type="spellEnd"/>
      <w:r>
        <w:rPr>
          <w:rFonts w:eastAsia="Times New Roman"/>
        </w:rPr>
        <w:t xml:space="preserve"> identified </w:t>
      </w:r>
      <w:r w:rsidR="005527BE">
        <w:rPr>
          <w:rFonts w:eastAsia="Times New Roman"/>
        </w:rPr>
        <w:t xml:space="preserve">as novel in DIB assemblies. These </w:t>
      </w:r>
      <w:proofErr w:type="spellStart"/>
      <w:r w:rsidR="005527BE">
        <w:rPr>
          <w:rFonts w:eastAsia="Times New Roman"/>
        </w:rPr>
        <w:t>contigs</w:t>
      </w:r>
      <w:proofErr w:type="spellEnd"/>
      <w:r w:rsidR="005527BE">
        <w:rPr>
          <w:rFonts w:eastAsia="Times New Roman"/>
        </w:rPr>
        <w:t xml:space="preserve"> were</w:t>
      </w:r>
      <w:r>
        <w:rPr>
          <w:rFonts w:eastAsia="Times New Roman"/>
        </w:rPr>
        <w:t xml:space="preserve"> absent in the NCGR </w:t>
      </w:r>
      <w:r w:rsidR="005527BE">
        <w:rPr>
          <w:rFonts w:eastAsia="Times New Roman"/>
        </w:rPr>
        <w:t xml:space="preserve">assemblies, </w:t>
      </w:r>
      <w:r w:rsidR="00CD1627">
        <w:rPr>
          <w:rFonts w:eastAsia="Times New Roman"/>
        </w:rPr>
        <w:t xml:space="preserve">based on negative </w:t>
      </w:r>
      <w:r w:rsidR="00CD4ED8">
        <w:rPr>
          <w:rFonts w:eastAsia="Times New Roman"/>
        </w:rPr>
        <w:t xml:space="preserve">conditional reciprocal best BLAST </w:t>
      </w:r>
      <w:r w:rsidR="00CD4ED8">
        <w:rPr>
          <w:rFonts w:eastAsia="Times New Roman"/>
        </w:rPr>
        <w:t>(</w:t>
      </w:r>
      <w:r>
        <w:rPr>
          <w:rFonts w:eastAsia="Times New Roman"/>
        </w:rPr>
        <w:t>CRBB</w:t>
      </w:r>
      <w:r w:rsidR="00CD4ED8">
        <w:rPr>
          <w:rFonts w:eastAsia="Times New Roman"/>
        </w:rPr>
        <w:t>)</w:t>
      </w:r>
      <w:r>
        <w:rPr>
          <w:rFonts w:eastAsia="Times New Roman"/>
        </w:rPr>
        <w:t xml:space="preserve"> </w:t>
      </w:r>
      <w:r w:rsidR="005527BE">
        <w:rPr>
          <w:rFonts w:eastAsia="Times New Roman"/>
        </w:rPr>
        <w:t>results</w:t>
      </w:r>
      <w:r>
        <w:rPr>
          <w:rFonts w:eastAsia="Times New Roman"/>
        </w:rPr>
        <w:t xml:space="preserve">. Samples are sorted from highest to lowest number of </w:t>
      </w:r>
      <w:r w:rsidR="00171E77">
        <w:rPr>
          <w:rFonts w:eastAsia="Times New Roman"/>
        </w:rPr>
        <w:t>‘new’</w:t>
      </w:r>
      <w:r w:rsidR="00CD1627">
        <w:rPr>
          <w:rFonts w:eastAsia="Times New Roman"/>
        </w:rPr>
        <w:t xml:space="preserve"> </w:t>
      </w:r>
      <w:proofErr w:type="spellStart"/>
      <w:r>
        <w:rPr>
          <w:rFonts w:eastAsia="Times New Roman"/>
        </w:rPr>
        <w:t>contig</w:t>
      </w:r>
      <w:r w:rsidR="005527BE">
        <w:rPr>
          <w:rFonts w:eastAsia="Times New Roman"/>
        </w:rPr>
        <w:t>s</w:t>
      </w:r>
      <w:proofErr w:type="spellEnd"/>
      <w:r w:rsidR="005527BE">
        <w:rPr>
          <w:rFonts w:eastAsia="Times New Roman"/>
        </w:rPr>
        <w:t xml:space="preserve">. </w:t>
      </w:r>
      <w:r>
        <w:rPr>
          <w:rFonts w:eastAsia="Times New Roman"/>
        </w:rPr>
        <w:t>The region in gray indica</w:t>
      </w:r>
      <w:r w:rsidR="00CD4ED8">
        <w:rPr>
          <w:rFonts w:eastAsia="Times New Roman"/>
        </w:rPr>
        <w:t xml:space="preserve">tes the number of </w:t>
      </w:r>
      <w:r w:rsidR="005527BE">
        <w:rPr>
          <w:rFonts w:eastAsia="Times New Roman"/>
        </w:rPr>
        <w:t xml:space="preserve">unannotated </w:t>
      </w:r>
      <w:proofErr w:type="spellStart"/>
      <w:r w:rsidR="00CD4ED8">
        <w:rPr>
          <w:rFonts w:eastAsia="Times New Roman"/>
        </w:rPr>
        <w:t>contigs</w:t>
      </w:r>
      <w:proofErr w:type="spellEnd"/>
      <w:r w:rsidR="00CD4ED8">
        <w:rPr>
          <w:rFonts w:eastAsia="Times New Roman"/>
        </w:rPr>
        <w:t xml:space="preserve"> </w:t>
      </w:r>
      <w:r>
        <w:rPr>
          <w:rFonts w:eastAsia="Times New Roman"/>
        </w:rPr>
        <w:t>present in the DIB re-assemblies</w:t>
      </w:r>
      <w:r w:rsidR="005527BE">
        <w:rPr>
          <w:rFonts w:eastAsia="Times New Roman"/>
        </w:rPr>
        <w:t>,</w:t>
      </w:r>
      <w:r w:rsidR="00CD1627">
        <w:rPr>
          <w:rFonts w:eastAsia="Times New Roman"/>
        </w:rPr>
        <w:t xml:space="preserve"> </w:t>
      </w:r>
      <w:r>
        <w:rPr>
          <w:rFonts w:eastAsia="Times New Roman"/>
        </w:rPr>
        <w:t xml:space="preserve">absent from NCGR. </w:t>
      </w:r>
      <w:r w:rsidR="005527BE">
        <w:rPr>
          <w:rFonts w:eastAsia="Times New Roman"/>
        </w:rPr>
        <w:t xml:space="preserve">Highlighted in green are </w:t>
      </w:r>
      <w:proofErr w:type="spellStart"/>
      <w:r w:rsidR="005527BE">
        <w:rPr>
          <w:rFonts w:eastAsia="Times New Roman"/>
        </w:rPr>
        <w:t>contigs</w:t>
      </w:r>
      <w:proofErr w:type="spellEnd"/>
      <w:r w:rsidR="005527BE">
        <w:rPr>
          <w:rFonts w:eastAsia="Times New Roman"/>
        </w:rPr>
        <w:t xml:space="preserve"> that were annotated with dammit [44] to a gene name in the </w:t>
      </w:r>
      <w:proofErr w:type="spellStart"/>
      <w:r w:rsidR="005527BE">
        <w:rPr>
          <w:rFonts w:eastAsia="Times New Roman"/>
        </w:rPr>
        <w:t>Pfam</w:t>
      </w:r>
      <w:proofErr w:type="spellEnd"/>
      <w:r w:rsidR="005527BE">
        <w:rPr>
          <w:rFonts w:eastAsia="Times New Roman"/>
        </w:rPr>
        <w:t xml:space="preserve">, </w:t>
      </w:r>
      <w:proofErr w:type="spellStart"/>
      <w:r w:rsidR="005527BE">
        <w:rPr>
          <w:rFonts w:eastAsia="Times New Roman"/>
        </w:rPr>
        <w:t>Rfam</w:t>
      </w:r>
      <w:proofErr w:type="spellEnd"/>
      <w:r w:rsidR="005527BE">
        <w:rPr>
          <w:rFonts w:eastAsia="Times New Roman"/>
        </w:rPr>
        <w:t xml:space="preserve">, or </w:t>
      </w:r>
      <w:proofErr w:type="spellStart"/>
      <w:r w:rsidR="005527BE">
        <w:rPr>
          <w:rFonts w:eastAsia="Times New Roman"/>
        </w:rPr>
        <w:t>OrthoDB</w:t>
      </w:r>
      <w:proofErr w:type="spellEnd"/>
      <w:r w:rsidR="005527BE">
        <w:rPr>
          <w:rFonts w:eastAsia="Times New Roman"/>
        </w:rPr>
        <w:t xml:space="preserve"> databases</w:t>
      </w:r>
      <w:r w:rsidR="005527BE">
        <w:rPr>
          <w:rFonts w:eastAsia="Times New Roman"/>
        </w:rPr>
        <w:t>, representing</w:t>
      </w:r>
      <w:r w:rsidR="005527BE">
        <w:rPr>
          <w:rFonts w:eastAsia="Times New Roman"/>
        </w:rPr>
        <w:t xml:space="preserve"> the number of </w:t>
      </w:r>
      <w:proofErr w:type="spellStart"/>
      <w:r w:rsidR="005527BE">
        <w:rPr>
          <w:rFonts w:eastAsia="Times New Roman"/>
        </w:rPr>
        <w:t>contigs</w:t>
      </w:r>
      <w:proofErr w:type="spellEnd"/>
      <w:r w:rsidR="005527BE">
        <w:rPr>
          <w:rFonts w:eastAsia="Times New Roman"/>
        </w:rPr>
        <w:t xml:space="preserve"> unique to the DIB re-assemblies with an annotation.</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0BCD9F3B" w:rsidR="00D65F94" w:rsidRDefault="0051363D" w:rsidP="00D65F94">
      <w:pPr>
        <w:rPr>
          <w:rFonts w:eastAsia="Times New Roman"/>
          <w:b/>
        </w:rPr>
      </w:pPr>
      <w:r>
        <w:rPr>
          <w:rFonts w:eastAsia="Times New Roman"/>
          <w:b/>
          <w:noProof/>
          <w:lang w:val="en-US"/>
        </w:rPr>
        <w:drawing>
          <wp:inline distT="0" distB="0" distL="0" distR="0" wp14:anchorId="7F2A4DDD" wp14:editId="5164318C">
            <wp:extent cx="5947410" cy="5947410"/>
            <wp:effectExtent l="0" t="0" r="0" b="0"/>
            <wp:docPr id="31" name="Picture 31" descr="figures/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s/Figure7_unique_annotation_na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285D0A46" w14:textId="77777777" w:rsidR="00D65F94" w:rsidRDefault="00D65F94" w:rsidP="00D65F94">
      <w:pPr>
        <w:rPr>
          <w:rFonts w:eastAsia="Times New Roman"/>
          <w:b/>
        </w:rPr>
      </w:pPr>
    </w:p>
    <w:p w14:paraId="743CDA52" w14:textId="7537E567" w:rsidR="00D65F94" w:rsidRDefault="00D65F94" w:rsidP="0051363D">
      <w:pPr>
        <w:tabs>
          <w:tab w:val="left" w:pos="2142"/>
        </w:tabs>
        <w:rPr>
          <w:rFonts w:eastAsia="Times New Roman"/>
        </w:rPr>
      </w:pPr>
      <w:bookmarkStart w:id="0" w:name="_GoBack"/>
      <w:bookmarkEnd w:id="0"/>
      <w:r>
        <w:rPr>
          <w:rFonts w:eastAsia="Times New Roman"/>
        </w:rPr>
        <w:t xml:space="preserve">Figure 7. Unique gene names found in either NCGR or DIB assemblies but not found in the other assembly. The line indicates a 1:1 relationship between the number of unique gene names in DIB and NCGR.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0BD4A6E2" w14:textId="00CC42D5" w:rsidR="00D65F94" w:rsidRDefault="00F1394F" w:rsidP="00D65F94">
      <w:pPr>
        <w:pStyle w:val="Normal1"/>
        <w:rPr>
          <w:rFonts w:eastAsia="Times New Roman"/>
        </w:rPr>
      </w:pPr>
      <w:r>
        <w:rPr>
          <w:rFonts w:eastAsia="Times New Roman"/>
          <w:noProof/>
          <w:lang w:val="en-US"/>
        </w:rPr>
        <w:lastRenderedPageBreak/>
        <w:drawing>
          <wp:inline distT="0" distB="0" distL="0" distR="0" wp14:anchorId="7D6F9B73" wp14:editId="1F773FC6">
            <wp:extent cx="5423535" cy="3229622"/>
            <wp:effectExtent l="0" t="0" r="12065" b="0"/>
            <wp:docPr id="27" name="Picture 27" descr="figures/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s/Figure8_n_input_rea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563" cy="3230234"/>
                    </a:xfrm>
                    <a:prstGeom prst="rect">
                      <a:avLst/>
                    </a:prstGeom>
                    <a:noFill/>
                    <a:ln>
                      <a:noFill/>
                    </a:ln>
                  </pic:spPr>
                </pic:pic>
              </a:graphicData>
            </a:graphic>
          </wp:inline>
        </w:drawing>
      </w:r>
    </w:p>
    <w:p w14:paraId="434CE843" w14:textId="104CE806" w:rsidR="00F1394F" w:rsidRDefault="00F1394F" w:rsidP="00D65F94">
      <w:pPr>
        <w:pStyle w:val="Normal1"/>
        <w:rPr>
          <w:rFonts w:eastAsia="Times New Roman"/>
        </w:rPr>
      </w:pPr>
      <w:r>
        <w:rPr>
          <w:rFonts w:eastAsia="Times New Roman"/>
          <w:noProof/>
          <w:lang w:val="en-US"/>
        </w:rPr>
        <w:drawing>
          <wp:inline distT="0" distB="0" distL="0" distR="0" wp14:anchorId="0DC5CF6C" wp14:editId="3DBBDA7F">
            <wp:extent cx="5450502" cy="3245680"/>
            <wp:effectExtent l="0" t="0" r="10795" b="5715"/>
            <wp:docPr id="29" name="Picture 29" descr="figures/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s/Figure8_mean_o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212" cy="3258608"/>
                    </a:xfrm>
                    <a:prstGeom prst="rect">
                      <a:avLst/>
                    </a:prstGeom>
                    <a:noFill/>
                    <a:ln>
                      <a:noFill/>
                    </a:ln>
                  </pic:spPr>
                </pic:pic>
              </a:graphicData>
            </a:graphic>
          </wp:inline>
        </w:drawing>
      </w:r>
    </w:p>
    <w:p w14:paraId="068715E0" w14:textId="24B7F200" w:rsidR="00F1394F" w:rsidRDefault="00F1394F" w:rsidP="00D65F94">
      <w:pPr>
        <w:pStyle w:val="Normal1"/>
        <w:rPr>
          <w:rFonts w:eastAsia="Times New Roman"/>
        </w:rPr>
      </w:pPr>
      <w:r>
        <w:rPr>
          <w:rFonts w:eastAsia="Times New Roman"/>
          <w:noProof/>
          <w:lang w:val="en-US"/>
        </w:rPr>
        <w:lastRenderedPageBreak/>
        <w:drawing>
          <wp:inline distT="0" distB="0" distL="0" distR="0" wp14:anchorId="00B0C112" wp14:editId="28430C60">
            <wp:extent cx="5194935" cy="3093494"/>
            <wp:effectExtent l="0" t="0" r="0" b="5715"/>
            <wp:docPr id="28" name="Picture 28" descr="figures/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s/Figure8_n_conti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9497" cy="3096210"/>
                    </a:xfrm>
                    <a:prstGeom prst="rect">
                      <a:avLst/>
                    </a:prstGeom>
                    <a:noFill/>
                    <a:ln>
                      <a:noFill/>
                    </a:ln>
                  </pic:spPr>
                </pic:pic>
              </a:graphicData>
            </a:graphic>
          </wp:inline>
        </w:drawing>
      </w:r>
      <w:r>
        <w:rPr>
          <w:rFonts w:eastAsia="Times New Roman"/>
          <w:noProof/>
          <w:lang w:val="en-US"/>
        </w:rPr>
        <w:drawing>
          <wp:inline distT="0" distB="0" distL="0" distR="0" wp14:anchorId="3FCBAB1D" wp14:editId="7AA820A3">
            <wp:extent cx="5194935" cy="3093494"/>
            <wp:effectExtent l="0" t="0" r="0" b="5715"/>
            <wp:docPr id="30" name="Picture 30" descr="figures/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Figure8_unique_km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229" cy="3097838"/>
                    </a:xfrm>
                    <a:prstGeom prst="rect">
                      <a:avLst/>
                    </a:prstGeom>
                    <a:noFill/>
                    <a:ln>
                      <a:noFill/>
                    </a:ln>
                  </pic:spPr>
                </pic:pic>
              </a:graphicData>
            </a:graphic>
          </wp:inline>
        </w:drawing>
      </w:r>
    </w:p>
    <w:p w14:paraId="2F3E7F3D" w14:textId="77777777" w:rsidR="00F1394F" w:rsidRDefault="00F1394F" w:rsidP="00D65F94">
      <w:pPr>
        <w:pStyle w:val="Normal1"/>
        <w:rPr>
          <w:rFonts w:eastAsia="Times New Roman"/>
        </w:rPr>
      </w:pPr>
    </w:p>
    <w:p w14:paraId="7812DA67" w14:textId="77777777" w:rsidR="00D65F94" w:rsidRDefault="00D65F94" w:rsidP="00D65F94">
      <w:pPr>
        <w:pStyle w:val="Normal1"/>
        <w:rPr>
          <w:rFonts w:eastAsia="Times New Roman"/>
        </w:rPr>
      </w:pPr>
    </w:p>
    <w:p w14:paraId="0627D1B3" w14:textId="40E6A5CC" w:rsidR="00806D88" w:rsidRPr="00F1394F" w:rsidRDefault="00D65F94" w:rsidP="00F1394F">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sectPr w:rsidR="00806D88" w:rsidRPr="00F1394F" w:rsidSect="00A82A6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25D22" w16cid:durableId="1E52E2DD"/>
  <w16cid:commentId w16cid:paraId="30F1D50B" w16cid:durableId="1E52E321"/>
  <w16cid:commentId w16cid:paraId="6A79E672" w16cid:durableId="1E52E351"/>
  <w16cid:commentId w16cid:paraId="0367CA6E" w16cid:durableId="1E52E342"/>
  <w16cid:commentId w16cid:paraId="193276F1" w16cid:durableId="1E52E374"/>
  <w16cid:commentId w16cid:paraId="59C13FEE" w16cid:durableId="1E52E4EA"/>
  <w16cid:commentId w16cid:paraId="0812DFD9" w16cid:durableId="1E52E56E"/>
  <w16cid:commentId w16cid:paraId="6ADD535C" w16cid:durableId="1E52E60B"/>
  <w16cid:commentId w16cid:paraId="3D2C816B" w16cid:durableId="1E52E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0050A4"/>
    <w:rsid w:val="00022D0F"/>
    <w:rsid w:val="000D2E1F"/>
    <w:rsid w:val="00171E77"/>
    <w:rsid w:val="001D22EC"/>
    <w:rsid w:val="001F24D9"/>
    <w:rsid w:val="00305483"/>
    <w:rsid w:val="003542FC"/>
    <w:rsid w:val="003868D7"/>
    <w:rsid w:val="003923AB"/>
    <w:rsid w:val="003D668F"/>
    <w:rsid w:val="004333AE"/>
    <w:rsid w:val="004C58FF"/>
    <w:rsid w:val="005073F8"/>
    <w:rsid w:val="0051363D"/>
    <w:rsid w:val="005527BE"/>
    <w:rsid w:val="00643690"/>
    <w:rsid w:val="00673A16"/>
    <w:rsid w:val="00682053"/>
    <w:rsid w:val="0075070B"/>
    <w:rsid w:val="00784C6D"/>
    <w:rsid w:val="007D2DBD"/>
    <w:rsid w:val="009153A8"/>
    <w:rsid w:val="00924D5E"/>
    <w:rsid w:val="0096624D"/>
    <w:rsid w:val="00A1371C"/>
    <w:rsid w:val="00A24365"/>
    <w:rsid w:val="00A82A6A"/>
    <w:rsid w:val="00AE1C6F"/>
    <w:rsid w:val="00BB5D7D"/>
    <w:rsid w:val="00C57725"/>
    <w:rsid w:val="00CD1627"/>
    <w:rsid w:val="00CD4ED8"/>
    <w:rsid w:val="00D65F94"/>
    <w:rsid w:val="00D952CE"/>
    <w:rsid w:val="00DD74F5"/>
    <w:rsid w:val="00DE47A6"/>
    <w:rsid w:val="00E11945"/>
    <w:rsid w:val="00E958B0"/>
    <w:rsid w:val="00ED7335"/>
    <w:rsid w:val="00F1394F"/>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2" Type="http://schemas.microsoft.com/office/2016/09/relationships/commentsIds" Target="commentsId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AAC4D0-4A6D-204C-BB3F-33A3D0CB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2573</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7</cp:revision>
  <dcterms:created xsi:type="dcterms:W3CDTF">2018-03-15T03:37:00Z</dcterms:created>
  <dcterms:modified xsi:type="dcterms:W3CDTF">2018-03-19T20:17:00Z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http://www.zotero.org/styles/gigascience</vt:lpwstr>
  </property>
  <property fmtid="{D5CDD505-2E9C-101B-9397-08002B2CF9AE}" pid="13" name="Mendeley Recent Style Name 5_1">
    <vt:lpwstr>GigaScience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5744eb75-6cf8-3fd0-9b07-5e4629cd3797</vt:lpwstr>
  </property>
  <property fmtid="{D5CDD505-2E9C-101B-9397-08002B2CF9AE}" pid="24" name="Mendeley Citation Style_1">
    <vt:lpwstr>http://www.zotero.org/styles/gigascience</vt:lpwstr>
  </property>
</Properties>
</file>