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4C1F" w14:textId="77777777" w:rsidR="00D65F94" w:rsidRDefault="00D65F94" w:rsidP="00D65F94">
      <w:pPr>
        <w:pStyle w:val="Normal1"/>
        <w:rPr>
          <w:rFonts w:eastAsia="Times New Roman"/>
        </w:rPr>
      </w:pPr>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AC0B89">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AC0B89">
        <w:trPr>
          <w:trHeight w:val="350"/>
        </w:trPr>
        <w:tc>
          <w:tcPr>
            <w:tcW w:w="3978" w:type="dxa"/>
            <w:tcBorders>
              <w:top w:val="single" w:sz="4" w:space="0" w:color="auto"/>
              <w:right w:val="single" w:sz="4" w:space="0" w:color="auto"/>
            </w:tcBorders>
          </w:tcPr>
          <w:p w14:paraId="61361F4E"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w:t>
            </w:r>
          </w:p>
        </w:tc>
        <w:tc>
          <w:tcPr>
            <w:tcW w:w="2070" w:type="dxa"/>
            <w:tcBorders>
              <w:top w:val="single" w:sz="4" w:space="0" w:color="auto"/>
              <w:left w:val="single" w:sz="4" w:space="0" w:color="auto"/>
              <w:right w:val="single" w:sz="4" w:space="0" w:color="auto"/>
            </w:tcBorders>
          </w:tcPr>
          <w:p w14:paraId="745BCF45"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52</w:t>
            </w:r>
          </w:p>
        </w:tc>
        <w:tc>
          <w:tcPr>
            <w:tcW w:w="2250" w:type="dxa"/>
            <w:tcBorders>
              <w:top w:val="single" w:sz="4" w:space="0" w:color="auto"/>
              <w:left w:val="single" w:sz="4" w:space="0" w:color="auto"/>
            </w:tcBorders>
          </w:tcPr>
          <w:p w14:paraId="012B856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575</w:t>
            </w:r>
          </w:p>
        </w:tc>
      </w:tr>
      <w:tr w:rsidR="00D65F94" w14:paraId="6DC207DD" w14:textId="77777777" w:rsidTr="00AC0B89">
        <w:tc>
          <w:tcPr>
            <w:tcW w:w="3978" w:type="dxa"/>
            <w:tcBorders>
              <w:right w:val="single" w:sz="4" w:space="0" w:color="auto"/>
            </w:tcBorders>
          </w:tcPr>
          <w:p w14:paraId="68B8EAE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45</w:t>
            </w:r>
          </w:p>
        </w:tc>
        <w:tc>
          <w:tcPr>
            <w:tcW w:w="2250" w:type="dxa"/>
            <w:tcBorders>
              <w:left w:val="single" w:sz="4" w:space="0" w:color="auto"/>
            </w:tcBorders>
          </w:tcPr>
          <w:p w14:paraId="561E9189"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606</w:t>
            </w:r>
          </w:p>
        </w:tc>
      </w:tr>
      <w:tr w:rsidR="00D65F94" w14:paraId="3C9748FF" w14:textId="77777777" w:rsidTr="00AC0B89">
        <w:tc>
          <w:tcPr>
            <w:tcW w:w="3978" w:type="dxa"/>
            <w:tcBorders>
              <w:right w:val="single" w:sz="4" w:space="0" w:color="auto"/>
            </w:tcBorders>
          </w:tcPr>
          <w:p w14:paraId="47B493FC"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106</w:t>
            </w:r>
          </w:p>
        </w:tc>
        <w:tc>
          <w:tcPr>
            <w:tcW w:w="2250" w:type="dxa"/>
            <w:tcBorders>
              <w:left w:val="single" w:sz="4" w:space="0" w:color="auto"/>
            </w:tcBorders>
          </w:tcPr>
          <w:p w14:paraId="4821326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545</w:t>
            </w:r>
          </w:p>
        </w:tc>
      </w:tr>
      <w:tr w:rsidR="00D65F94" w14:paraId="263E7978" w14:textId="77777777" w:rsidTr="00AC0B89">
        <w:tc>
          <w:tcPr>
            <w:tcW w:w="3978" w:type="dxa"/>
            <w:tcBorders>
              <w:bottom w:val="single" w:sz="4" w:space="0" w:color="auto"/>
              <w:right w:val="single" w:sz="4" w:space="0" w:color="auto"/>
            </w:tcBorders>
          </w:tcPr>
          <w:p w14:paraId="12D8459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 xml:space="preserve">Number of </w:t>
            </w:r>
            <w:proofErr w:type="spellStart"/>
            <w:r>
              <w:rPr>
                <w:rFonts w:eastAsia="Times New Roman"/>
              </w:rPr>
              <w:t>contigs</w:t>
            </w:r>
            <w:proofErr w:type="spellEnd"/>
          </w:p>
        </w:tc>
        <w:tc>
          <w:tcPr>
            <w:tcW w:w="2070" w:type="dxa"/>
            <w:tcBorders>
              <w:left w:val="single" w:sz="4" w:space="0" w:color="auto"/>
              <w:bottom w:val="single" w:sz="4" w:space="0" w:color="auto"/>
              <w:right w:val="single" w:sz="4" w:space="0" w:color="auto"/>
            </w:tcBorders>
          </w:tcPr>
          <w:p w14:paraId="0DF27B5D"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107</w:t>
            </w:r>
          </w:p>
        </w:tc>
        <w:tc>
          <w:tcPr>
            <w:tcW w:w="2250" w:type="dxa"/>
            <w:tcBorders>
              <w:left w:val="single" w:sz="4" w:space="0" w:color="auto"/>
              <w:bottom w:val="single" w:sz="4" w:space="0" w:color="auto"/>
            </w:tcBorders>
          </w:tcPr>
          <w:p w14:paraId="2A735988"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544</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39391F72" w14:textId="77777777" w:rsidR="00D65F94" w:rsidRPr="00663CB9"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 the pipeline are as follows: 1.) download data with the </w:t>
      </w:r>
      <w:proofErr w:type="spellStart"/>
      <w:r w:rsidRPr="00663CB9">
        <w:rPr>
          <w:rFonts w:eastAsia="Times New Roman"/>
        </w:rPr>
        <w:t>fastq</w:t>
      </w:r>
      <w:proofErr w:type="spellEnd"/>
      <w:r w:rsidRPr="00663CB9">
        <w:rPr>
          <w:rFonts w:eastAsia="Times New Roman"/>
        </w:rPr>
        <w:t>-dump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"[25]", "plainTextFormattedCitation" : "[25]", "previouslyFormattedCitation" : "[25]" }, "properties" : { "noteIndex" : 0 }, "schema" : "https://github.com/citation-style-language/schema/raw/master/csl-citation.json" }</w:instrText>
      </w:r>
      <w:r>
        <w:rPr>
          <w:rFonts w:eastAsia="Times New Roman"/>
        </w:rPr>
        <w:fldChar w:fldCharType="separate"/>
      </w:r>
      <w:r w:rsidRPr="003A72E5">
        <w:rPr>
          <w:rFonts w:eastAsia="Times New Roman"/>
          <w:noProof/>
        </w:rPr>
        <w:t>[25]</w:t>
      </w:r>
      <w:r>
        <w:rPr>
          <w:rFonts w:eastAsia="Times New Roman"/>
        </w:rPr>
        <w:fldChar w:fldCharType="end"/>
      </w:r>
      <w:r>
        <w:rPr>
          <w:rFonts w:eastAsia="Times New Roman"/>
        </w:rPr>
        <w:t xml:space="preserve">, 2.) quality assessment with </w:t>
      </w:r>
      <w:proofErr w:type="spellStart"/>
      <w:r w:rsidRPr="00663CB9">
        <w:rPr>
          <w:rFonts w:eastAsia="Times New Roman"/>
        </w:rPr>
        <w:t>FastQC</w:t>
      </w:r>
      <w:proofErr w:type="spellEnd"/>
      <w:r>
        <w:rPr>
          <w:rFonts w:eastAsia="Times New Roman"/>
        </w:rPr>
        <w:t xml:space="preserve"> (Andrews 2010) and trimming residual adapters and low quality bases (Q&lt;2) with </w:t>
      </w:r>
      <w:proofErr w:type="spellStart"/>
      <w:r w:rsidRPr="00663CB9">
        <w:rPr>
          <w:rFonts w:eastAsia="Times New Roman"/>
        </w:rPr>
        <w:t>Trimmomatic</w:t>
      </w:r>
      <w:proofErr w:type="spellEnd"/>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"noteIndex" : 0 }, "schema" : "https://github.com/citation-style-language/schema/raw/master/csl-citation.json" }</w:instrText>
      </w:r>
      <w:r>
        <w:rPr>
          <w:rFonts w:eastAsia="Times New Roman"/>
        </w:rPr>
        <w:fldChar w:fldCharType="separate"/>
      </w:r>
      <w:r w:rsidRPr="003A72E5">
        <w:rPr>
          <w:rFonts w:eastAsia="Times New Roman"/>
          <w:noProof/>
        </w:rPr>
        <w:t>[28]</w:t>
      </w:r>
      <w:r>
        <w:rPr>
          <w:rFonts w:eastAsia="Times New Roman"/>
        </w:rPr>
        <w:fldChar w:fldCharType="end"/>
      </w:r>
      <w:r>
        <w:rPr>
          <w:rFonts w:eastAsia="Times New Roman"/>
        </w:rPr>
        <w:t xml:space="preserve">, 3.) digital normalization with </w:t>
      </w:r>
      <w:proofErr w:type="spellStart"/>
      <w:r w:rsidRPr="00663CB9">
        <w:rPr>
          <w:rFonts w:eastAsia="Times New Roman"/>
        </w:rPr>
        <w:t>khmer</w:t>
      </w:r>
      <w:proofErr w:type="spellEnd"/>
      <w:r>
        <w:rPr>
          <w:rFonts w:eastAsia="Times New Roman"/>
        </w:rPr>
        <w:t xml:space="preserve"> version 2.0 </w:t>
      </w:r>
      <w:r>
        <w:rPr>
          <w:rFonts w:eastAsia="Times New Roman"/>
        </w:rPr>
        <w:fldChar w:fldCharType="begin" w:fldLock="1"/>
      </w:r>
      <w:r>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"[29]", "plainTextFormattedCitation" : "[29]", "previouslyFormattedCitation" : "[29]" }, "properties" : { "noteIndex" : 0 }, "schema" : "https://github.com/citation-style-language/schema/raw/master/csl-citation.json" }</w:instrText>
      </w:r>
      <w:r>
        <w:rPr>
          <w:rFonts w:eastAsia="Times New Roman"/>
        </w:rPr>
        <w:fldChar w:fldCharType="separate"/>
      </w:r>
      <w:r w:rsidRPr="00B67373">
        <w:rPr>
          <w:rFonts w:eastAsia="Times New Roman"/>
          <w:noProof/>
        </w:rPr>
        <w:t>[29]</w:t>
      </w:r>
      <w:r>
        <w:rPr>
          <w:rFonts w:eastAsia="Times New Roman"/>
        </w:rPr>
        <w:fldChar w:fldCharType="end"/>
      </w:r>
      <w:r>
        <w:rPr>
          <w:rFonts w:eastAsia="Times New Roman"/>
        </w:rPr>
        <w:t xml:space="preserve">, 4.) assembly with </w:t>
      </w:r>
      <w:r w:rsidRPr="00663CB9">
        <w:rPr>
          <w:rFonts w:eastAsia="Times New Roman"/>
        </w:rPr>
        <w:t>Trinity</w:t>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 "plainTextFormattedCitation" : "[8]", "previouslyFormattedCitation" : "[8]" }, "properties" : { "noteIndex" : 0 }, "schema" : "https://github.com/citation-style-language/schema/raw/master/csl-citation.json" }</w:instrText>
      </w:r>
      <w:r>
        <w:rPr>
          <w:rFonts w:eastAsia="Times New Roman"/>
        </w:rPr>
        <w:fldChar w:fldCharType="separate"/>
      </w:r>
      <w:r w:rsidRPr="00B67373">
        <w:rPr>
          <w:rFonts w:eastAsia="Times New Roman"/>
          <w:noProof/>
        </w:rPr>
        <w:t>[8]</w:t>
      </w:r>
      <w:r>
        <w:rPr>
          <w:rFonts w:eastAsia="Times New Roman"/>
        </w:rPr>
        <w:fldChar w:fldCharType="end"/>
      </w:r>
      <w:r>
        <w:rPr>
          <w:rFonts w:eastAsia="Times New Roman"/>
        </w:rPr>
        <w:t>. Each script in the pipeline uses the metadata (</w:t>
      </w:r>
      <w:r w:rsidRPr="00663CB9">
        <w:rPr>
          <w:rFonts w:eastAsia="Times New Roman"/>
        </w:rPr>
        <w:t>SraRunInfo.csv</w:t>
      </w:r>
      <w:r>
        <w:rPr>
          <w:rFonts w:eastAsia="Times New Roman"/>
        </w:rPr>
        <w:t>) file obtained from the SRA as input.</w:t>
      </w:r>
      <w:r>
        <w:rPr>
          <w:rFonts w:eastAsia="Times New Roman"/>
          <w:b/>
        </w:rPr>
        <w:br w:type="page"/>
      </w:r>
      <w:r>
        <w:rPr>
          <w:rFonts w:eastAsia="Times New Roman"/>
          <w:b/>
          <w:noProof/>
          <w:lang w:val="en-US"/>
        </w:rPr>
        <w:drawing>
          <wp:inline distT="0" distB="0" distL="0" distR="0" wp14:anchorId="2AAA98D3" wp14:editId="6DB5AFF7">
            <wp:extent cx="2857500" cy="2575829"/>
            <wp:effectExtent l="0" t="0" r="0" b="0"/>
            <wp:docPr id="18" name="Picture 18" descr="Mac HD:Users:cohenl06:Documents:UCDavis:dib:MMETSP:git:MMETSP:pape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HD:Users:cohenl06:Documents:UCDavis:dib:MMETSP:git:MMETSP:paper:n_contig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676" cy="2576889"/>
                    </a:xfrm>
                    <a:prstGeom prst="rect">
                      <a:avLst/>
                    </a:prstGeom>
                    <a:noFill/>
                    <a:ln>
                      <a:noFill/>
                    </a:ln>
                  </pic:spPr>
                </pic:pic>
              </a:graphicData>
            </a:graphic>
          </wp:inline>
        </w:drawing>
      </w:r>
      <w:r>
        <w:rPr>
          <w:rFonts w:eastAsia="Times New Roman"/>
          <w:b/>
          <w:noProof/>
          <w:lang w:val="en-US"/>
        </w:rPr>
        <w:drawing>
          <wp:inline distT="0" distB="0" distL="0" distR="0" wp14:anchorId="6E2C8459" wp14:editId="3CDE40A5">
            <wp:extent cx="2511205" cy="2656449"/>
            <wp:effectExtent l="0" t="0" r="3810" b="10795"/>
            <wp:docPr id="19" name="Picture 19" descr="Mac HD:Users:cohenl06:Documents:UCDavis:dib:MMETSP:git:MMETSP:paper:trans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Users:cohenl06:Documents:UCDavis:dib:MMETSP:git:MMETSP:paper:transr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1959" cy="2657246"/>
                    </a:xfrm>
                    <a:prstGeom prst="rect">
                      <a:avLst/>
                    </a:prstGeom>
                    <a:noFill/>
                    <a:ln>
                      <a:noFill/>
                    </a:ln>
                  </pic:spPr>
                </pic:pic>
              </a:graphicData>
            </a:graphic>
          </wp:inline>
        </w:drawing>
      </w:r>
    </w:p>
    <w:p w14:paraId="5F781AF3" w14:textId="77777777" w:rsidR="00D65F94" w:rsidRDefault="00D65F94" w:rsidP="00D65F94">
      <w:pPr>
        <w:pStyle w:val="Normal1"/>
        <w:rPr>
          <w:rFonts w:eastAsia="Times New Roman"/>
        </w:rPr>
      </w:pPr>
      <w:r>
        <w:rPr>
          <w:rFonts w:eastAsia="Times New Roman"/>
        </w:rPr>
        <w:t xml:space="preserve">Figure 2. Split violin plots of the number of assembled </w:t>
      </w:r>
      <w:proofErr w:type="spellStart"/>
      <w:r>
        <w:rPr>
          <w:rFonts w:eastAsia="Times New Roman"/>
        </w:rPr>
        <w:t>contigs</w:t>
      </w:r>
      <w:proofErr w:type="spellEnd"/>
      <w:r>
        <w:rPr>
          <w:rFonts w:eastAsia="Times New Roman"/>
        </w:rPr>
        <w:t xml:space="preserve"> (left) and </w:t>
      </w:r>
      <w:proofErr w:type="spellStart"/>
      <w:r>
        <w:rPr>
          <w:rFonts w:eastAsia="Times New Roman"/>
        </w:rPr>
        <w:t>Transrate</w:t>
      </w:r>
      <w:proofErr w:type="spellEnd"/>
      <w:r>
        <w:rPr>
          <w:rFonts w:eastAsia="Times New Roman"/>
        </w:rPr>
        <w:t xml:space="preserve"> quality scores (right) of each pipeline. In the green (right side of each plot) are the DIB re-assemblies and in gray (left side of each plot) are the original assemblies from NCGR.</w:t>
      </w:r>
    </w:p>
    <w:p w14:paraId="1DAEC182" w14:textId="77777777" w:rsidR="00D65F94" w:rsidRDefault="00D65F94" w:rsidP="00D65F94">
      <w:pPr>
        <w:rPr>
          <w:rFonts w:eastAsia="Times New Roman"/>
          <w:b/>
        </w:rPr>
      </w:pPr>
    </w:p>
    <w:p w14:paraId="54425AE9" w14:textId="77777777" w:rsidR="00D65F94" w:rsidRDefault="00D65F94" w:rsidP="00D65F94">
      <w:pPr>
        <w:rPr>
          <w:rFonts w:eastAsia="Times New Roman"/>
          <w:b/>
        </w:rPr>
      </w:pPr>
      <w:r>
        <w:rPr>
          <w:rFonts w:eastAsia="Times New Roman"/>
          <w:b/>
        </w:rPr>
        <w:br w:type="page"/>
      </w:r>
    </w:p>
    <w:p w14:paraId="10A68FD0" w14:textId="77777777" w:rsidR="00D65F94" w:rsidRDefault="00D65F94" w:rsidP="00D65F94">
      <w:pPr>
        <w:pStyle w:val="Normal1"/>
        <w:rPr>
          <w:rFonts w:eastAsia="Times New Roman"/>
        </w:rPr>
      </w:pPr>
    </w:p>
    <w:p w14:paraId="60E7D901" w14:textId="77777777" w:rsidR="00D65F94" w:rsidRDefault="00D65F94" w:rsidP="00D65F94">
      <w:pPr>
        <w:pStyle w:val="Normal1"/>
        <w:rPr>
          <w:rFonts w:eastAsia="Times New Roman"/>
        </w:rPr>
      </w:pPr>
      <w:r>
        <w:rPr>
          <w:rFonts w:eastAsia="Times New Roman"/>
          <w:noProof/>
          <w:lang w:val="en-US"/>
        </w:rPr>
        <w:drawing>
          <wp:inline distT="0" distB="0" distL="0" distR="0" wp14:anchorId="3562CC97" wp14:editId="2A4F7DBF">
            <wp:extent cx="3277724" cy="3160816"/>
            <wp:effectExtent l="0" t="0" r="0" b="0"/>
            <wp:docPr id="17" name="Picture 17" descr="Mac HD:Users:cohenl06:Documents:UCDavis:dib:MMETSP:git:MMETSP:pape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HD:Users:cohenl06:Documents:UCDavis:dib:MMETSP:git:MMETSP:paper:CRB-bla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724" cy="3160816"/>
                    </a:xfrm>
                    <a:prstGeom prst="rect">
                      <a:avLst/>
                    </a:prstGeom>
                    <a:noFill/>
                    <a:ln>
                      <a:noFill/>
                    </a:ln>
                  </pic:spPr>
                </pic:pic>
              </a:graphicData>
            </a:graphic>
          </wp:inline>
        </w:drawing>
      </w:r>
    </w:p>
    <w:p w14:paraId="397CEF47" w14:textId="77777777" w:rsidR="00D65F94" w:rsidRDefault="00D65F94" w:rsidP="00D65F94">
      <w:pPr>
        <w:pStyle w:val="Normal1"/>
        <w:rPr>
          <w:rFonts w:eastAsia="Times New Roman"/>
        </w:rPr>
      </w:pPr>
      <w:r>
        <w:rPr>
          <w:rFonts w:eastAsia="Times New Roman"/>
        </w:rPr>
        <w:t>Figure 3.  Split violin plot of the proportion of references with a conditional reciprocal best BLAST (CRBB) hit. The distribution plot on the left (grey) contains data were NCGR assemblies were aligned against the DIB assemblies as reference and on the left (green), the DIB assemblies were aligned against the NCGR assembly as reference.</w:t>
      </w:r>
    </w:p>
    <w:p w14:paraId="08F45090" w14:textId="77777777" w:rsidR="00D65F94" w:rsidRDefault="00D65F94" w:rsidP="00D65F94">
      <w:pPr>
        <w:rPr>
          <w:rFonts w:eastAsia="Times New Roman"/>
          <w:b/>
        </w:rPr>
      </w:pPr>
      <w:r>
        <w:rPr>
          <w:rFonts w:eastAsia="Times New Roman"/>
          <w:b/>
        </w:rPr>
        <w:br w:type="page"/>
      </w:r>
    </w:p>
    <w:p w14:paraId="1FC348A8" w14:textId="77777777" w:rsidR="00D65F94" w:rsidRDefault="00D65F94" w:rsidP="00D65F94">
      <w:pPr>
        <w:pStyle w:val="Normal1"/>
        <w:rPr>
          <w:rFonts w:eastAsia="Times New Roman"/>
        </w:rPr>
      </w:pPr>
    </w:p>
    <w:p w14:paraId="21C70C2E" w14:textId="77777777" w:rsidR="00D65F94" w:rsidRDefault="00D65F94" w:rsidP="00D65F94">
      <w:pPr>
        <w:pStyle w:val="Normal1"/>
        <w:rPr>
          <w:rFonts w:eastAsia="Times New Roman"/>
        </w:rPr>
      </w:pPr>
      <w:r>
        <w:rPr>
          <w:rFonts w:eastAsia="Times New Roman"/>
          <w:noProof/>
          <w:lang w:val="en-US"/>
        </w:rPr>
        <w:drawing>
          <wp:inline distT="0" distB="0" distL="0" distR="0" wp14:anchorId="4697C767" wp14:editId="47C98B0A">
            <wp:extent cx="5460392" cy="5460392"/>
            <wp:effectExtent l="0" t="0" r="635" b="635"/>
            <wp:docPr id="25" name="Picture 25" descr="MMETSP/paper/Figure4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METSP/paper/Figure4_unique_km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419" cy="5460419"/>
                    </a:xfrm>
                    <a:prstGeom prst="rect">
                      <a:avLst/>
                    </a:prstGeom>
                    <a:noFill/>
                    <a:ln>
                      <a:noFill/>
                    </a:ln>
                  </pic:spPr>
                </pic:pic>
              </a:graphicData>
            </a:graphic>
          </wp:inline>
        </w:drawing>
      </w:r>
    </w:p>
    <w:p w14:paraId="6C2B0E8F" w14:textId="77777777" w:rsidR="00D65F94" w:rsidRDefault="00D65F94" w:rsidP="00D65F94">
      <w:pPr>
        <w:pStyle w:val="Normal1"/>
        <w:rPr>
          <w:rFonts w:eastAsia="Times New Roman"/>
        </w:rPr>
      </w:pPr>
      <w:r>
        <w:rPr>
          <w:rFonts w:eastAsia="Times New Roman"/>
        </w:rPr>
        <w:t xml:space="preserve">Figure 4.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Pr>
          <w:rFonts w:eastAsia="Times New Roman"/>
          <w:i/>
        </w:rPr>
        <w:t>k</w:t>
      </w:r>
      <w:r>
        <w:rPr>
          <w:rFonts w:eastAsia="Times New Roman"/>
        </w:rPr>
        <w:t xml:space="preserve">=25) from the  DIB re-assembly compared NCGR assembly for each of the 678 samples. The line indicates a 1:1 relationship between DIB re-assemblies and NCGR assemblies. 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values in the DIB re-assemblies than in the NCGR assemblies whereas 99 of the samples had higher unique </w:t>
      </w:r>
      <w:r>
        <w:rPr>
          <w:rFonts w:eastAsia="Times New Roman"/>
          <w:i/>
        </w:rPr>
        <w:t>k-</w:t>
      </w:r>
      <w:proofErr w:type="spellStart"/>
      <w:r>
        <w:rPr>
          <w:rFonts w:eastAsia="Times New Roman"/>
        </w:rPr>
        <w:t>mer</w:t>
      </w:r>
      <w:proofErr w:type="spellEnd"/>
      <w:r>
        <w:rPr>
          <w:rFonts w:eastAsia="Times New Roman"/>
        </w:rPr>
        <w:t xml:space="preserve"> content in the original NCGR assemblies.</w:t>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77777777" w:rsidR="00D65F94" w:rsidRDefault="00D65F94" w:rsidP="00D65F94">
      <w:pPr>
        <w:pStyle w:val="Normal1"/>
        <w:rPr>
          <w:rFonts w:eastAsia="Times New Roman"/>
          <w:noProof/>
          <w:lang w:val="en-US"/>
        </w:rPr>
      </w:pPr>
    </w:p>
    <w:p w14:paraId="4F59EF8D" w14:textId="77777777" w:rsidR="00D65F94" w:rsidRDefault="00D65F94" w:rsidP="00D65F94">
      <w:pPr>
        <w:pStyle w:val="Normal1"/>
        <w:rPr>
          <w:rFonts w:eastAsia="Times New Roman"/>
        </w:rPr>
      </w:pPr>
      <w:r w:rsidRPr="007B4760">
        <w:rPr>
          <w:rFonts w:eastAsia="Times New Roman"/>
          <w:noProof/>
          <w:lang w:val="en-US"/>
        </w:rPr>
        <w:drawing>
          <wp:inline distT="0" distB="0" distL="0" distR="0" wp14:anchorId="19E7E98F" wp14:editId="70F7CE24">
            <wp:extent cx="2910712" cy="3006285"/>
            <wp:effectExtent l="0" t="0" r="10795" b="0"/>
            <wp:docPr id="16" name="Picture 16" descr="Mac HD:Users:cohenl06:Documents:UCDavis:dib:MMETSP:git:MMETSP:pape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cohenl06:Documents:UCDavis:dib:MMETSP:git:MMETSP:paper:mean_OR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1251" cy="3006842"/>
                    </a:xfrm>
                    <a:prstGeom prst="rect">
                      <a:avLst/>
                    </a:prstGeom>
                    <a:noFill/>
                    <a:ln>
                      <a:noFill/>
                    </a:ln>
                  </pic:spPr>
                </pic:pic>
              </a:graphicData>
            </a:graphic>
          </wp:inline>
        </w:drawing>
      </w:r>
      <w:r>
        <w:rPr>
          <w:rFonts w:eastAsia="Times New Roman"/>
          <w:noProof/>
          <w:lang w:val="en-US"/>
        </w:rPr>
        <w:drawing>
          <wp:inline distT="0" distB="0" distL="0" distR="0" wp14:anchorId="6DAC27F2" wp14:editId="00856C46">
            <wp:extent cx="2893763" cy="3021594"/>
            <wp:effectExtent l="0" t="0" r="1905" b="1270"/>
            <wp:docPr id="15" name="Picture 15" descr="Mac HD:Users:cohenl06:Documents:UCDavis:dib:MMETSP:git:MMETSP:pape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cohenl06:Documents:UCDavis:dib:MMETSP:git:MMETSP:paper:mean_BUS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763" cy="3021594"/>
                    </a:xfrm>
                    <a:prstGeom prst="rect">
                      <a:avLst/>
                    </a:prstGeom>
                    <a:noFill/>
                    <a:ln>
                      <a:noFill/>
                    </a:ln>
                  </pic:spPr>
                </pic:pic>
              </a:graphicData>
            </a:graphic>
          </wp:inline>
        </w:drawing>
      </w:r>
    </w:p>
    <w:p w14:paraId="4847E4EA" w14:textId="77777777" w:rsidR="00D65F94" w:rsidRDefault="00D65F94" w:rsidP="00D65F94">
      <w:pPr>
        <w:pStyle w:val="Normal1"/>
        <w:rPr>
          <w:rFonts w:eastAsia="Times New Roman"/>
        </w:rPr>
      </w:pPr>
      <w:r>
        <w:rPr>
          <w:rFonts w:eastAsia="Times New Roman"/>
        </w:rPr>
        <w:t xml:space="preserve">Figure 5. Split violin plots of the percentage of </w:t>
      </w:r>
      <w:proofErr w:type="spellStart"/>
      <w:r>
        <w:rPr>
          <w:rFonts w:eastAsia="Times New Roman"/>
        </w:rPr>
        <w:t>contigs</w:t>
      </w:r>
      <w:proofErr w:type="spellEnd"/>
      <w:r>
        <w:rPr>
          <w:rFonts w:eastAsia="Times New Roman"/>
        </w:rPr>
        <w:t xml:space="preserve"> with predicted open reading frame (ORF) in each assembly (left) and the percentage of complete </w:t>
      </w:r>
      <w:proofErr w:type="spellStart"/>
      <w:r>
        <w:rPr>
          <w:rFonts w:eastAsia="Times New Roman"/>
        </w:rPr>
        <w:t>protistan</w:t>
      </w:r>
      <w:proofErr w:type="spellEnd"/>
      <w:r>
        <w:rPr>
          <w:rFonts w:eastAsia="Times New Roman"/>
        </w:rPr>
        <w:t xml:space="preserve"> benchmarking universal single-copy </w:t>
      </w:r>
      <w:proofErr w:type="spellStart"/>
      <w:r>
        <w:rPr>
          <w:rFonts w:eastAsia="Times New Roman"/>
        </w:rPr>
        <w:t>orthologs</w:t>
      </w:r>
      <w:proofErr w:type="spellEnd"/>
      <w:r>
        <w:rPr>
          <w:rFonts w:eastAsia="Times New Roman"/>
        </w:rPr>
        <w:t xml:space="preserve"> (BUSCO) recovered in each assembly (right). In the green (right side of each plot) are the “DIB” re-assemblies and in gray (left side of each plot) are the original assemblies from NCGR.</w:t>
      </w:r>
    </w:p>
    <w:p w14:paraId="0925C60B" w14:textId="77777777" w:rsidR="00D65F94" w:rsidRDefault="00D65F94" w:rsidP="00D65F94">
      <w:pPr>
        <w:rPr>
          <w:rFonts w:eastAsia="Times New Roman"/>
        </w:rPr>
      </w:pPr>
      <w:r>
        <w:rPr>
          <w:rFonts w:eastAsia="Times New Roman"/>
        </w:rPr>
        <w:br w:type="page"/>
      </w:r>
    </w:p>
    <w:p w14:paraId="092B5018" w14:textId="77777777" w:rsidR="00D65F94" w:rsidRDefault="00D65F94" w:rsidP="00D65F94">
      <w:pPr>
        <w:pStyle w:val="Normal1"/>
        <w:rPr>
          <w:rFonts w:eastAsia="Times New Roman"/>
        </w:rPr>
      </w:pPr>
      <w:r>
        <w:rPr>
          <w:rFonts w:eastAsia="Times New Roman"/>
          <w:noProof/>
          <w:lang w:val="en-US"/>
        </w:rPr>
        <w:drawing>
          <wp:inline distT="0" distB="0" distL="0" distR="0" wp14:anchorId="19976890" wp14:editId="60931974">
            <wp:extent cx="4800656" cy="3361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774" cy="3361137"/>
                    </a:xfrm>
                    <a:prstGeom prst="rect">
                      <a:avLst/>
                    </a:prstGeom>
                    <a:noFill/>
                    <a:ln>
                      <a:noFill/>
                    </a:ln>
                  </pic:spPr>
                </pic:pic>
              </a:graphicData>
            </a:graphic>
          </wp:inline>
        </w:drawing>
      </w:r>
    </w:p>
    <w:p w14:paraId="5DAC4FC1" w14:textId="77777777" w:rsidR="00D65F94" w:rsidRDefault="00D65F94" w:rsidP="00D65F94">
      <w:pPr>
        <w:pStyle w:val="Normal1"/>
        <w:rPr>
          <w:rFonts w:eastAsia="Times New Roman"/>
        </w:rPr>
      </w:pPr>
      <w:r>
        <w:rPr>
          <w:rFonts w:eastAsia="Times New Roman"/>
        </w:rPr>
        <w:t xml:space="preserve">Figure 6. A histogram across assembled samples depicting the number of </w:t>
      </w:r>
      <w:proofErr w:type="spellStart"/>
      <w:r>
        <w:rPr>
          <w:rFonts w:eastAsia="Times New Roman"/>
        </w:rPr>
        <w:t>contigs</w:t>
      </w:r>
      <w:proofErr w:type="spellEnd"/>
      <w:r>
        <w:rPr>
          <w:rFonts w:eastAsia="Times New Roman"/>
        </w:rPr>
        <w:t xml:space="preserve"> identified as present in DIB assembly but absent in the NCGR assembly as measured with a “false” CRBB result. Samples are sorted from highest to lowest with the number of </w:t>
      </w:r>
      <w:proofErr w:type="spellStart"/>
      <w:r>
        <w:rPr>
          <w:rFonts w:eastAsia="Times New Roman"/>
        </w:rPr>
        <w:t>contigs</w:t>
      </w:r>
      <w:proofErr w:type="spellEnd"/>
      <w:r>
        <w:rPr>
          <w:rFonts w:eastAsia="Times New Roman"/>
        </w:rPr>
        <w:t xml:space="preserve">. Highlighted in green are the </w:t>
      </w:r>
      <w:proofErr w:type="spellStart"/>
      <w:r>
        <w:rPr>
          <w:rFonts w:eastAsia="Times New Roman"/>
        </w:rPr>
        <w:t>contigs</w:t>
      </w:r>
      <w:proofErr w:type="spellEnd"/>
      <w:r>
        <w:rPr>
          <w:rFonts w:eastAsia="Times New Roman"/>
        </w:rPr>
        <w:t xml:space="preserve"> that could be annotated with a known gene name from the </w:t>
      </w:r>
      <w:proofErr w:type="spellStart"/>
      <w:r>
        <w:rPr>
          <w:rFonts w:eastAsia="Times New Roman"/>
        </w:rPr>
        <w:t>Pfam</w:t>
      </w:r>
      <w:proofErr w:type="spellEnd"/>
      <w:r>
        <w:rPr>
          <w:rFonts w:eastAsia="Times New Roman"/>
        </w:rPr>
        <w:t xml:space="preserve">, </w:t>
      </w:r>
      <w:proofErr w:type="spellStart"/>
      <w:r>
        <w:rPr>
          <w:rFonts w:eastAsia="Times New Roman"/>
        </w:rPr>
        <w:t>Rfam</w:t>
      </w:r>
      <w:proofErr w:type="spellEnd"/>
      <w:r>
        <w:rPr>
          <w:rFonts w:eastAsia="Times New Roman"/>
        </w:rPr>
        <w:t xml:space="preserve">, or </w:t>
      </w:r>
      <w:proofErr w:type="spellStart"/>
      <w:r>
        <w:rPr>
          <w:rFonts w:eastAsia="Times New Roman"/>
        </w:rPr>
        <w:t>OrthoDB</w:t>
      </w:r>
      <w:proofErr w:type="spellEnd"/>
      <w:r>
        <w:rPr>
          <w:rFonts w:eastAsia="Times New Roman"/>
        </w:rPr>
        <w:t xml:space="preserve"> databases. The region in gray indicates the number of </w:t>
      </w:r>
      <w:proofErr w:type="spellStart"/>
      <w:r>
        <w:rPr>
          <w:rFonts w:eastAsia="Times New Roman"/>
        </w:rPr>
        <w:t>contigs</w:t>
      </w:r>
      <w:proofErr w:type="spellEnd"/>
      <w:r>
        <w:rPr>
          <w:rFonts w:eastAsia="Times New Roman"/>
        </w:rPr>
        <w:t xml:space="preserve"> that are present in the DIB re-assemblies, absent from NCGR but with no annotation result. The region in green represents the number of </w:t>
      </w:r>
      <w:proofErr w:type="spellStart"/>
      <w:r>
        <w:rPr>
          <w:rFonts w:eastAsia="Times New Roman"/>
        </w:rPr>
        <w:t>contigs</w:t>
      </w:r>
      <w:proofErr w:type="spellEnd"/>
      <w:r>
        <w:rPr>
          <w:rFonts w:eastAsia="Times New Roman"/>
        </w:rPr>
        <w:t xml:space="preserve"> that are unique to the DIB re-assemblies that did have a positive annotation result.</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77777777" w:rsidR="00D65F94" w:rsidRDefault="00D65F94" w:rsidP="00D65F94">
      <w:pPr>
        <w:rPr>
          <w:rFonts w:eastAsia="Times New Roman"/>
          <w:b/>
        </w:rPr>
      </w:pPr>
    </w:p>
    <w:p w14:paraId="285D0A46" w14:textId="77777777" w:rsidR="00D65F94" w:rsidRDefault="00D65F94" w:rsidP="00D65F94">
      <w:pPr>
        <w:rPr>
          <w:rFonts w:eastAsia="Times New Roman"/>
          <w:b/>
        </w:rPr>
      </w:pPr>
    </w:p>
    <w:p w14:paraId="145FED6F" w14:textId="77777777" w:rsidR="00D65F94" w:rsidRDefault="00D65F94" w:rsidP="00D65F94">
      <w:pPr>
        <w:rPr>
          <w:rFonts w:eastAsia="Times New Roman"/>
        </w:rPr>
      </w:pPr>
      <w:r>
        <w:rPr>
          <w:rFonts w:eastAsia="Times New Roman"/>
          <w:noProof/>
          <w:lang w:val="en-US"/>
        </w:rPr>
        <w:drawing>
          <wp:inline distT="0" distB="0" distL="0" distR="0" wp14:anchorId="064464E1" wp14:editId="08DEAC90">
            <wp:extent cx="5946140" cy="5946140"/>
            <wp:effectExtent l="0" t="0" r="0" b="0"/>
            <wp:docPr id="26" name="Picture 26" descr="MMETSP/paper/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METSP/paper/Figure7_unique_annotation_nam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140" cy="5946140"/>
                    </a:xfrm>
                    <a:prstGeom prst="rect">
                      <a:avLst/>
                    </a:prstGeom>
                    <a:noFill/>
                    <a:ln>
                      <a:noFill/>
                    </a:ln>
                  </pic:spPr>
                </pic:pic>
              </a:graphicData>
            </a:graphic>
          </wp:inline>
        </w:drawing>
      </w:r>
    </w:p>
    <w:p w14:paraId="3F24722C" w14:textId="77777777" w:rsidR="00D65F94" w:rsidRDefault="00D65F94" w:rsidP="00D65F94">
      <w:pPr>
        <w:rPr>
          <w:rFonts w:eastAsia="Times New Roman"/>
        </w:rPr>
      </w:pPr>
      <w:r>
        <w:rPr>
          <w:rFonts w:eastAsia="Times New Roman"/>
        </w:rPr>
        <w:t xml:space="preserve">Figure 7. Unique gene names found in either NCGR or DIB assemblies but not found in the other assembly. The line indicates a 1:1 relationship between the number of unique gene names in DIB and NCGR. Numbers of unique gene names are normalized to the number of annotated </w:t>
      </w:r>
      <w:proofErr w:type="spellStart"/>
      <w:r>
        <w:rPr>
          <w:rFonts w:eastAsia="Times New Roman"/>
        </w:rPr>
        <w:t>contigs</w:t>
      </w:r>
      <w:proofErr w:type="spellEnd"/>
      <w:r>
        <w:rPr>
          <w:rFonts w:eastAsia="Times New Roman"/>
        </w:rPr>
        <w:t xml:space="preserve"> in each assembly. DIB assemblies had the highest number of unique names not found in NCGR assemblies. Several NCGR assemblies had gene names not found DIB assemblies. Most MMETSP samples had gene names that were unique in both NCGR and DIB assemblies.</w:t>
      </w:r>
    </w:p>
    <w:p w14:paraId="743CDA52" w14:textId="77777777" w:rsidR="00D65F94" w:rsidRDefault="00D65F94" w:rsidP="00D65F94">
      <w:pPr>
        <w:pStyle w:val="Normal1"/>
        <w:rPr>
          <w:rFonts w:eastAsia="Times New Roman"/>
        </w:rPr>
      </w:pPr>
      <w:r>
        <w:rPr>
          <w:rFonts w:eastAsia="Times New Roman"/>
          <w:noProof/>
          <w:lang w:val="en-US"/>
        </w:rPr>
        <w:drawing>
          <wp:inline distT="0" distB="0" distL="0" distR="0" wp14:anchorId="618EB2DA" wp14:editId="3A704B48">
            <wp:extent cx="2908935" cy="1863619"/>
            <wp:effectExtent l="0" t="0" r="0" b="0"/>
            <wp:docPr id="21" name="Picture 21" descr="MMETSP/paper/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ETSP/paper/Figure8_n_input_read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7117"/>
                    <a:stretch/>
                  </pic:blipFill>
                  <pic:spPr bwMode="auto">
                    <a:xfrm>
                      <a:off x="0" y="0"/>
                      <a:ext cx="2972932" cy="190461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noProof/>
          <w:lang w:val="en-US"/>
        </w:rPr>
        <w:drawing>
          <wp:inline distT="0" distB="0" distL="0" distR="0" wp14:anchorId="0104ED31" wp14:editId="350C10B9">
            <wp:extent cx="2846191" cy="1818758"/>
            <wp:effectExtent l="0" t="0" r="0" b="10160"/>
            <wp:docPr id="22" name="Picture 22" descr="MMETSP/paper/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ETSP/paper/Figure8_mean_orf.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6879"/>
                    <a:stretch/>
                  </pic:blipFill>
                  <pic:spPr bwMode="auto">
                    <a:xfrm>
                      <a:off x="0" y="0"/>
                      <a:ext cx="2909583" cy="1859267"/>
                    </a:xfrm>
                    <a:prstGeom prst="rect">
                      <a:avLst/>
                    </a:prstGeom>
                    <a:noFill/>
                    <a:ln>
                      <a:noFill/>
                    </a:ln>
                    <a:extLst>
                      <a:ext uri="{53640926-AAD7-44D8-BBD7-CCE9431645EC}">
                        <a14:shadowObscured xmlns:a14="http://schemas.microsoft.com/office/drawing/2010/main"/>
                      </a:ext>
                    </a:extLst>
                  </pic:spPr>
                </pic:pic>
              </a:graphicData>
            </a:graphic>
          </wp:inline>
        </w:drawing>
      </w:r>
    </w:p>
    <w:p w14:paraId="5D9081E9" w14:textId="77777777" w:rsidR="00D65F94" w:rsidRDefault="00D65F94" w:rsidP="00D65F94">
      <w:pPr>
        <w:pStyle w:val="Normal1"/>
        <w:rPr>
          <w:rFonts w:eastAsia="Times New Roman"/>
        </w:rPr>
      </w:pPr>
      <w:r>
        <w:rPr>
          <w:rFonts w:eastAsia="Times New Roman"/>
          <w:noProof/>
          <w:lang w:val="en-US"/>
        </w:rPr>
        <w:drawing>
          <wp:inline distT="0" distB="0" distL="0" distR="0" wp14:anchorId="2AEA4B39" wp14:editId="795489A8">
            <wp:extent cx="2794172" cy="1790096"/>
            <wp:effectExtent l="0" t="0" r="0" b="0"/>
            <wp:docPr id="23" name="Picture 23" descr="MMETSP/paper/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ETSP/paper/Figure8_n_contig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7117"/>
                    <a:stretch/>
                  </pic:blipFill>
                  <pic:spPr bwMode="auto">
                    <a:xfrm>
                      <a:off x="0" y="0"/>
                      <a:ext cx="2825043" cy="1809874"/>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noProof/>
          <w:lang w:val="en-US"/>
        </w:rPr>
        <w:drawing>
          <wp:inline distT="0" distB="0" distL="0" distR="0" wp14:anchorId="3B31E037" wp14:editId="037368B0">
            <wp:extent cx="2908935" cy="1854110"/>
            <wp:effectExtent l="0" t="0" r="0" b="635"/>
            <wp:docPr id="24" name="Picture 24" descr="MMETSP/paper/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METSP/paper/Figure8_unique_kmer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6641"/>
                    <a:stretch/>
                  </pic:blipFill>
                  <pic:spPr bwMode="auto">
                    <a:xfrm>
                      <a:off x="0" y="0"/>
                      <a:ext cx="2985567" cy="1902954"/>
                    </a:xfrm>
                    <a:prstGeom prst="rect">
                      <a:avLst/>
                    </a:prstGeom>
                    <a:noFill/>
                    <a:ln>
                      <a:noFill/>
                    </a:ln>
                    <a:extLst>
                      <a:ext uri="{53640926-AAD7-44D8-BBD7-CCE9431645EC}">
                        <a14:shadowObscured xmlns:a14="http://schemas.microsoft.com/office/drawing/2010/main"/>
                      </a:ext>
                    </a:extLst>
                  </pic:spPr>
                </pic:pic>
              </a:graphicData>
            </a:graphic>
          </wp:inline>
        </w:drawing>
      </w:r>
    </w:p>
    <w:p w14:paraId="0BD4A6E2" w14:textId="77777777" w:rsidR="00D65F94" w:rsidRDefault="00D65F94" w:rsidP="00D65F94">
      <w:pPr>
        <w:pStyle w:val="Normal1"/>
        <w:rPr>
          <w:rFonts w:eastAsia="Times New Roman"/>
        </w:rPr>
      </w:pPr>
    </w:p>
    <w:p w14:paraId="7812DA67" w14:textId="77777777" w:rsidR="00D65F94" w:rsidRDefault="00D65F94" w:rsidP="00D65F94">
      <w:pPr>
        <w:pStyle w:val="Normal1"/>
        <w:rPr>
          <w:rFonts w:eastAsia="Times New Roman"/>
        </w:rPr>
      </w:pPr>
    </w:p>
    <w:p w14:paraId="0651AB5D" w14:textId="77777777" w:rsidR="00D65F94" w:rsidRDefault="00D65F94" w:rsidP="00D65F94">
      <w:pPr>
        <w:pStyle w:val="Normal1"/>
        <w:rPr>
          <w:rFonts w:eastAsia="Times New Roman"/>
        </w:rPr>
      </w:pPr>
      <w:r>
        <w:rPr>
          <w:rFonts w:eastAsia="Times New Roman"/>
        </w:rPr>
        <w:t xml:space="preserve">Figure 8. Box-and-whisker plots for the seven most common phyla in the MMETSP dataset. Clockwise from the top left (A) number of input reads, (B) mean percentage open reading frame (ORF) content, (C) number of </w:t>
      </w:r>
      <w:proofErr w:type="spellStart"/>
      <w:r>
        <w:rPr>
          <w:rFonts w:eastAsia="Times New Roman"/>
        </w:rPr>
        <w:t>contigs</w:t>
      </w:r>
      <w:proofErr w:type="spellEnd"/>
      <w:r>
        <w:rPr>
          <w:rFonts w:eastAsia="Times New Roman"/>
        </w:rPr>
        <w:t xml:space="preserve"> in the assembly, (D) unique </w:t>
      </w:r>
      <w:r w:rsidRPr="00084E78">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sidRPr="00084E78">
        <w:rPr>
          <w:rFonts w:eastAsia="Times New Roman"/>
          <w:i/>
        </w:rPr>
        <w:t>k</w:t>
      </w:r>
      <w:r>
        <w:rPr>
          <w:rFonts w:eastAsia="Times New Roman"/>
        </w:rPr>
        <w:t xml:space="preserve">=25) in the assembly. Groups sharing a letter in the top margin are not significantly different at the 5% level. While there do not appear to be differences in the number of input reads between these phyla (A), the </w:t>
      </w:r>
      <w:proofErr w:type="spellStart"/>
      <w:r>
        <w:rPr>
          <w:rFonts w:eastAsia="Times New Roman"/>
        </w:rPr>
        <w:t>Dinophyta</w:t>
      </w:r>
      <w:proofErr w:type="spellEnd"/>
      <w:r>
        <w:rPr>
          <w:rFonts w:eastAsia="Times New Roman"/>
        </w:rPr>
        <w:t xml:space="preserve"> phylum has higher percentage of ORF and number of </w:t>
      </w:r>
      <w:proofErr w:type="spellStart"/>
      <w:r>
        <w:rPr>
          <w:rFonts w:eastAsia="Times New Roman"/>
        </w:rPr>
        <w:t>contigs</w:t>
      </w:r>
      <w:proofErr w:type="spellEnd"/>
      <w:r>
        <w:rPr>
          <w:rFonts w:eastAsia="Times New Roman"/>
        </w:rPr>
        <w:t xml:space="preserve"> and the </w:t>
      </w:r>
      <w:proofErr w:type="spellStart"/>
      <w:r>
        <w:rPr>
          <w:rFonts w:eastAsia="Times New Roman"/>
        </w:rPr>
        <w:t>Ciliophora</w:t>
      </w:r>
      <w:proofErr w:type="spellEnd"/>
      <w:r>
        <w:rPr>
          <w:rFonts w:eastAsia="Times New Roman"/>
        </w:rPr>
        <w:t xml:space="preserve"> phylum has lower unique </w:t>
      </w:r>
      <w:r>
        <w:rPr>
          <w:rFonts w:eastAsia="Times New Roman"/>
          <w:i/>
        </w:rPr>
        <w:t>k-</w:t>
      </w:r>
      <w:proofErr w:type="spellStart"/>
      <w:r>
        <w:rPr>
          <w:rFonts w:eastAsia="Times New Roman"/>
        </w:rPr>
        <w:t>mer</w:t>
      </w:r>
      <w:proofErr w:type="spellEnd"/>
      <w:r>
        <w:rPr>
          <w:rFonts w:eastAsia="Times New Roman"/>
        </w:rPr>
        <w:t xml:space="preserve"> content.  </w:t>
      </w:r>
    </w:p>
    <w:p w14:paraId="0627D1B3" w14:textId="77777777" w:rsidR="00806D88" w:rsidRDefault="00D65F94">
      <w:bookmarkStart w:id="0" w:name="_GoBack"/>
      <w:bookmarkEnd w:id="0"/>
    </w:p>
    <w:sectPr w:rsidR="00806D88" w:rsidSect="00A8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94"/>
    <w:rsid w:val="007D2DBD"/>
    <w:rsid w:val="00A82A6A"/>
    <w:rsid w:val="00D6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3024</Words>
  <Characters>17237</Characters>
  <Application>Microsoft Macintosh Word</Application>
  <DocSecurity>0</DocSecurity>
  <Lines>143</Lines>
  <Paragraphs>40</Paragraphs>
  <ScaleCrop>false</ScaleCrop>
  <LinksUpToDate>false</LinksUpToDate>
  <CharactersWithSpaces>20221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Lisa Johnson Cohen</cp:lastModifiedBy>
  <cp:revision>1</cp:revision>
  <dcterms:created xsi:type="dcterms:W3CDTF">2018-02-18T17:35:00Z</dcterms:created>
  <dcterms:modified xsi:type="dcterms:W3CDTF">2018-02-18T17:35:00Z</dcterms:modified>
</cp:coreProperties>
</file>