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proofErr w:type="spellStart"/>
      <w:r w:rsidR="00931D4E">
        <w:rPr>
          <w:rFonts w:eastAsia="Times New Roman"/>
        </w:rPr>
        <w:t>trascriptomic</w:t>
      </w:r>
      <w:proofErr w:type="spellEnd"/>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transcriptomes assembled from the phyla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lastRenderedPageBreak/>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 xml:space="preserve">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77777777"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 xml:space="preserve">rgest publicly available </w:t>
      </w:r>
      <w:proofErr w:type="spellStart"/>
      <w:r w:rsidR="00B32DE2">
        <w:rPr>
          <w:rFonts w:eastAsia="Times New Roman"/>
        </w:rPr>
        <w:t>RNAseq</w:t>
      </w:r>
      <w:proofErr w:type="spellEnd"/>
      <w:r w:rsidR="00B32DE2">
        <w:rPr>
          <w:rFonts w:eastAsia="Times New Roman"/>
        </w:rPr>
        <w:t xml:space="preserve"> data sets. Moreover, the MMETSP used a standardized library preparation procedure and all of the samples were sequenced at the same facility, making the data sets unusually </w:t>
      </w:r>
      <w:proofErr w:type="spellStart"/>
      <w:r w:rsidR="00B32DE2">
        <w:rPr>
          <w:rFonts w:eastAsia="Times New Roman"/>
        </w:rPr>
        <w:t>comparatble</w:t>
      </w:r>
      <w:proofErr w:type="spellEnd"/>
      <w:r w:rsidR="00B32DE2">
        <w:rPr>
          <w:rFonts w:eastAsia="Times New Roman"/>
        </w:rPr>
        <w:t>.</w:t>
      </w:r>
    </w:p>
    <w:p w14:paraId="1EC8B2DB" w14:textId="77777777" w:rsidR="00B32DE2" w:rsidRDefault="00B32DE2" w:rsidP="00433A24">
      <w:pPr>
        <w:pStyle w:val="Normal1"/>
        <w:rPr>
          <w:rFonts w:eastAsia="Times New Roman"/>
        </w:rPr>
      </w:pPr>
    </w:p>
    <w:p w14:paraId="5CA65CA5" w14:textId="36F8AD62" w:rsidR="002724BB" w:rsidRDefault="00B32DE2" w:rsidP="00433A24">
      <w:pPr>
        <w:pStyle w:val="Normal1"/>
        <w:rPr>
          <w:rFonts w:eastAsia="Times New Roman"/>
          <w:highlight w:val="white"/>
        </w:rPr>
      </w:pPr>
      <w:r>
        <w:rPr>
          <w:rFonts w:eastAsia="Times New Roman"/>
          <w:highlight w:val="white"/>
        </w:rPr>
        <w:t>Reference transcriptomes for the MMETSP were originally assembled using a pipeline developed by the National Center for Genome Research (NCGR)</w:t>
      </w:r>
      <w:r w:rsidR="00CC2E93">
        <w:rPr>
          <w:rFonts w:eastAsia="Times New Roman"/>
          <w:highlight w:val="white"/>
        </w:rPr>
        <w:t>, which 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05429B">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"id" : "ITEM-3", "itemData" : { "DOI" : "10.1038/nature25982", "ISSN" : "0028-0836", "abstract" : "Phytotransferrin, a functional analogue of transferrin, has an obligate requirement for carbonate to bind iron, which suggests that acidification-driven declines in the concentration of seawater carbonate ions may negatively affect diatom iron acquisition.", "author" : [ { "dropping-particle" : "", "family" : "McQuaid", "given" : "Jeffrey B.", "non-dropping-particle" : "", "parse-names" : false, "suffix" : "" }, { "dropping-particle" : "", "family" : "Kustka", "given" : "Adam B.", "non-dropping-particle" : "", "parse-names" : false, "suffix" : "" }, { "dropping-particle" : "", "family" : "Oborn\u00edk", "given" : "Miroslav", "non-dropping-particle" : "", "parse-names" : false, "suffix" : "" }, { "dropping-particle" : "", "family" : "Hor\u00e1k", "given" : "Ale\u0161", "non-dropping-particle" : "", "parse-names" : false, "suffix" : "" }, { "dropping-particle" : "", "family" : "McCrow", "given" : "John P.", "non-dropping-particle" : "", "parse-names" : false, "suffix" : "" }, { "dropping-particle" : "", "family" : "Karas", "given" : "Bogumil J.", "non-dropping-particle" : "", "parse-names" : false, "suffix" : "" }, { "dropping-particle" : "", "family" : "Zheng", "given" : "Hong", "non-dropping-particle" : "", "parse-names" : false, "suffix" : "" }, { "dropping-particle" : "", "family" : "Kindeberg", "given" : "Theodor", "non-dropping-particle" : "", "parse-names" : false, "suffix" : "" }, { "dropping-particle" : "", "family" : "Andersson", "given" : "Andreas J.", "non-dropping-particle" : "", "parse-names" : false, "suffix" : "" }, { "dropping-particle" : "", "family" : "Barbeau", "given" : "Katherine A.", "non-dropping-particle" : "", "parse-names" : false, "suffix" : "" }, { "dropping-particle" : "", "family" : "Allen", "given" : "Andrew E.", "non-dropping-particle" : "", "parse-names" : false, "suffix" : "" } ], "container-title" : "Nature", "id" : "ITEM-3", "issued" : { "date-parts" : [ [ "2018", "3", "14" ] ] }, "publisher" : "Nature Publishing Group", "title" : "Carbonate-sensitive phytotransferrin controls high-affinity iron uptake in diatoms", "type" : "article-journal" }, "uris" : [ "http://www.mendeley.com/documents/?uuid=09ba9dbe-640d-307a-b886-e4b642a6ee11" ] } ], "mendeley" : { "formattedCitation" : "[27\u201329]", "plainTextFormattedCitation" : "[27\u201329]", "previouslyFormattedCitation" : "[27\u201329]" }, "properties" : {  }, "schema" : "https://github.com/citation-style-language/schema/raw/master/csl-citation.json" }</w:instrText>
      </w:r>
      <w:r w:rsidR="00E22669">
        <w:rPr>
          <w:rFonts w:eastAsia="Times New Roman"/>
          <w:highlight w:val="white"/>
        </w:rPr>
        <w:fldChar w:fldCharType="separate"/>
      </w:r>
      <w:r w:rsidR="0005429B" w:rsidRPr="0005429B">
        <w:rPr>
          <w:rFonts w:eastAsia="Times New Roman"/>
          <w:noProof/>
          <w:highlight w:val="white"/>
        </w:rPr>
        <w:t>[27–29]</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05429B">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"[8,30]", "plainTextFormattedCitation" : "[8,30]", "previouslyFormattedCitation" : "[8,30]" }, "properties" : {  }, "schema" : "https://github.com/citation-style-language/schema/raw/master/csl-citation.json" }</w:instrText>
      </w:r>
      <w:r w:rsidR="00E22669">
        <w:rPr>
          <w:rFonts w:eastAsia="Times New Roman"/>
          <w:highlight w:val="white"/>
        </w:rPr>
        <w:fldChar w:fldCharType="separate"/>
      </w:r>
      <w:r w:rsidR="0005429B" w:rsidRPr="0005429B">
        <w:rPr>
          <w:rFonts w:eastAsia="Times New Roman"/>
          <w:noProof/>
          <w:highlight w:val="white"/>
        </w:rPr>
        <w:t>[8,30]</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05429B">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"[31]", "plainTextFormattedCitation" : "[31]", "previouslyFormattedCitation" : "[31]" }, "properties" : {  }, "schema" : "https://github.com/citation-style-language/schema/raw/master/csl-citation.json" }</w:instrText>
      </w:r>
      <w:r w:rsidR="00E22669">
        <w:rPr>
          <w:rFonts w:eastAsia="Times New Roman"/>
          <w:highlight w:val="white"/>
        </w:rPr>
        <w:fldChar w:fldCharType="separate"/>
      </w:r>
      <w:r w:rsidR="0005429B" w:rsidRPr="0005429B">
        <w:rPr>
          <w:rFonts w:eastAsia="Times New Roman"/>
          <w:noProof/>
          <w:highlight w:val="white"/>
        </w:rPr>
        <w:t>[31]</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w:t>
      </w:r>
      <w:r w:rsidR="00E22669">
        <w:rPr>
          <w:rFonts w:eastAsia="Times New Roman"/>
          <w:highlight w:val="white"/>
        </w:rPr>
        <w:lastRenderedPageBreak/>
        <w:t xml:space="preserve">transcriptional features </w:t>
      </w:r>
      <w:r w:rsidR="00E22669">
        <w:rPr>
          <w:rFonts w:eastAsia="Times New Roman"/>
          <w:highlight w:val="white"/>
        </w:rPr>
        <w:fldChar w:fldCharType="begin" w:fldLock="1"/>
      </w:r>
      <w:r w:rsidR="0005429B">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"[32\u201334]", "plainTextFormattedCitation" : "[32\u201334]", "previouslyFormattedCitation" : "[32\u201334]" }, "properties" : {  }, "schema" : "https://github.com/citation-style-language/schema/raw/master/csl-citation.json" }</w:instrText>
      </w:r>
      <w:r w:rsidR="00E22669">
        <w:rPr>
          <w:rFonts w:eastAsia="Times New Roman"/>
          <w:highlight w:val="white"/>
        </w:rPr>
        <w:fldChar w:fldCharType="separate"/>
      </w:r>
      <w:r w:rsidR="0005429B" w:rsidRPr="0005429B">
        <w:rPr>
          <w:rFonts w:eastAsia="Times New Roman"/>
          <w:noProof/>
          <w:highlight w:val="white"/>
        </w:rPr>
        <w:t>[32–34]</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05429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"[35\u201337]", "manualFormatting" : " [34\u201336]", "plainTextFormattedCitation" : "[35\u201337]", "previouslyFormattedCitation" : "[35\u201337]"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 xml:space="preserve">tion. Below, we show that our re-assemblies had higher evaluation metrics, contained most of the NCGR </w:t>
      </w:r>
      <w:proofErr w:type="spellStart"/>
      <w:r>
        <w:rPr>
          <w:rFonts w:eastAsia="Times New Roman"/>
          <w:highlight w:val="white"/>
        </w:rPr>
        <w:t>contigs</w:t>
      </w:r>
      <w:proofErr w:type="spellEnd"/>
      <w:r>
        <w:rPr>
          <w:rFonts w:eastAsia="Times New Roman"/>
          <w:highlight w:val="white"/>
        </w:rPr>
        <w:t xml:space="preserve">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77EA98A1"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05429B">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"[38]", "plainTextFormattedCitation" : "[38]", "previouslyFormattedCitation" : "[38]" }, "properties" : {  }, "schema" : "https://github.com/citation-style-language/schema/raw/master/csl-citation.json" }</w:instrText>
      </w:r>
      <w:r>
        <w:rPr>
          <w:rFonts w:eastAsia="Times New Roman"/>
          <w:highlight w:val="white"/>
        </w:rPr>
        <w:fldChar w:fldCharType="separate"/>
      </w:r>
      <w:r w:rsidR="0005429B" w:rsidRPr="0005429B">
        <w:rPr>
          <w:rFonts w:eastAsia="Times New Roman"/>
          <w:noProof/>
          <w:highlight w:val="white"/>
        </w:rPr>
        <w:t>[38]</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05429B">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"[39]", "plainTextFormattedCitation" : "[39]", "previouslyFormattedCitation" : "[39]" }, "properties" : {  }, "schema" : "https://github.com/citation-style-language/schema/raw/master/csl-citation.json" }</w:instrText>
      </w:r>
      <w:r w:rsidR="00EF7822">
        <w:rPr>
          <w:rFonts w:eastAsia="Times New Roman"/>
        </w:rPr>
        <w:fldChar w:fldCharType="separate"/>
      </w:r>
      <w:r w:rsidR="0005429B" w:rsidRPr="0005429B">
        <w:rPr>
          <w:rFonts w:eastAsia="Times New Roman"/>
          <w:noProof/>
        </w:rPr>
        <w:t>[39]</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2E3E819" w:rsidR="00A73D29" w:rsidRDefault="00070010" w:rsidP="00AE16A8">
      <w:pPr>
        <w:pStyle w:val="Normal1"/>
        <w:outlineLvl w:val="0"/>
        <w:rPr>
          <w:rFonts w:eastAsia="Times New Roman"/>
        </w:rPr>
      </w:pPr>
      <w:r>
        <w:rPr>
          <w:rFonts w:eastAsia="Times New Roman"/>
        </w:rPr>
        <w:t xml:space="preserve">1. Download </w:t>
      </w:r>
      <w:r w:rsidR="001F127B">
        <w:rPr>
          <w:rFonts w:eastAsia="Times New Roman"/>
        </w:rPr>
        <w:t xml:space="preserve">raw </w:t>
      </w:r>
      <w:proofErr w:type="spellStart"/>
      <w:r w:rsidR="001F127B">
        <w:rPr>
          <w:rFonts w:eastAsia="Times New Roman"/>
        </w:rPr>
        <w:t>fastq</w:t>
      </w:r>
      <w:proofErr w:type="spellEnd"/>
      <w:r w:rsidR="001F127B">
        <w:rPr>
          <w:rFonts w:eastAsia="Times New Roman"/>
        </w:rPr>
        <w:t xml:space="preserve"> data</w:t>
      </w:r>
    </w:p>
    <w:p w14:paraId="4D7AE508" w14:textId="77777777" w:rsidR="00A73D29" w:rsidRDefault="00A73D29" w:rsidP="00AE16A8">
      <w:pPr>
        <w:pStyle w:val="Normal1"/>
        <w:rPr>
          <w:rFonts w:eastAsia="Times New Roman"/>
        </w:rPr>
      </w:pPr>
    </w:p>
    <w:p w14:paraId="7EB14F6D" w14:textId="22883449" w:rsidR="00A73D29" w:rsidRDefault="00070010" w:rsidP="00AE16A8">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05429B">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"[40]", "plainTextFormattedCitation" : "[40]", "previouslyFormattedCitation" : "[40]"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[40]</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bookmarkStart w:id="0" w:name="_GoBack"/>
      <w:bookmarkEnd w:id="0"/>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rsidP="00AE16A8">
      <w:pPr>
        <w:pStyle w:val="Normal1"/>
        <w:rPr>
          <w:rFonts w:eastAsia="Times New Roman"/>
        </w:rPr>
      </w:pPr>
    </w:p>
    <w:p w14:paraId="777D98E9" w14:textId="362A8923" w:rsidR="00F00C59" w:rsidRDefault="00F00C59" w:rsidP="00AE16A8">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w:t>
      </w:r>
      <w:r w:rsidR="00A82E5A">
        <w:rPr>
          <w:rFonts w:eastAsia="Times New Roman"/>
        </w:rPr>
        <w:t xml:space="preserve">of the MMETSP data set </w:t>
      </w:r>
      <w:r w:rsidR="009701B8">
        <w:rPr>
          <w:rFonts w:eastAsia="Times New Roman"/>
        </w:rPr>
        <w:t>[10]</w:t>
      </w:r>
      <w:r>
        <w:t xml:space="preserve">. </w:t>
      </w:r>
      <w:r w:rsidR="009A1D71">
        <w:t xml:space="preserve">These </w:t>
      </w:r>
      <w:r w:rsidR="009A1D71">
        <w:rPr>
          <w:rFonts w:eastAsia="Times New Roman"/>
        </w:rPr>
        <w:lastRenderedPageBreak/>
        <w:t>t</w:t>
      </w:r>
      <w:r>
        <w:rPr>
          <w:rFonts w:eastAsia="Times New Roman"/>
        </w:rPr>
        <w:t xml:space="preserve">ranscriptomes were 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00F759E6" w:rsidRPr="0096071E">
          <w:rPr>
            <w:rStyle w:val="Hyperlink"/>
            <w:rFonts w:eastAsia="Times New Roman"/>
          </w:rPr>
          <w:t>ftp://ftp.imicrobe.us/projects/104/</w:t>
        </w:r>
      </w:hyperlink>
      <w:r w:rsidR="00F759E6">
        <w:rPr>
          <w:rFonts w:eastAsia="Times New Roman"/>
        </w:rPr>
        <w:t xml:space="preserve"> </w:t>
      </w:r>
    </w:p>
    <w:p w14:paraId="7340FB89" w14:textId="77777777" w:rsidR="00A73D29" w:rsidRDefault="00A73D29" w:rsidP="00AE16A8">
      <w:pPr>
        <w:pStyle w:val="Normal1"/>
        <w:rPr>
          <w:rFonts w:eastAsia="Times New Roman"/>
        </w:rPr>
      </w:pPr>
    </w:p>
    <w:p w14:paraId="1EFEA930" w14:textId="240C84AD" w:rsidR="00A73D29" w:rsidRDefault="00070010" w:rsidP="00AE16A8">
      <w:pPr>
        <w:pStyle w:val="Normal1"/>
        <w:outlineLvl w:val="0"/>
        <w:rPr>
          <w:rFonts w:eastAsia="Times New Roman"/>
        </w:rPr>
      </w:pPr>
      <w:r>
        <w:rPr>
          <w:rFonts w:eastAsia="Times New Roman"/>
        </w:rPr>
        <w:t xml:space="preserve">2. </w:t>
      </w:r>
      <w:r w:rsidR="001F127B">
        <w:rPr>
          <w:rFonts w:eastAsia="Times New Roman"/>
        </w:rPr>
        <w:t>Quality assessment and trimming</w:t>
      </w:r>
    </w:p>
    <w:p w14:paraId="3354CA39" w14:textId="77777777" w:rsidR="009A1D71" w:rsidRDefault="009A1D71" w:rsidP="00AE16A8">
      <w:pPr>
        <w:pStyle w:val="Normal1"/>
        <w:rPr>
          <w:rFonts w:eastAsia="Times New Roman"/>
        </w:rPr>
      </w:pPr>
    </w:p>
    <w:p w14:paraId="73E9B7DA" w14:textId="54FC9FD7" w:rsidR="00743EE9" w:rsidRPr="00743EE9" w:rsidRDefault="003B724E" w:rsidP="00743EE9">
      <w:pPr>
        <w:rPr>
          <w:rFonts w:eastAsia="Times New Roman"/>
          <w:lang w:val="en-US"/>
        </w:rPr>
      </w:pPr>
      <w:r>
        <w:rPr>
          <w:rFonts w:eastAsia="Times New Roman"/>
        </w:rPr>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CA101D">
        <w:rPr>
          <w:rFonts w:eastAsia="Times New Roman"/>
        </w:rPr>
        <w:fldChar w:fldCharType="begin" w:fldLock="1"/>
      </w:r>
      <w:r w:rsidR="0005429B">
        <w:rPr>
          <w:rFonts w:eastAsia="Times New Roman"/>
        </w:rPr>
        <w:instrText>ADDIN CSL_CITATION { "citationItems" : [ { "id" : "ITEM-1", "itemData" : { "author" : [ { "dropping-particle" : "", "family" : "Andrews", "given" : "Simon", "non-dropping-particle" : "", "parse-names" : false, "suffix" : "" } ], "id" : "ITEM-1", "issued" : { "date-parts" : [ [ "2016" ] ] }, "title" : "FastQC: A quality control tool for high throughput sequence data.", "type" : "article" }, "uris" : [ "http://www.mendeley.com/documents/?uuid=41cd1497-b571-4e11-9e5a-b1a40cd04743" ] } ], "mendeley" : { "formattedCitation" : "[41]", "plainTextFormattedCitation" : "[41]", "previouslyFormattedCitation" : "[41]" }, "properties" : {  }, "schema" : "https://github.com/citation-style-language/schema/raw/master/csl-citation.json" }</w:instrText>
      </w:r>
      <w:r w:rsidR="00CA101D">
        <w:rPr>
          <w:rFonts w:eastAsia="Times New Roman"/>
        </w:rPr>
        <w:fldChar w:fldCharType="separate"/>
      </w:r>
      <w:r w:rsidR="0005429B" w:rsidRPr="0005429B">
        <w:rPr>
          <w:rFonts w:eastAsia="Times New Roman"/>
          <w:noProof/>
        </w:rPr>
        <w:t>[41]</w:t>
      </w:r>
      <w:r w:rsidR="00CA101D">
        <w:rPr>
          <w:rFonts w:eastAsia="Times New Roman"/>
        </w:rPr>
        <w:fldChar w:fldCharType="end"/>
      </w:r>
      <w:r w:rsidR="00CA101D">
        <w:rPr>
          <w:rFonts w:eastAsia="Times New Roman"/>
        </w:rPr>
        <w:t xml:space="preserve">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05429B">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"[42]", "plainTextFormattedCitation" : "[42]", "previouslyFormattedCitation" : "[42]"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[42]</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05429B">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"[43]", "plainTextFormattedCitation" : "[43]", "previouslyFormattedCitation" : "[43]" }, "properties" : {  }, "schema" : "https://github.com/citation-style-language/schema/raw/master/csl-citation.json" }</w:instrText>
      </w:r>
      <w:r w:rsidR="009A1D71">
        <w:rPr>
          <w:rFonts w:eastAsia="Times New Roman"/>
        </w:rPr>
        <w:fldChar w:fldCharType="separate"/>
      </w:r>
      <w:r w:rsidR="0005429B" w:rsidRPr="0005429B">
        <w:rPr>
          <w:rFonts w:eastAsia="Times New Roman"/>
          <w:noProof/>
        </w:rPr>
        <w:t>[43]</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754B8B22" w:rsidR="00A73D29" w:rsidRDefault="001F127B" w:rsidP="00EA1A63">
      <w:pPr>
        <w:pStyle w:val="Normal1"/>
        <w:outlineLvl w:val="0"/>
        <w:rPr>
          <w:rFonts w:eastAsia="Times New Roman"/>
        </w:rPr>
      </w:pPr>
      <w:r>
        <w:rPr>
          <w:rFonts w:eastAsia="Times New Roman"/>
        </w:rPr>
        <w:t>3.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497CB984"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xml:space="preserve">, </w:t>
      </w:r>
      <w:r w:rsidR="00794028">
        <w:rPr>
          <w:rFonts w:eastAsia="Times New Roman"/>
        </w:rPr>
        <w:t xml:space="preserve">the following processes were performed using the </w:t>
      </w:r>
      <w:proofErr w:type="spellStart"/>
      <w:r w:rsidR="00794028">
        <w:rPr>
          <w:rFonts w:eastAsia="Times New Roman"/>
        </w:rPr>
        <w:t>khmer</w:t>
      </w:r>
      <w:proofErr w:type="spellEnd"/>
      <w:r w:rsidR="00794028">
        <w:rPr>
          <w:rFonts w:eastAsia="Times New Roman"/>
        </w:rPr>
        <w:t xml:space="preserve"> software package (version 2.0) </w:t>
      </w:r>
      <w:r w:rsidR="00794028">
        <w:rPr>
          <w:rFonts w:eastAsia="Times New Roman"/>
        </w:rPr>
        <w:fldChar w:fldCharType="begin" w:fldLock="1"/>
      </w:r>
      <w:r w:rsidR="0005429B">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"[44]", "plainTextFormattedCitation" : "[44]", "previouslyFormattedCitation" : "[44]" }, "properties" : {  }, "schema" : "https://github.com/citation-style-language/schema/raw/master/csl-citation.json" }</w:instrText>
      </w:r>
      <w:r w:rsidR="00794028">
        <w:rPr>
          <w:rFonts w:eastAsia="Times New Roman"/>
        </w:rPr>
        <w:fldChar w:fldCharType="separate"/>
      </w:r>
      <w:r w:rsidR="0005429B" w:rsidRPr="0005429B">
        <w:rPr>
          <w:rFonts w:eastAsia="Times New Roman"/>
          <w:noProof/>
        </w:rPr>
        <w:t>[44]</w:t>
      </w:r>
      <w:r w:rsidR="00794028">
        <w:rPr>
          <w:rFonts w:eastAsia="Times New Roman"/>
        </w:rPr>
        <w:fldChar w:fldCharType="end"/>
      </w:r>
      <w:r w:rsidR="00794028">
        <w:rPr>
          <w:rFonts w:eastAsia="Times New Roman"/>
        </w:rPr>
        <w:t xml:space="preserve">: reads were interleaved, </w:t>
      </w:r>
      <w:r w:rsidR="00070010">
        <w:rPr>
          <w:rFonts w:eastAsia="Times New Roman"/>
        </w:rPr>
        <w:t xml:space="preserve">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30D60E9" w:rsidR="00A73D29" w:rsidRDefault="001F127B" w:rsidP="00EA1A63">
      <w:pPr>
        <w:pStyle w:val="Normal1"/>
        <w:outlineLvl w:val="0"/>
        <w:rPr>
          <w:rFonts w:eastAsia="Times New Roman"/>
        </w:rPr>
      </w:pPr>
      <w:r>
        <w:rPr>
          <w:rFonts w:eastAsia="Times New Roman"/>
        </w:rPr>
        <w:t>4. Assembly</w:t>
      </w:r>
    </w:p>
    <w:p w14:paraId="0B9D08CB" w14:textId="77777777" w:rsidR="009A1D71" w:rsidRDefault="009A1D71" w:rsidP="00EA1A63">
      <w:pPr>
        <w:pStyle w:val="Normal1"/>
        <w:rPr>
          <w:rFonts w:eastAsia="Times New Roman"/>
        </w:rPr>
      </w:pPr>
    </w:p>
    <w:p w14:paraId="649C7D22" w14:textId="0E55B552"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F74D89">
        <w:rPr>
          <w:rFonts w:eastAsia="Times New Roman"/>
        </w:rPr>
        <w:t xml:space="preserve"> </w:t>
      </w:r>
      <w:r w:rsidR="00F74D89">
        <w:rPr>
          <w:rFonts w:eastAsia="Times New Roman"/>
        </w:rPr>
        <w:fldChar w:fldCharType="begin" w:fldLock="1"/>
      </w:r>
      <w:r w:rsidR="00F74D89">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F74D89">
        <w:rPr>
          <w:rFonts w:eastAsia="Times New Roman"/>
        </w:rPr>
        <w:fldChar w:fldCharType="separate"/>
      </w:r>
      <w:r w:rsidR="00F74D89" w:rsidRPr="00F74D89">
        <w:rPr>
          <w:rFonts w:eastAsia="Times New Roman"/>
          <w:noProof/>
        </w:rPr>
        <w:t>[18]</w:t>
      </w:r>
      <w:r w:rsidR="00F74D89">
        <w:rPr>
          <w:rFonts w:eastAsia="Times New Roman"/>
        </w:rPr>
        <w:fldChar w:fldCharType="end"/>
      </w:r>
      <w:r w:rsidR="009A1D71">
        <w:rPr>
          <w:rFonts w:eastAsia="Times New Roman"/>
        </w:rPr>
        <w:t>.</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Default="009A1D71" w:rsidP="00EA1A63">
      <w:pPr>
        <w:pStyle w:val="Normal1"/>
        <w:rPr>
          <w:rFonts w:eastAsia="Times New Roman"/>
          <w:i/>
        </w:rPr>
      </w:pPr>
    </w:p>
    <w:p w14:paraId="62DCEF33" w14:textId="43DE9939" w:rsidR="00A73D29" w:rsidRPr="00955CA9" w:rsidRDefault="00070010" w:rsidP="00680FDC">
      <w:pPr>
        <w:rPr>
          <w:rFonts w:eastAsia="Times New Roman"/>
          <w:color w:val="000000" w:themeColor="text1"/>
          <w:lang w:val="en-US"/>
        </w:rPr>
      </w:pPr>
      <w:r>
        <w:rPr>
          <w:rFonts w:eastAsia="Times New Roman"/>
        </w:rPr>
        <w:t>Transcriptomes were annotated using the dammit pipeline</w:t>
      </w:r>
      <w:r w:rsidR="00CA101D">
        <w:rPr>
          <w:rFonts w:eastAsia="Times New Roman"/>
        </w:rPr>
        <w:t xml:space="preserve"> </w:t>
      </w:r>
      <w:r w:rsidR="00CA101D">
        <w:rPr>
          <w:rFonts w:eastAsia="Times New Roman"/>
        </w:rPr>
        <w:fldChar w:fldCharType="begin" w:fldLock="1"/>
      </w:r>
      <w:r w:rsidR="0005429B">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"[45]", "plainTextFormattedCitation" : "[45]", "previouslyFormattedCitation" : "[45]" }, "properties" : {  }, "schema" : "https://github.com/citation-style-language/schema/raw/master/csl-citation.json" }</w:instrText>
      </w:r>
      <w:r w:rsidR="00CA101D">
        <w:rPr>
          <w:rFonts w:eastAsia="Times New Roman"/>
        </w:rPr>
        <w:fldChar w:fldCharType="separate"/>
      </w:r>
      <w:r w:rsidR="0005429B" w:rsidRPr="0005429B">
        <w:rPr>
          <w:rFonts w:eastAsia="Times New Roman"/>
          <w:noProof/>
        </w:rPr>
        <w:t>[45]</w:t>
      </w:r>
      <w:r w:rsidR="00CA101D">
        <w:rPr>
          <w:rFonts w:eastAsia="Times New Roman"/>
        </w:rPr>
        <w:fldChar w:fldCharType="end"/>
      </w:r>
      <w:r>
        <w:rPr>
          <w:rFonts w:eastAsia="Times New Roman"/>
        </w:rPr>
        <w:t xml:space="preserve">,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05429B">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[46]</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05429B">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[47]</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05429B">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[48]</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75D1ADB2"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05429B">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[49]</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05429B">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[49]</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05429B">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[50]</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 xml:space="preserve">assembly as the reference and the NCGR assembly as the query. </w:t>
      </w:r>
    </w:p>
    <w:p w14:paraId="2A0E6D71" w14:textId="77777777" w:rsidR="00A73D29" w:rsidRDefault="00A73D29" w:rsidP="00EA1A63">
      <w:pPr>
        <w:pStyle w:val="Normal1"/>
        <w:rPr>
          <w:rFonts w:eastAsia="Times New Roman"/>
        </w:rPr>
      </w:pPr>
    </w:p>
    <w:p w14:paraId="06895ED2" w14:textId="479E8267" w:rsidR="00A73D29" w:rsidRDefault="00DB41C3" w:rsidP="00EA1A63">
      <w:pPr>
        <w:pStyle w:val="Normal1"/>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05429B">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"[51]", "plainTextFormattedCitation" : "[51]", "previouslyFormattedCitation" : "[51]"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[51]</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6CAD0091"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5429B">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"id" : "ITEM-2",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"ITEM-2", "issued" : { "date-parts" : [ [ "2015" ] ] }, "page" : "900", "title" : "The khmer software package: enabling efficient nucleotide sequence analysis.", "type" : "article-journal", "volume" : "4" }, "uris" : [ "http://www.mendeley.com/documents/?uuid=9b98fa12-00e8-4942-a578-276a1bcd9ff7" ] } ], "mendeley" : { "formattedCitation" : "[44,52]", "plainTextFormattedCitation" : "[44,52]", "previouslyFormattedCitation" : "[44,52]" }, "properties" : {  }, "schema" : "https://github.com/citation-style-language/schema/raw/master/csl-citation.json" }</w:instrText>
      </w:r>
      <w:r w:rsidR="00043BE2">
        <w:rPr>
          <w:rFonts w:eastAsia="Times New Roman"/>
        </w:rPr>
        <w:fldChar w:fldCharType="separate"/>
      </w:r>
      <w:r w:rsidR="0005429B" w:rsidRPr="0005429B">
        <w:rPr>
          <w:rFonts w:eastAsia="Times New Roman"/>
          <w:noProof/>
        </w:rPr>
        <w:t>[44,52]</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05429B">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"[45]", "plainTextFormattedCitation" : "[45]", "previouslyFormattedCitation" : "[45]" }, "properties" : {  }, "schema" : "https://github.com/citation-style-language/schema/raw/master/csl-citation.json" }</w:instrText>
      </w:r>
      <w:r w:rsidR="00635AC7">
        <w:rPr>
          <w:rFonts w:eastAsia="Times New Roman"/>
        </w:rPr>
        <w:fldChar w:fldCharType="separate"/>
      </w:r>
      <w:r w:rsidR="0005429B" w:rsidRPr="0005429B">
        <w:rPr>
          <w:rFonts w:eastAsia="Times New Roman"/>
          <w:noProof/>
        </w:rPr>
        <w:t>[45]</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7C5E94EE" w14:textId="77777777" w:rsidR="00794028" w:rsidRDefault="00437816" w:rsidP="00EA1A63">
      <w:pPr>
        <w:pStyle w:val="Normal1"/>
        <w:rPr>
          <w:rFonts w:eastAsia="Times New Roman"/>
          <w:color w:val="000000" w:themeColor="text1"/>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w:t>
      </w:r>
    </w:p>
    <w:p w14:paraId="1D8C97B9" w14:textId="77777777" w:rsidR="00794028" w:rsidRDefault="00794028" w:rsidP="00EA1A63">
      <w:pPr>
        <w:pStyle w:val="Normal1"/>
        <w:rPr>
          <w:rFonts w:eastAsia="Times New Roman"/>
          <w:color w:val="000000" w:themeColor="text1"/>
        </w:rPr>
      </w:pPr>
    </w:p>
    <w:p w14:paraId="5782966B" w14:textId="538457E2" w:rsidR="00437816" w:rsidRDefault="00E1740D" w:rsidP="00EA1A63">
      <w:pPr>
        <w:pStyle w:val="Normal1"/>
        <w:rPr>
          <w:rFonts w:eastAsia="Times New Roman"/>
        </w:rPr>
      </w:pPr>
      <w:r w:rsidRPr="00E1740D">
        <w:rPr>
          <w:rFonts w:eastAsia="Times New Roman"/>
          <w:color w:val="000000" w:themeColor="text1"/>
        </w:rPr>
        <w:t xml:space="preserve">Averages are reported </w:t>
      </w:r>
      <w:r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CC54732"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05429B">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"[53]", "plainTextFormattedCitation" : "[53]", "previouslyFormattedCitation" : "[53]" }, "properties" : {  }, "schema" : "https://github.com/citation-style-language/schema/raw/master/csl-citation.json" }</w:instrText>
      </w:r>
      <w:r w:rsidR="00ED1B1B">
        <w:rPr>
          <w:rFonts w:eastAsia="Times New Roman"/>
        </w:rPr>
        <w:fldChar w:fldCharType="separate"/>
      </w:r>
      <w:r w:rsidR="0005429B" w:rsidRPr="0005429B">
        <w:rPr>
          <w:rFonts w:eastAsia="Times New Roman"/>
          <w:noProof/>
        </w:rPr>
        <w:t>[53]</w:t>
      </w:r>
      <w:r w:rsidR="00ED1B1B">
        <w:rPr>
          <w:rFonts w:eastAsia="Times New Roman"/>
        </w:rPr>
        <w:fldChar w:fldCharType="end"/>
      </w:r>
      <w:r w:rsidR="0083160D">
        <w:rPr>
          <w:rFonts w:eastAsia="Times New Roman"/>
        </w:rPr>
        <w:t>.</w:t>
      </w:r>
      <w:r w:rsidR="00C060BD">
        <w:rPr>
          <w:rFonts w:eastAsia="Times New Roman"/>
        </w:rPr>
        <w:t xml:space="preserve"> </w:t>
      </w:r>
      <w:r w:rsidR="00854433">
        <w:rPr>
          <w:rFonts w:eastAsia="Times New Roman"/>
        </w:rPr>
        <w:t>Annotations</w:t>
      </w:r>
      <w:r w:rsidR="00231CF0">
        <w:rPr>
          <w:rFonts w:eastAsia="Times New Roman"/>
        </w:rPr>
        <w:t xml:space="preserve"> and additional files</w:t>
      </w:r>
      <w:r w:rsidR="00854433">
        <w:rPr>
          <w:rFonts w:eastAsia="Times New Roman"/>
        </w:rPr>
        <w:t xml:space="preserve"> </w:t>
      </w:r>
      <w:r w:rsidR="00D67FB4">
        <w:rPr>
          <w:rFonts w:eastAsia="Times New Roman"/>
        </w:rPr>
        <w:t xml:space="preserve">were uploaded to </w:t>
      </w:r>
      <w:proofErr w:type="spellStart"/>
      <w:r w:rsidR="00D67FB4">
        <w:rPr>
          <w:rFonts w:eastAsia="Times New Roman"/>
        </w:rPr>
        <w:t>zenodo</w:t>
      </w:r>
      <w:proofErr w:type="spellEnd"/>
      <w:r w:rsidR="00D67FB4">
        <w:rPr>
          <w:rFonts w:eastAsia="Times New Roman"/>
        </w:rPr>
        <w:t xml:space="preserve"> and </w:t>
      </w:r>
      <w:r w:rsidR="00854433">
        <w:rPr>
          <w:rFonts w:eastAsia="Times New Roman"/>
        </w:rPr>
        <w:t xml:space="preserve">are available </w:t>
      </w:r>
      <w:r w:rsidR="00D67FB4">
        <w:rPr>
          <w:rFonts w:eastAsia="Times New Roman"/>
        </w:rPr>
        <w:t xml:space="preserve">for download </w:t>
      </w:r>
      <w:r w:rsidR="00D67FB4">
        <w:rPr>
          <w:rFonts w:eastAsia="Times New Roman"/>
        </w:rPr>
        <w:fldChar w:fldCharType="begin" w:fldLock="1"/>
      </w:r>
      <w:r w:rsidR="0005429B">
        <w:rPr>
          <w:rFonts w:eastAsia="Times New Roman"/>
        </w:rPr>
        <w:instrText>ADDIN CSL_CITATION { "citationItems" : [ { "id" : "ITEM-1", "itemData" : { "DOI" : "10.5281/ZENODO.257410",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"ITEM-1", "issued" : { "date-parts" : [ [ "2017", "1", "23" ] ] }, "title" : "(all datasets) MMETSP re-assemblies", "type" : "article-journal" }, "uris" : [ "http://www.mendeley.com/documents/?uuid=9524ec51-8bc2-33bd-90bb-3b4d32ede27f" ] } ], "mendeley" : { "formattedCitation" : "[54]", "plainTextFormattedCitation" : "[54]", "previouslyFormattedCitation" : "[54]" }, "properties" : {  }, "schema" : "https://github.com/citation-style-language/schema/raw/master/csl-citation.json" }</w:instrText>
      </w:r>
      <w:r w:rsidR="00D67FB4">
        <w:rPr>
          <w:rFonts w:eastAsia="Times New Roman"/>
        </w:rPr>
        <w:fldChar w:fldCharType="separate"/>
      </w:r>
      <w:r w:rsidR="0005429B" w:rsidRPr="0005429B">
        <w:rPr>
          <w:rFonts w:eastAsia="Times New Roman"/>
          <w:noProof/>
        </w:rPr>
        <w:t>[54]</w:t>
      </w:r>
      <w:r w:rsidR="00D67FB4">
        <w:rPr>
          <w:rFonts w:eastAsia="Times New Roman"/>
        </w:rPr>
        <w:fldChar w:fldCharType="end"/>
      </w:r>
      <w:r w:rsidR="00854433">
        <w:rPr>
          <w:rFonts w:eastAsia="Times New Roman"/>
        </w:rPr>
        <w:t xml:space="preserve">. </w:t>
      </w:r>
    </w:p>
    <w:p w14:paraId="64A161DA" w14:textId="77777777" w:rsidR="005B41F9" w:rsidRDefault="005B41F9" w:rsidP="00EA1A63">
      <w:pPr>
        <w:pStyle w:val="Normal1"/>
        <w:rPr>
          <w:rFonts w:eastAsia="Times New Roman"/>
          <w:b/>
        </w:rPr>
      </w:pPr>
    </w:p>
    <w:p w14:paraId="1C0AFFB7" w14:textId="4CC8B9F9" w:rsidR="007F417C" w:rsidRDefault="00464C16" w:rsidP="00EA1A63">
      <w:pPr>
        <w:pStyle w:val="Normal1"/>
        <w:outlineLvl w:val="0"/>
        <w:rPr>
          <w:rFonts w:eastAsia="Times New Roman"/>
          <w:b/>
        </w:rPr>
      </w:pPr>
      <w:r>
        <w:rPr>
          <w:rFonts w:eastAsia="Times New Roman"/>
          <w:b/>
        </w:rPr>
        <w:t xml:space="preserve">The </w:t>
      </w:r>
      <w:r w:rsidR="00D46C72">
        <w:rPr>
          <w:rFonts w:eastAsia="Times New Roman"/>
          <w:b/>
        </w:rPr>
        <w:t>DIB re-</w:t>
      </w:r>
      <w:r w:rsidR="007F417C">
        <w:rPr>
          <w:rFonts w:eastAsia="Times New Roman"/>
          <w:b/>
        </w:rPr>
        <w:t>assemblies consistently ranked higher in evaluation metrics.</w:t>
      </w:r>
    </w:p>
    <w:p w14:paraId="526C155B" w14:textId="77777777" w:rsidR="007F417C" w:rsidRPr="007F417C" w:rsidRDefault="007F417C" w:rsidP="00EA1A63">
      <w:pPr>
        <w:pStyle w:val="Normal1"/>
        <w:rPr>
          <w:rFonts w:eastAsia="Times New Roman"/>
          <w:b/>
        </w:rPr>
      </w:pPr>
    </w:p>
    <w:p w14:paraId="1E33DD50" w14:textId="7A54D7E5"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Pr>
          <w:rFonts w:eastAsia="Times New Roman"/>
        </w:rPr>
        <w:t>).</w:t>
      </w:r>
    </w:p>
    <w:p w14:paraId="46ACBDD8" w14:textId="77777777" w:rsidR="00D17157" w:rsidRDefault="00D17157" w:rsidP="00EA1A63">
      <w:pPr>
        <w:pStyle w:val="Normal1"/>
        <w:widowControl w:val="0"/>
        <w:spacing w:line="240" w:lineRule="auto"/>
      </w:pPr>
    </w:p>
    <w:p w14:paraId="38E7DF43" w14:textId="2307D64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Pr>
          <w:rFonts w:eastAsia="Times New Roman"/>
        </w:rPr>
        <w:t>DIB re-</w:t>
      </w:r>
      <w:r w:rsidR="0086471E">
        <w:rPr>
          <w:rFonts w:eastAsia="Times New Roman"/>
        </w:rPr>
        <w:t>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EA1A63">
        <w:rPr>
          <w:rFonts w:eastAsia="Times New Roman"/>
        </w:rPr>
        <w:t xml:space="preserve">represents the overall quality of the assembly,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Pr>
          <w:rFonts w:eastAsia="Times New Roman"/>
        </w:rPr>
        <w:t>for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t</w:t>
      </w:r>
      <w:proofErr w:type="spellStart"/>
      <w:r>
        <w:rPr>
          <w:rFonts w:eastAsia="Times New Roman"/>
        </w:rPr>
        <w:t>han</w:t>
      </w:r>
      <w:proofErr w:type="spellEnd"/>
      <w:r>
        <w:rPr>
          <w:rFonts w:eastAsia="Times New Roman"/>
        </w:rPr>
        <w:t xml:space="preserve"> the 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8A0A3B3" w:rsidR="00CF782D" w:rsidRPr="00CF782D" w:rsidRDefault="00CF782D" w:rsidP="00F75262">
      <w:pPr>
        <w:outlineLvl w:val="0"/>
        <w:rPr>
          <w:rFonts w:ascii="Times" w:eastAsia="Times New Roman" w:hAnsi="Times"/>
          <w:b/>
          <w:sz w:val="20"/>
          <w:szCs w:val="20"/>
          <w:lang w:val="en-US"/>
        </w:rPr>
      </w:pPr>
      <w:r>
        <w:rPr>
          <w:rFonts w:eastAsia="Times New Roman"/>
          <w:b/>
        </w:rPr>
        <w:lastRenderedPageBreak/>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EA1A63">
      <w:pPr>
        <w:pStyle w:val="Normal1"/>
        <w:rPr>
          <w:rFonts w:eastAsia="Times New Roman"/>
        </w:rPr>
      </w:pPr>
    </w:p>
    <w:p w14:paraId="46A37018" w14:textId="6DBD9251"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7C093893"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proofErr w:type="gramStart"/>
      <w:r w:rsidR="00C76FC9">
        <w:rPr>
          <w:rFonts w:eastAsia="Times New Roman"/>
        </w:rPr>
        <w:t>A</w:t>
      </w:r>
      <w:r w:rsidR="00DA7F6C">
        <w:rPr>
          <w:rFonts w:eastAsia="Times New Roman"/>
        </w:rPr>
        <w:t>,B</w:t>
      </w:r>
      <w:proofErr w:type="gramEnd"/>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proofErr w:type="spellStart"/>
      <w:r w:rsidR="00E307F5">
        <w:rPr>
          <w:rFonts w:eastAsia="Times New Roman"/>
        </w:rPr>
        <w:t>protistan</w:t>
      </w:r>
      <w:proofErr w:type="spellEnd"/>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proofErr w:type="spellStart"/>
      <w:r w:rsidR="00070010">
        <w:rPr>
          <w:rFonts w:eastAsia="Times New Roman"/>
        </w:rPr>
        <w:t>were</w:t>
      </w:r>
      <w:proofErr w:type="spellEnd"/>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DA7F6C">
        <w:rPr>
          <w:rFonts w:eastAsia="Times New Roman"/>
        </w:rPr>
        <w:t>C,D</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07E2FECA"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w:t>
      </w:r>
      <w:r w:rsidR="00DA7F6C">
        <w:rPr>
          <w:rFonts w:eastAsia="Times New Roman"/>
        </w:rPr>
        <w:t xml:space="preserve"> </w:t>
      </w:r>
      <w:r w:rsidR="00DA7F6C">
        <w:rPr>
          <w:rFonts w:eastAsia="Times New Roman"/>
        </w:rPr>
        <w:fldChar w:fldCharType="begin" w:fldLock="1"/>
      </w:r>
      <w:r w:rsidR="0005429B">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"[45]", "plainTextFormattedCitation" : "[45]", "previouslyFormattedCitation" : "[45]" }, "properties" : {  }, "schema" : "https://github.com/citation-style-language/schema/raw/master/csl-citation.json" }</w:instrText>
      </w:r>
      <w:r w:rsidR="00DA7F6C">
        <w:rPr>
          <w:rFonts w:eastAsia="Times New Roman"/>
        </w:rPr>
        <w:fldChar w:fldCharType="separate"/>
      </w:r>
      <w:r w:rsidR="0005429B" w:rsidRPr="0005429B">
        <w:rPr>
          <w:rFonts w:eastAsia="Times New Roman"/>
          <w:noProof/>
        </w:rPr>
        <w:t>[45]</w:t>
      </w:r>
      <w:r w:rsidR="00DA7F6C">
        <w:rPr>
          <w:rFonts w:eastAsia="Times New Roman"/>
        </w:rPr>
        <w:fldChar w:fldCharType="end"/>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9635BE">
        <w:rPr>
          <w:rFonts w:eastAsia="Times New Roman"/>
          <w:shd w:val="clear" w:color="auto" w:fill="FFFFFF"/>
          <w:lang w:val="en-US"/>
        </w:rPr>
        <w:t>a negative</w:t>
      </w:r>
      <w:r w:rsidR="00BF0221">
        <w:rPr>
          <w:rFonts w:eastAsia="Times New Roman"/>
          <w:shd w:val="clear" w:color="auto" w:fill="FFFFFF"/>
          <w:lang w:val="en-US"/>
        </w:rPr>
        <w:t xml:space="preserv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lastRenderedPageBreak/>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07B8A621" w:rsidR="00F404E2" w:rsidRDefault="00F404E2" w:rsidP="00F404E2">
      <w:pPr>
        <w:pStyle w:val="Normal10"/>
        <w:rPr>
          <w:rFonts w:eastAsia="Times New Roman"/>
        </w:rPr>
      </w:pPr>
      <w:r>
        <w:rPr>
          <w:rFonts w:eastAsia="Times New Roman"/>
        </w:rPr>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Pr>
          <w:rFonts w:eastAsia="Times New Roman"/>
        </w:rPr>
        <w:t>) that are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proofErr w:type="spellStart"/>
      <w:r w:rsidR="006830E5">
        <w:rPr>
          <w:rFonts w:eastAsia="Times New Roman"/>
        </w:rPr>
        <w:t>contigs</w:t>
      </w:r>
      <w:proofErr w:type="spellEnd"/>
      <w:r w:rsidR="006830E5">
        <w:rPr>
          <w:rFonts w:eastAsia="Times New Roman"/>
        </w:rPr>
        <w:t xml:space="preserve"> identified as novel</w:t>
      </w:r>
      <w:r w:rsidR="00C91514">
        <w:rPr>
          <w:rFonts w:eastAsia="Times New Roman"/>
        </w:rPr>
        <w:t xml:space="preserve"> 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345D04F4"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w:t>
      </w:r>
      <w:r w:rsidR="008A731A">
        <w:rPr>
          <w:rFonts w:eastAsia="Times New Roman"/>
        </w:rPr>
        <w:t>number of input reads (Figure 8</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8A731A">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A82E5A">
        <w:rPr>
          <w:rFonts w:eastAsia="Times New Roman"/>
        </w:rPr>
        <w:t>(Figure 8</w:t>
      </w:r>
      <w:r w:rsidR="00437816">
        <w:rPr>
          <w:rFonts w:eastAsia="Times New Roman"/>
        </w:rPr>
        <w:t>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0"/>
        <w:outlineLvl w:val="0"/>
        <w:rPr>
          <w:rFonts w:eastAsia="Times New Roman"/>
          <w:b/>
        </w:rPr>
      </w:pPr>
      <w:r>
        <w:rPr>
          <w:rFonts w:eastAsia="Times New Roman"/>
          <w:b/>
        </w:rPr>
        <w:t>Discussion</w:t>
      </w:r>
    </w:p>
    <w:p w14:paraId="514FCDE0" w14:textId="77777777" w:rsidR="00EA1A63" w:rsidRPr="003E077B" w:rsidRDefault="00EA1A63" w:rsidP="00EA1A63">
      <w:pPr>
        <w:pStyle w:val="Normal10"/>
        <w:outlineLvl w:val="0"/>
        <w:rPr>
          <w:rFonts w:eastAsia="Times New Roman"/>
          <w:b/>
        </w:rPr>
      </w:pPr>
    </w:p>
    <w:p w14:paraId="2446BA2C" w14:textId="7B9A43FE" w:rsidR="00F26596" w:rsidRPr="00EA1A63" w:rsidRDefault="00D46C72" w:rsidP="00F75262">
      <w:pPr>
        <w:pStyle w:val="Normal10"/>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4974FC">
      <w:pPr>
        <w:pStyle w:val="Normal10"/>
        <w:rPr>
          <w:rFonts w:eastAsia="Times New Roman"/>
        </w:rPr>
      </w:pPr>
    </w:p>
    <w:p w14:paraId="26A84570" w14:textId="70CFFE34"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Pr="00EA1A63" w:rsidRDefault="00F26596" w:rsidP="00F75262">
      <w:pPr>
        <w:pStyle w:val="Normal10"/>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0"/>
        <w:rPr>
          <w:rFonts w:eastAsia="Times New Roman"/>
        </w:rPr>
      </w:pPr>
    </w:p>
    <w:p w14:paraId="1D7F1E82" w14:textId="6DF19197" w:rsidR="000321C5" w:rsidRDefault="004974FC" w:rsidP="00F26596">
      <w:pPr>
        <w:pStyle w:val="Normal10"/>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w:t>
      </w:r>
      <w:r w:rsidR="00D46C72">
        <w:rPr>
          <w:rFonts w:eastAsia="Times New Roman"/>
        </w:rPr>
        <w:t>DIB re-</w:t>
      </w:r>
      <w:r>
        <w:rPr>
          <w:rFonts w:eastAsia="Times New Roman"/>
        </w:rPr>
        <w:t xml:space="preserve">assemblies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w:t>
      </w:r>
      <w:r w:rsidR="00D46C72">
        <w:rPr>
          <w:rFonts w:eastAsia="Times New Roman"/>
        </w:rPr>
        <w:lastRenderedPageBreak/>
        <w:t>DIB re-</w:t>
      </w:r>
      <w:r>
        <w:rPr>
          <w:rFonts w:eastAsia="Times New Roman"/>
        </w:rPr>
        <w:t xml:space="preserve">assemblies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7B006C">
        <w:rPr>
          <w:rFonts w:eastAsia="Times New Roman"/>
        </w:rPr>
        <w:t>.</w:t>
      </w:r>
    </w:p>
    <w:p w14:paraId="44025FB6" w14:textId="77777777" w:rsidR="0082263D" w:rsidRDefault="0082263D" w:rsidP="00C46EE8">
      <w:pPr>
        <w:pStyle w:val="Normal10"/>
        <w:rPr>
          <w:rFonts w:eastAsia="Times New Roman"/>
        </w:rPr>
      </w:pPr>
    </w:p>
    <w:p w14:paraId="32112555" w14:textId="556637DB" w:rsidR="00DD73B2" w:rsidRDefault="00422F41" w:rsidP="00C46EE8">
      <w:pPr>
        <w:pStyle w:val="Normal10"/>
        <w:rPr>
          <w:rFonts w:eastAsia="Times New Roman"/>
        </w:rPr>
      </w:pPr>
      <w:r>
        <w:rPr>
          <w:rFonts w:eastAsia="Times New Roman"/>
        </w:rPr>
        <w:t xml:space="preserve">“Final” reference assemblies are approximations of the full set of transcripts in the transcriptome, since </w:t>
      </w:r>
      <w:proofErr w:type="spellStart"/>
      <w:r>
        <w:rPr>
          <w:rFonts w:eastAsia="Times New Roman"/>
        </w:rPr>
        <w:t>c</w:t>
      </w:r>
      <w:r w:rsidR="00D51A4B">
        <w:rPr>
          <w:rFonts w:eastAsia="Times New Roman"/>
        </w:rPr>
        <w:t>ontigs</w:t>
      </w:r>
      <w:proofErr w:type="spellEnd"/>
      <w:r w:rsidR="00C46EE8">
        <w:rPr>
          <w:rFonts w:eastAsia="Times New Roman"/>
        </w:rPr>
        <w:t xml:space="preserve"> are </w:t>
      </w:r>
      <w:r w:rsidR="0082263D">
        <w:rPr>
          <w:rFonts w:eastAsia="Times New Roman"/>
        </w:rPr>
        <w:t xml:space="preserve">probabilistic predictions </w:t>
      </w:r>
      <w:r w:rsidR="00C46EE8">
        <w:rPr>
          <w:rFonts w:eastAsia="Times New Roman"/>
        </w:rPr>
        <w:t>made by the 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05429B">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"id" : "ITEM-2", "itemData" : { "DOI" : "10.1186/1471-2164-14-465", "ISSN" : "1471-2164", "abstract" : "Transcriptome sequencing and assembly represent a great resource for the study of non-model species, and many metrics have been used to evaluate and compare these assemblies. Unfortunately, it is still unclear which of these metrics accurately reflect assembly quality. We simulated sequencing transcripts of Drosophila melanogaster. By assembling these simulated reads using both a \u201cperfect\u201d and a modern transcriptome assembler while varying read length and sequencing depth, we evaluated quality metrics to determine whether they 1) revealed perfect assemblies to be of higher quality, and 2) revealed perfect assemblies to be more complete as data quantity increased. Several commonly used metrics were not consistent with these expectations, including average contig coverage and length, though they became consistent when singletons were included in the analysis. We found several annotation-based metrics to be consistent and informative, including contig reciprocal best hit count and contig unique annotation count. Finally, we evaluated a number of novel metrics such as reverse annotation count, contig collapse factor, and the ortholog hit ratio, discovering that each assess assembly quality in unique ways. Although much attention has been given to transcriptome assembly, little research has focused on determining how best to evaluate assemblies, particularly in light of the variety of options available for read length and sequencing depth. Our results provide an important review of these metrics and give researchers tools to produce the highest quality transcriptome assemblies.", "author" : [ { "dropping-particle" : "", "family" : "O\u2019Neil", "given" : "Shawn T", "non-dropping-particle" : "", "parse-names" : false, "suffix" : "" }, { "dropping-particle" : "", "family" : "Emrich", "given" : "Scott J", "non-dropping-particle" : "", "parse-names" : false, "suffix" : "" } ], "container-title" : "BMC Genomics", "id" : "ITEM-2", "issue" : "1", "issued" : { "date-parts" : [ [ "2013", "7", "9" ] ] }, "page" : "465", "publisher" : "BioMed Central", "title" : "Assessing De Novo transcriptome assembly metrics for consistency and utility", "type" : "article-journal", "volume" : "14" }, "uris" : [ "http://www.mendeley.com/documents/?uuid=c0cb4b54-86e9-3a27-895f-301d3a528ee2" ] } ], "mendeley" : { "formattedCitation" : "[55,56]", "plainTextFormattedCitation" : "[55,56]", "previouslyFormattedCitation" : "[55,56]" }, "properties" : {  }, "schema" : "https://github.com/citation-style-language/schema/raw/master/csl-citation.json" }</w:instrText>
      </w:r>
      <w:r w:rsidR="00193372">
        <w:rPr>
          <w:rFonts w:eastAsia="Times New Roman"/>
        </w:rPr>
        <w:fldChar w:fldCharType="separate"/>
      </w:r>
      <w:r w:rsidR="0005429B" w:rsidRPr="0005429B">
        <w:rPr>
          <w:rFonts w:eastAsia="Times New Roman"/>
          <w:noProof/>
        </w:rPr>
        <w:t>[55,56]</w:t>
      </w:r>
      <w:r w:rsidR="00193372">
        <w:rPr>
          <w:rFonts w:eastAsia="Times New Roman"/>
        </w:rPr>
        <w:fldChar w:fldCharType="end"/>
      </w:r>
      <w:r w:rsidR="00700172">
        <w:rPr>
          <w:rFonts w:eastAsia="Times New Roman"/>
        </w:rPr>
        <w:t>.</w:t>
      </w:r>
      <w:r w:rsidR="00D51A4B">
        <w:rPr>
          <w:rFonts w:eastAsia="Times New Roman"/>
        </w:rPr>
        <w:t xml:space="preserve"> </w:t>
      </w:r>
      <w:r w:rsidR="007624DD">
        <w:rPr>
          <w:rFonts w:eastAsia="Times New Roman"/>
        </w:rPr>
        <w:t xml:space="preserve">This study </w:t>
      </w:r>
      <w:r>
        <w:rPr>
          <w:rFonts w:eastAsia="Times New Roman"/>
        </w:rPr>
        <w:t>reinforces</w:t>
      </w:r>
      <w:r w:rsidR="0041342C">
        <w:rPr>
          <w:rFonts w:eastAsia="Times New Roman"/>
        </w:rPr>
        <w:t xml:space="preserve"> the idea</w:t>
      </w:r>
      <w:r>
        <w:rPr>
          <w:rFonts w:eastAsia="Times New Roman"/>
        </w:rPr>
        <w:t xml:space="preserve"> that </w:t>
      </w:r>
      <w:r w:rsidR="00700172">
        <w:rPr>
          <w:rFonts w:eastAsia="Times New Roman"/>
        </w:rPr>
        <w:t xml:space="preserve">a reference transcriptome </w:t>
      </w:r>
      <w:r w:rsidR="00344D5F">
        <w:rPr>
          <w:rFonts w:eastAsia="Times New Roman"/>
        </w:rPr>
        <w:t>are</w:t>
      </w:r>
      <w:r w:rsidR="00700172">
        <w:rPr>
          <w:rFonts w:eastAsia="Times New Roman"/>
        </w:rPr>
        <w:t xml:space="preserve"> a moving target and that </w:t>
      </w:r>
      <w:r w:rsidR="0082263D">
        <w:rPr>
          <w:rFonts w:eastAsia="Times New Roman"/>
        </w:rPr>
        <w:t xml:space="preserve">predictions </w:t>
      </w:r>
      <w:r>
        <w:rPr>
          <w:rFonts w:eastAsia="Times New Roman"/>
        </w:rPr>
        <w:t xml:space="preserve">of transcripts </w:t>
      </w:r>
      <w:r w:rsidR="00D51A4B">
        <w:rPr>
          <w:rFonts w:eastAsia="Times New Roman"/>
        </w:rPr>
        <w:t xml:space="preserve">may be improved </w:t>
      </w:r>
      <w:r w:rsidR="0082263D">
        <w:rPr>
          <w:rFonts w:eastAsia="Times New Roman"/>
        </w:rPr>
        <w:t>with updated tools</w:t>
      </w:r>
      <w:r w:rsidR="00C46EE8">
        <w:rPr>
          <w:rFonts w:eastAsia="Times New Roman"/>
        </w:rPr>
        <w:t>.</w:t>
      </w:r>
      <w:r w:rsidR="00DD73B2">
        <w:rPr>
          <w:rFonts w:eastAsia="Times New Roman"/>
        </w:rPr>
        <w:t xml:space="preserve"> </w:t>
      </w:r>
    </w:p>
    <w:p w14:paraId="0F1234DA" w14:textId="77777777" w:rsidR="007B6B3E" w:rsidRDefault="007B6B3E" w:rsidP="00C46EE8">
      <w:pPr>
        <w:pStyle w:val="Normal10"/>
        <w:rPr>
          <w:rFonts w:ascii="Arial" w:eastAsia="Times New Roman" w:hAnsi="Arial" w:cs="Arial"/>
          <w:color w:val="222222"/>
          <w:sz w:val="19"/>
          <w:szCs w:val="19"/>
          <w:lang w:val="en-US"/>
        </w:rPr>
      </w:pPr>
    </w:p>
    <w:p w14:paraId="69508E6D" w14:textId="14F2725C" w:rsidR="00883733" w:rsidRPr="00C46EE8" w:rsidRDefault="00883733" w:rsidP="00C46EE8">
      <w:pPr>
        <w:pStyle w:val="Normal10"/>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0"/>
        <w:rPr>
          <w:rFonts w:eastAsia="Times New Roman"/>
          <w:b/>
        </w:rPr>
      </w:pPr>
    </w:p>
    <w:p w14:paraId="2C19C3AB" w14:textId="59C7F321" w:rsidR="00C46EE8" w:rsidRDefault="00F26596" w:rsidP="00700172">
      <w:pPr>
        <w:pStyle w:val="Normal10"/>
        <w:outlineLvl w:val="0"/>
        <w:rPr>
          <w:rFonts w:eastAsia="Times New Roman"/>
          <w:i/>
        </w:rPr>
      </w:pPr>
      <w:r w:rsidRPr="00F80BB2">
        <w:rPr>
          <w:rFonts w:eastAsia="Times New Roman"/>
          <w:i/>
        </w:rPr>
        <w:t xml:space="preserve">Automated 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p>
    <w:p w14:paraId="37E4E50F" w14:textId="77777777" w:rsidR="00700172" w:rsidRPr="00700172" w:rsidRDefault="00700172" w:rsidP="00700172">
      <w:pPr>
        <w:pStyle w:val="Normal10"/>
        <w:outlineLvl w:val="0"/>
        <w:rPr>
          <w:rFonts w:eastAsia="Times New Roman"/>
          <w:i/>
        </w:rPr>
      </w:pPr>
    </w:p>
    <w:p w14:paraId="67D38413" w14:textId="161E3D27" w:rsidR="007C448D" w:rsidRPr="007C448D" w:rsidRDefault="00F26596" w:rsidP="00AF352E">
      <w:pPr>
        <w:pStyle w:val="Normal10"/>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Pr="00F80BB2" w:rsidRDefault="00F26596" w:rsidP="00F75262">
      <w:pPr>
        <w:pStyle w:val="Normal10"/>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0"/>
        <w:rPr>
          <w:rFonts w:eastAsia="Times New Roman"/>
          <w:i/>
        </w:rPr>
      </w:pPr>
    </w:p>
    <w:p w14:paraId="437AFB20" w14:textId="25A76014"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05429B">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"[57]", "plainTextFormattedCitation" : "[57]", "previouslyFormattedCitation" : "[57]" }, "properties" : {  }, "schema" : "https://github.com/citation-style-language/schema/raw/master/csl-citation.json" }</w:instrText>
      </w:r>
      <w:r w:rsidR="00D23D0C">
        <w:rPr>
          <w:rFonts w:eastAsia="Times New Roman"/>
        </w:rPr>
        <w:fldChar w:fldCharType="separate"/>
      </w:r>
      <w:r w:rsidR="0005429B" w:rsidRPr="0005429B">
        <w:rPr>
          <w:rFonts w:eastAsia="Times New Roman"/>
          <w:noProof/>
        </w:rPr>
        <w:t>[57]</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05429B">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"[51]", "plainTextFormattedCitation" : "[51]", "previouslyFormattedCitation" : "[51]" }, "properties" : {  }, "schema" : "https://github.com/citation-style-language/schema/raw/master/csl-citation.json" }</w:instrText>
      </w:r>
      <w:r w:rsidR="00511B8D">
        <w:rPr>
          <w:rFonts w:eastAsia="Times New Roman"/>
        </w:rPr>
        <w:fldChar w:fldCharType="separate"/>
      </w:r>
      <w:r w:rsidR="0005429B" w:rsidRPr="0005429B">
        <w:rPr>
          <w:rFonts w:eastAsia="Times New Roman"/>
          <w:noProof/>
        </w:rPr>
        <w:t>[51]</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05429B">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"[58,59]", "plainTextFormattedCitation" : "[58,59]", "previouslyFormattedCitation" : "[58,59]" }, "properties" : {  }, "schema" : "https://github.com/citation-style-language/schema/raw/master/csl-citation.json" }</w:instrText>
      </w:r>
      <w:r w:rsidR="003A72E5">
        <w:rPr>
          <w:rFonts w:eastAsia="Times New Roman"/>
        </w:rPr>
        <w:fldChar w:fldCharType="separate"/>
      </w:r>
      <w:r w:rsidR="0005429B" w:rsidRPr="0005429B">
        <w:rPr>
          <w:rFonts w:eastAsia="Times New Roman"/>
          <w:noProof/>
        </w:rPr>
        <w:t>[58,59]</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7A6330AA" w:rsidR="00511B8D" w:rsidRDefault="00511B8D" w:rsidP="00511B8D">
      <w:pPr>
        <w:pStyle w:val="Normal10"/>
        <w:rPr>
          <w:rFonts w:eastAsia="Times New Roman"/>
        </w:rPr>
      </w:pPr>
      <w:r>
        <w:rPr>
          <w:rFonts w:eastAsia="Times New Roman"/>
        </w:rPr>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05429B">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"[32\u201334]", "plainTextFormattedCitation" : "[32\u201334]", "previouslyFormattedCitation" : "[32\u201334]" }, "properties" : {  }, "schema" : "https://github.com/citation-style-language/schema/raw/master/csl-citation.json" }</w:instrText>
      </w:r>
      <w:r w:rsidR="003A72E5">
        <w:rPr>
          <w:rFonts w:eastAsia="Times New Roman"/>
        </w:rPr>
        <w:fldChar w:fldCharType="separate"/>
      </w:r>
      <w:r w:rsidR="0005429B" w:rsidRPr="0005429B">
        <w:rPr>
          <w:rFonts w:eastAsia="Times New Roman"/>
          <w:noProof/>
        </w:rPr>
        <w:t>[32–34]</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lastRenderedPageBreak/>
        <w:fldChar w:fldCharType="begin" w:fldLock="1"/>
      </w:r>
      <w:r w:rsidR="0005429B">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"[60]", "plainTextFormattedCitation" : "[60]", "previouslyFormattedCitation" : "[60]" }, "properties" : {  }, "schema" : "https://github.com/citation-style-language/schema/raw/master/csl-citation.json" }</w:instrText>
      </w:r>
      <w:r w:rsidR="003A72E5">
        <w:rPr>
          <w:rFonts w:eastAsia="Times New Roman"/>
        </w:rPr>
        <w:fldChar w:fldCharType="separate"/>
      </w:r>
      <w:r w:rsidR="0005429B" w:rsidRPr="0005429B">
        <w:rPr>
          <w:rFonts w:eastAsia="Times New Roman"/>
          <w:noProof/>
        </w:rPr>
        <w:t>[60]</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in </w:t>
      </w:r>
      <w:proofErr w:type="spellStart"/>
      <w:r w:rsidR="00C46900">
        <w:rPr>
          <w:rFonts w:eastAsia="Times New Roman"/>
        </w:rPr>
        <w:t>Ciliophora</w:t>
      </w:r>
      <w:proofErr w:type="spellEnd"/>
      <w:r w:rsidR="00C46900">
        <w:rPr>
          <w:rFonts w:eastAsia="Times New Roman"/>
        </w:rPr>
        <w:t xml:space="preserve"> and </w:t>
      </w:r>
      <w:proofErr w:type="spellStart"/>
      <w:r w:rsidR="00C46900">
        <w:rPr>
          <w:rFonts w:eastAsia="Times New Roman"/>
        </w:rPr>
        <w:t>Dinophyta</w:t>
      </w:r>
      <w:proofErr w:type="spellEnd"/>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118A4F34" w14:textId="77777777" w:rsidR="00585300" w:rsidRDefault="007D2E26" w:rsidP="006E40FB">
      <w:pPr>
        <w:pStyle w:val="Normal10"/>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0"/>
        <w:rPr>
          <w:rFonts w:eastAsia="Times New Roman"/>
        </w:rPr>
      </w:pPr>
    </w:p>
    <w:p w14:paraId="3D61B47C" w14:textId="323AA303" w:rsidR="006E40FB" w:rsidRDefault="00585300" w:rsidP="006E40FB">
      <w:pPr>
        <w:pStyle w:val="Normal10"/>
        <w:rPr>
          <w:rFonts w:eastAsia="Times New Roman"/>
        </w:rPr>
      </w:pPr>
      <w:r>
        <w:rPr>
          <w:rFonts w:eastAsia="Times New Roman"/>
        </w:rPr>
        <w:t xml:space="preserve">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0"/>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632E8D62" w:rsidR="007A7913" w:rsidRDefault="003069A4" w:rsidP="00ED5478">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05B19688" w14:textId="770F099F" w:rsidR="0005429B" w:rsidRPr="0005429B" w:rsidRDefault="007A7913" w:rsidP="0005429B">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05429B" w:rsidRPr="0005429B">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08E89150"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2. Tulin S, Aguiar D, Istrail S, Smith J. A quantitative reference transcriptome for Nematostella vectensis early embryonic development: a pipeline for de novo assembly in emerging model </w:t>
      </w:r>
      <w:r w:rsidRPr="0005429B">
        <w:rPr>
          <w:rFonts w:eastAsia="Times New Roman"/>
          <w:noProof/>
        </w:rPr>
        <w:lastRenderedPageBreak/>
        <w:t>systems. 2013 [cited 2018 Mar 15]; Available from: http://www.evodevojournal.com/content/4/1/16</w:t>
      </w:r>
    </w:p>
    <w:p w14:paraId="5D1B5C7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 Mittal VK, McDonald JF. De novo assembly and characterization of breast cancer transcriptomes identifies large numbers of novel fusion-gene transcripts of potential functional significance. BMC Med. Genomics [Internet]. BioMed Central; 2017 [cited 2018 Mar 14];10:53. Available from: http://www.ncbi.nlm.nih.gov/pubmed/28851357</w:t>
      </w:r>
    </w:p>
    <w:p w14:paraId="7DB80A9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187C15C2"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6B5B7C88"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2FC54B1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3EDDA71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5860D88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165EA5F5"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48115A5B"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11.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5CC4314B"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12. Heikkinen LK, Kesäniemi JE, Knott KE. De novo transcriptome assembly and developmental mode specific gene expression of </w:t>
      </w:r>
      <w:r w:rsidRPr="0005429B">
        <w:rPr>
          <w:rFonts w:eastAsia="Times New Roman"/>
          <w:i/>
          <w:iCs/>
          <w:noProof/>
        </w:rPr>
        <w:t>Pygospio elegans</w:t>
      </w:r>
      <w:r w:rsidRPr="0005429B">
        <w:rPr>
          <w:rFonts w:eastAsia="Times New Roman"/>
          <w:noProof/>
        </w:rPr>
        <w:t>. Evol. Dev. [Internet]. 2017 [cited 2017 Sep 22];19:205–17. Available from: http://doi.wiley.com/10.1111/ede.12230</w:t>
      </w:r>
    </w:p>
    <w:p w14:paraId="6DA3FB1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13. Li F, Wang L, Lan Q, Yang H, Li Y, Liu X, et al. RNA-Seq Analysis and Gene Discovery of Andrias davidianus Using Illumina Short Read Sequencing. Davies WIL, editor. PLoS One </w:t>
      </w:r>
      <w:r w:rsidRPr="0005429B">
        <w:rPr>
          <w:rFonts w:eastAsia="Times New Roman"/>
          <w:noProof/>
        </w:rPr>
        <w:lastRenderedPageBreak/>
        <w:t>[Internet]. Public Library of Science; 2015 [cited 2018 Mar 15];10:e0123730. Available from: http://dx.plos.org/10.1371/journal.pone.0123730</w:t>
      </w:r>
    </w:p>
    <w:p w14:paraId="46E469F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14. Yu J, Lou Y, Zhao A. Transcriptome analysis of follicles reveals the importance of autophagy and hormones in regulating broodiness of Zhedong white goose. Sci. Rep. [Internet]. Nature Publishing Group; 2016 [cited 2018 Mar 15];6:36877. Available from: http://www.nature.com/articles/srep36877</w:t>
      </w:r>
    </w:p>
    <w:p w14:paraId="43C1DCA8"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7F3AEE25"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12CF0ED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2C78D1EE"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321A550E"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373DB967"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20. Robertson G, Schein J, Chiu R, Corbett R, Field M, Jackman SD, et al. De novo assembly and analysis of RNA-seq data. Nat. Methods [Internet]. 2010;7:909–12. Available from: http://www.ncbi.nlm.nih.gov/pubmed/20935650</w:t>
      </w:r>
    </w:p>
    <w:p w14:paraId="55FE6A8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1C4A7DAA"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70C39F72"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1BC8DD90"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24. Kannan S, Hui J, Mazooji K. Shannon : An Information-Optimal de Novo RNA-Seq Assembler. 2016;1–14. </w:t>
      </w:r>
    </w:p>
    <w:p w14:paraId="03E8AE9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107F739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lastRenderedPageBreak/>
        <w:t>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0481FDF7"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27. Durkin CA, Koester JA, Bender SJ, Armbrust EV. The evolution of silicon transporters in diatoms. Kroth P, editor. J. Phycol. [Internet]. 2016 [cited 2017 Sep 20];52:716–31. Available from: http://doi.wiley.com/10.1111/jpy.12441</w:t>
      </w:r>
    </w:p>
    <w:p w14:paraId="09F89040"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1FC29E79"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29. McQuaid JB, Kustka AB, Oborník M, Horák A, McCrow JP, Karas BJ, et al. Carbonate-sensitive phytotransferrin controls high-affinity iron uptake in diatoms. Nature [Internet]. Nature Publishing Group; 2018 [cited 2018 Mar 19]; Available from: http://www.nature.com/doifinder/10.1038/nature25982</w:t>
      </w:r>
    </w:p>
    <w:p w14:paraId="08465CC8"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30.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0E62097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31.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62113B5F"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32. Alkalaeva E, Mikhailova T. Reassigning stop codons via translation termination: How a few eukaryotes broke the dogma. BioEssays [Internet]. 2017 [cited 2017 Sep 20];39:1600213. Available from: http://doi.wiley.com/10.1002/bies.201600213</w:t>
      </w:r>
    </w:p>
    <w:p w14:paraId="4A1F8700"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33. Heaphy SM, Mariotti M, Gladyshev VN, Atkins JF, Baranov P V. Novel Ciliate Genetic Code Variants Including the Reassignment of All Three Stop Codons to Sense Codons in </w:t>
      </w:r>
      <w:r w:rsidRPr="0005429B">
        <w:rPr>
          <w:rFonts w:eastAsia="Times New Roman"/>
          <w:i/>
          <w:iCs/>
          <w:noProof/>
        </w:rPr>
        <w:t>Condylostoma magnum</w:t>
      </w:r>
      <w:r w:rsidRPr="0005429B">
        <w:rPr>
          <w:rFonts w:eastAsia="Times New Roman"/>
          <w:noProof/>
        </w:rPr>
        <w:t>. Mol. Biol. Evol. [Internet]. Oxford University Press; 2016 [cited 2017 Sep 20];33:2885–9. Available from: https://academic.oup.com/mbe/article-lookup/doi/10.1093/molbev/msw166</w:t>
      </w:r>
    </w:p>
    <w:p w14:paraId="368ADC8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34. Swart EC, Serra V, Petroni G, Nowacki M. Genetic Codes with No Dedicated Stop Codon: Context-Dependent Translation Termination. Cell [Internet]. The Author(s); 2016;166:691–702. Available from: http://dx.doi.org/10.1016/j.cell.2016.06.020</w:t>
      </w:r>
    </w:p>
    <w:p w14:paraId="083ACC2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35.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52B60AD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36.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2CC9E54B"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37. Gong W, Browne J, Hall N, Schruth D, Paerl H, Marchetti A. Molecular insights into a dinoflagellate bloom. ISME J. [Internet]. Nature Publishing Group; 2017 [cited 2018 Mar 15];11:439–52. Available from: http://www.nature.com/articles/ismej2016129</w:t>
      </w:r>
    </w:p>
    <w:p w14:paraId="586E4144"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lastRenderedPageBreak/>
        <w:t>38. Brown CT, Scott C, Crusoe MR, Sheneman L, Rosenthal J, Howe A. khmer-protocols 0.8.4 documentation. 2013 [cited 2017 Oct 17]; Available from: https://www.mendeley.com/import/?url=https://figshare.com/articles/khmer_protocols_0_8_3_documentation/878460</w:t>
      </w:r>
    </w:p>
    <w:p w14:paraId="18CAB16F"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39. Lowe EK, Swalla BJ, Brown CT. Evaluating a lightweight transcriptome assembly pipeline on two closely related ascidian species. PeerJ Prepr. [Internet]. 2014;2:e505v1. Available from: https://dx.doi.org/10.7287/peerj.preprints.505v1</w:t>
      </w:r>
    </w:p>
    <w:p w14:paraId="3305C019"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40. Leinonen R, Sugawara H, Shumway M. The Sequence Read Archive. Nucleic Acids Res. [Internet]. Oxford University Press; 2011 [cited 2017 Oct 17];39:D19–21. Available from: https://academic.oup.com/nar/article-lookup/doi/10.1093/nar/gkq1019</w:t>
      </w:r>
    </w:p>
    <w:p w14:paraId="7EA7519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41. Andrews S. FastQC: A quality control tool for high throughput sequence data. [Internet]. 2016. Available from: http://www.bioinformatics.babraham.ac.uk/projects/fastqc/</w:t>
      </w:r>
    </w:p>
    <w:p w14:paraId="73F17414"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42.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10FF10E4"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43. Bolger AM, Lohse M, Usadel B. Trimmomatic: a flexible trimmer for Illumina sequence data. Bioinformatics [Internet]. Oxford University Press; 2014 [cited 2017 Oct 17];30:2114–20. Available from: https://academic.oup.com/bioinformatics/article-lookup/doi/10.1093/bioinformatics/btu170</w:t>
      </w:r>
    </w:p>
    <w:p w14:paraId="2437A46A"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44. Crusoe MR, Alameldin HF, Awad S, Boucher E, Caldwell A, Cartwright R, et al. The khmer software package: enabling efficient nucleotide sequence analysis. F1000Research [Internet]. 2015;4:900. Available from: http://f1000research.com/articles/4-900/v1</w:t>
      </w:r>
    </w:p>
    <w:p w14:paraId="05AB4915"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45. Scott C. dammit: an open and accessible de novo transcriptome annotator. in prep. [Internet]. 2016; Available from: www.camillescott.org/dammit</w:t>
      </w:r>
    </w:p>
    <w:p w14:paraId="171F648D"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46.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2A61385C"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47. Gardner PP, Daub J, Tate JG, Nawrocki EP, Kolbe DL, Lindgreen S, et al. Rfam: updates to the RNA families database. Nucleic Acids Res. [Internet]. Oxford University Press; 2009 [cited 2017 Oct 17];37:D136–40. Available from: https://academic.oup.com/nar/article-lookup/doi/10.1093/nar/gkn766</w:t>
      </w:r>
    </w:p>
    <w:p w14:paraId="6EBBF1AB"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48.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3B331B9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49.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32B559A0"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 xml:space="preserve">50.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w:t>
      </w:r>
      <w:r w:rsidRPr="0005429B">
        <w:rPr>
          <w:rFonts w:eastAsia="Times New Roman"/>
          <w:noProof/>
        </w:rPr>
        <w:lastRenderedPageBreak/>
        <w:t>http://dx.plos.org/10.1371/journal.pgen.1004365</w:t>
      </w:r>
    </w:p>
    <w:p w14:paraId="723C21B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51.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07E589F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52. Irber Junior LC, Brown CT. Efficient cardinality estimation for k-mers in large DNA sequencing data sets. doi.org [Internet]. Cold Spring Harbor Laboratory; 2016 [cited 2017 Oct 17];56846. Available from: https://www.biorxiv.org/content/early/2016/06/07/056846</w:t>
      </w:r>
    </w:p>
    <w:p w14:paraId="0BE9F27E"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53. Johnson, L; Alexander, H; Brown CT. Marine Microbial Eukaryotic Transcriptome Sequencing Project, re-assemblies [Internet]. 2017. Available from: https://doi.org/10.6084/m9.figshare.3840153.v6</w:t>
      </w:r>
    </w:p>
    <w:p w14:paraId="29087CA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54. Johnson LK, Alexander H, Brown CT. (all datasets) MMETSP re-assemblies. 2017 [cited 2018 Mar 19]; Available from: https://doi.org/10.5281/zenodo.257410#.Wq_8WjW-yyo.mendeley</w:t>
      </w:r>
    </w:p>
    <w:p w14:paraId="45A1F07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55. Li B, Fillmore N, Bai Y, Collins M, Thomson J a., Stewart R, et al. Evaluation of de novo transcriptome assemblies from RNA-Seq data. bioRxiv [Internet]. 2014;1–21. Available from: http://biorxiv.org/content/early/2014/06/13/006338.abstract</w:t>
      </w:r>
    </w:p>
    <w:p w14:paraId="70923BF3"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56. O’Neil ST, Emrich SJ. Assessing De Novo transcriptome assembly metrics for consistency and utility. BMC Genomics [Internet]. BioMed Central; 2013 [cited 2017 Oct 17];14:465. Available from: http://bmcgenomics.biomedcentral.com/articles/10.1186/1471-2164-14-465</w:t>
      </w:r>
    </w:p>
    <w:p w14:paraId="3512C0C1"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57.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2B79801C"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58. MacManes MD. The Oyster River Protocol: A Multi Assembler and Kmer Approach For de novo Transcriptome Assembly. doi.org [Internet]. Cold Spring Harbor Laboratory; 2017 [cited 2017 Sep 21];177253. Available from: https://www.biorxiv.org/content/early/2017/08/16/177253</w:t>
      </w:r>
    </w:p>
    <w:p w14:paraId="6F347D66" w14:textId="77777777" w:rsidR="0005429B" w:rsidRPr="0005429B" w:rsidRDefault="0005429B" w:rsidP="0005429B">
      <w:pPr>
        <w:widowControl w:val="0"/>
        <w:autoSpaceDE w:val="0"/>
        <w:autoSpaceDN w:val="0"/>
        <w:adjustRightInd w:val="0"/>
        <w:spacing w:line="240" w:lineRule="auto"/>
        <w:rPr>
          <w:rFonts w:eastAsia="Times New Roman"/>
          <w:noProof/>
        </w:rPr>
      </w:pPr>
      <w:r w:rsidRPr="0005429B">
        <w:rPr>
          <w:rFonts w:eastAsia="Times New Roman"/>
          <w:noProof/>
        </w:rPr>
        <w:t>59.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4BBB99FB" w14:textId="77777777" w:rsidR="0005429B" w:rsidRPr="0005429B" w:rsidRDefault="0005429B" w:rsidP="0005429B">
      <w:pPr>
        <w:widowControl w:val="0"/>
        <w:autoSpaceDE w:val="0"/>
        <w:autoSpaceDN w:val="0"/>
        <w:adjustRightInd w:val="0"/>
        <w:spacing w:line="240" w:lineRule="auto"/>
        <w:rPr>
          <w:noProof/>
        </w:rPr>
      </w:pPr>
      <w:r w:rsidRPr="0005429B">
        <w:rPr>
          <w:rFonts w:eastAsia="Times New Roman"/>
          <w:noProof/>
        </w:rPr>
        <w:t>60.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32DAA9C2" w14:textId="4A4EEE28" w:rsidR="007D2E26" w:rsidRDefault="007A7913" w:rsidP="0005429B">
      <w:pPr>
        <w:widowControl w:val="0"/>
        <w:autoSpaceDE w:val="0"/>
        <w:autoSpaceDN w:val="0"/>
        <w:adjustRightInd w:val="0"/>
        <w:spacing w:line="240" w:lineRule="auto"/>
        <w:rPr>
          <w:rFonts w:eastAsia="Times New Roman"/>
        </w:rPr>
      </w:pPr>
      <w:r>
        <w:rPr>
          <w:rFonts w:eastAsia="Times New Roman"/>
        </w:rPr>
        <w:fldChar w:fldCharType="end"/>
      </w: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13A9"/>
    <w:rsid w:val="00007421"/>
    <w:rsid w:val="00011950"/>
    <w:rsid w:val="00025CD4"/>
    <w:rsid w:val="000321C5"/>
    <w:rsid w:val="00032FF9"/>
    <w:rsid w:val="00035038"/>
    <w:rsid w:val="00037EEA"/>
    <w:rsid w:val="00037F35"/>
    <w:rsid w:val="00043BE2"/>
    <w:rsid w:val="0005429B"/>
    <w:rsid w:val="00055AAA"/>
    <w:rsid w:val="00060F40"/>
    <w:rsid w:val="00067848"/>
    <w:rsid w:val="00070010"/>
    <w:rsid w:val="0007098D"/>
    <w:rsid w:val="000726AD"/>
    <w:rsid w:val="00073B7B"/>
    <w:rsid w:val="00076BC3"/>
    <w:rsid w:val="000808BD"/>
    <w:rsid w:val="000817DC"/>
    <w:rsid w:val="00084E78"/>
    <w:rsid w:val="00095E7D"/>
    <w:rsid w:val="000976B8"/>
    <w:rsid w:val="000A0597"/>
    <w:rsid w:val="000A3CD9"/>
    <w:rsid w:val="000A4900"/>
    <w:rsid w:val="000A6C6D"/>
    <w:rsid w:val="000B083B"/>
    <w:rsid w:val="000B2EE6"/>
    <w:rsid w:val="000B31C6"/>
    <w:rsid w:val="000B62C3"/>
    <w:rsid w:val="000B70E4"/>
    <w:rsid w:val="000C0233"/>
    <w:rsid w:val="000C6DD5"/>
    <w:rsid w:val="000D0373"/>
    <w:rsid w:val="000D31BF"/>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BE2"/>
    <w:rsid w:val="0018618E"/>
    <w:rsid w:val="00190F35"/>
    <w:rsid w:val="00193372"/>
    <w:rsid w:val="001952EB"/>
    <w:rsid w:val="00196024"/>
    <w:rsid w:val="001A2C98"/>
    <w:rsid w:val="001B09C8"/>
    <w:rsid w:val="001D74EB"/>
    <w:rsid w:val="001E6ECF"/>
    <w:rsid w:val="001E787B"/>
    <w:rsid w:val="001F127B"/>
    <w:rsid w:val="001F34FE"/>
    <w:rsid w:val="001F442F"/>
    <w:rsid w:val="00201B04"/>
    <w:rsid w:val="0020200A"/>
    <w:rsid w:val="00204957"/>
    <w:rsid w:val="002076B7"/>
    <w:rsid w:val="00212832"/>
    <w:rsid w:val="00225FA4"/>
    <w:rsid w:val="00226A73"/>
    <w:rsid w:val="00231CF0"/>
    <w:rsid w:val="002321C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44D5F"/>
    <w:rsid w:val="00352F68"/>
    <w:rsid w:val="003542CE"/>
    <w:rsid w:val="00355CB6"/>
    <w:rsid w:val="003624E8"/>
    <w:rsid w:val="003643A3"/>
    <w:rsid w:val="003649CD"/>
    <w:rsid w:val="00365EBD"/>
    <w:rsid w:val="003740A9"/>
    <w:rsid w:val="00380098"/>
    <w:rsid w:val="0038742A"/>
    <w:rsid w:val="0039050F"/>
    <w:rsid w:val="003906A8"/>
    <w:rsid w:val="003960C5"/>
    <w:rsid w:val="003A60FF"/>
    <w:rsid w:val="003A6A63"/>
    <w:rsid w:val="003A72E5"/>
    <w:rsid w:val="003B2F0D"/>
    <w:rsid w:val="003B5803"/>
    <w:rsid w:val="003B724E"/>
    <w:rsid w:val="003C09E9"/>
    <w:rsid w:val="003D38AF"/>
    <w:rsid w:val="003D3ABD"/>
    <w:rsid w:val="003E077B"/>
    <w:rsid w:val="003E7DFE"/>
    <w:rsid w:val="003F2552"/>
    <w:rsid w:val="003F489D"/>
    <w:rsid w:val="00400DCF"/>
    <w:rsid w:val="00405CCF"/>
    <w:rsid w:val="0041342C"/>
    <w:rsid w:val="00414018"/>
    <w:rsid w:val="00415661"/>
    <w:rsid w:val="00422F4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56E4"/>
    <w:rsid w:val="005B386F"/>
    <w:rsid w:val="005B41F9"/>
    <w:rsid w:val="005C7CE6"/>
    <w:rsid w:val="005D0881"/>
    <w:rsid w:val="005D2BE0"/>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91CE4"/>
    <w:rsid w:val="00794028"/>
    <w:rsid w:val="007A0A55"/>
    <w:rsid w:val="007A1D4F"/>
    <w:rsid w:val="007A7913"/>
    <w:rsid w:val="007B006C"/>
    <w:rsid w:val="007B4760"/>
    <w:rsid w:val="007B587F"/>
    <w:rsid w:val="007B6B3E"/>
    <w:rsid w:val="007C2687"/>
    <w:rsid w:val="007C448D"/>
    <w:rsid w:val="007C5725"/>
    <w:rsid w:val="007D10A2"/>
    <w:rsid w:val="007D1E48"/>
    <w:rsid w:val="007D2E26"/>
    <w:rsid w:val="007E5BF7"/>
    <w:rsid w:val="007E6A60"/>
    <w:rsid w:val="007E7034"/>
    <w:rsid w:val="007F417C"/>
    <w:rsid w:val="00807A40"/>
    <w:rsid w:val="008101A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4433"/>
    <w:rsid w:val="00857FD6"/>
    <w:rsid w:val="00863D9A"/>
    <w:rsid w:val="0086471E"/>
    <w:rsid w:val="008705B5"/>
    <w:rsid w:val="00876B51"/>
    <w:rsid w:val="00883733"/>
    <w:rsid w:val="008841C3"/>
    <w:rsid w:val="008958DA"/>
    <w:rsid w:val="008A26CA"/>
    <w:rsid w:val="008A533C"/>
    <w:rsid w:val="008A552D"/>
    <w:rsid w:val="008A6D7D"/>
    <w:rsid w:val="008A731A"/>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35BE"/>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0A93"/>
    <w:rsid w:val="00A82E5A"/>
    <w:rsid w:val="00A86929"/>
    <w:rsid w:val="00A9164D"/>
    <w:rsid w:val="00A92B7C"/>
    <w:rsid w:val="00A9791C"/>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E5BF5"/>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70A6"/>
    <w:rsid w:val="00B51396"/>
    <w:rsid w:val="00B51B4B"/>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B3931"/>
    <w:rsid w:val="00BB39BA"/>
    <w:rsid w:val="00BC584E"/>
    <w:rsid w:val="00BC6C9A"/>
    <w:rsid w:val="00BC79BB"/>
    <w:rsid w:val="00BE1068"/>
    <w:rsid w:val="00BE20E6"/>
    <w:rsid w:val="00BF0221"/>
    <w:rsid w:val="00BF1B22"/>
    <w:rsid w:val="00BF535B"/>
    <w:rsid w:val="00C04B5D"/>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14D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101D"/>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67FB4"/>
    <w:rsid w:val="00D76B79"/>
    <w:rsid w:val="00D825F4"/>
    <w:rsid w:val="00D85F65"/>
    <w:rsid w:val="00DA75B4"/>
    <w:rsid w:val="00DA7F6C"/>
    <w:rsid w:val="00DB06A7"/>
    <w:rsid w:val="00DB41C3"/>
    <w:rsid w:val="00DB5855"/>
    <w:rsid w:val="00DC3859"/>
    <w:rsid w:val="00DC5D15"/>
    <w:rsid w:val="00DC76B0"/>
    <w:rsid w:val="00DD23CB"/>
    <w:rsid w:val="00DD41CB"/>
    <w:rsid w:val="00DD6DDF"/>
    <w:rsid w:val="00DD73B2"/>
    <w:rsid w:val="00DE0B31"/>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632C"/>
    <w:rsid w:val="00E970CF"/>
    <w:rsid w:val="00EA1A63"/>
    <w:rsid w:val="00EA534E"/>
    <w:rsid w:val="00EA769C"/>
    <w:rsid w:val="00EB28A6"/>
    <w:rsid w:val="00EB300F"/>
    <w:rsid w:val="00EB4789"/>
    <w:rsid w:val="00EB6DF2"/>
    <w:rsid w:val="00EC4676"/>
    <w:rsid w:val="00ED1B1B"/>
    <w:rsid w:val="00ED5308"/>
    <w:rsid w:val="00ED5478"/>
    <w:rsid w:val="00EE1132"/>
    <w:rsid w:val="00EE19E1"/>
    <w:rsid w:val="00EF3E0A"/>
    <w:rsid w:val="00EF3E8A"/>
    <w:rsid w:val="00EF7822"/>
    <w:rsid w:val="00F004AF"/>
    <w:rsid w:val="00F00C59"/>
    <w:rsid w:val="00F01BC9"/>
    <w:rsid w:val="00F05552"/>
    <w:rsid w:val="00F05F6D"/>
    <w:rsid w:val="00F14FA3"/>
    <w:rsid w:val="00F23934"/>
    <w:rsid w:val="00F258FC"/>
    <w:rsid w:val="00F26596"/>
    <w:rsid w:val="00F30EF4"/>
    <w:rsid w:val="00F35C4C"/>
    <w:rsid w:val="00F404E2"/>
    <w:rsid w:val="00F428E0"/>
    <w:rsid w:val="00F436CF"/>
    <w:rsid w:val="00F564EA"/>
    <w:rsid w:val="00F57DE9"/>
    <w:rsid w:val="00F66179"/>
    <w:rsid w:val="00F67AB3"/>
    <w:rsid w:val="00F74D89"/>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styleId="HTMLCode">
    <w:name w:val="HTML Code"/>
    <w:basedOn w:val="DefaultParagraphFont"/>
    <w:uiPriority w:val="99"/>
    <w:semiHidden/>
    <w:unhideWhenUsed/>
    <w:rsid w:val="00BB3931"/>
    <w:rPr>
      <w:rFonts w:ascii="Courier New" w:eastAsia="Arial" w:hAnsi="Courier New" w:cs="Courier New"/>
      <w:sz w:val="20"/>
      <w:szCs w:val="20"/>
    </w:rPr>
  </w:style>
  <w:style w:type="paragraph" w:customStyle="1" w:styleId="p1">
    <w:name w:val="p1"/>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paragraph" w:customStyle="1" w:styleId="p2">
    <w:name w:val="p2"/>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character" w:customStyle="1" w:styleId="apple-tab-span">
    <w:name w:val="apple-tab-span"/>
    <w:basedOn w:val="DefaultParagraphFont"/>
    <w:rsid w:val="007B6B3E"/>
  </w:style>
  <w:style w:type="character" w:customStyle="1" w:styleId="s1">
    <w:name w:val="s1"/>
    <w:basedOn w:val="DefaultParagraphFont"/>
    <w:rsid w:val="007B6B3E"/>
  </w:style>
  <w:style w:type="character" w:customStyle="1" w:styleId="apple-converted-space">
    <w:name w:val="apple-converted-space"/>
    <w:basedOn w:val="DefaultParagraphFont"/>
    <w:rsid w:val="007B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278689352">
      <w:bodyDiv w:val="1"/>
      <w:marLeft w:val="0"/>
      <w:marRight w:val="0"/>
      <w:marTop w:val="0"/>
      <w:marBottom w:val="0"/>
      <w:divBdr>
        <w:top w:val="none" w:sz="0" w:space="0" w:color="auto"/>
        <w:left w:val="none" w:sz="0" w:space="0" w:color="auto"/>
        <w:bottom w:val="none" w:sz="0" w:space="0" w:color="auto"/>
        <w:right w:val="none" w:sz="0" w:space="0" w:color="auto"/>
      </w:divBdr>
    </w:div>
    <w:div w:id="503595839">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14418335">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878125825">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12713179">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12FA63-558B-8F47-8D88-B8AA80D46EEE}">
  <ds:schemaRefs>
    <ds:schemaRef ds:uri="http://schemas.openxmlformats.org/officeDocument/2006/bibliography"/>
  </ds:schemaRefs>
</ds:datastoreItem>
</file>

<file path=customXml/itemProps2.xml><?xml version="1.0" encoding="utf-8"?>
<ds:datastoreItem xmlns:ds="http://schemas.openxmlformats.org/officeDocument/2006/customXml" ds:itemID="{F04F59C3-447F-D749-AA3A-8C66392E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38575</Words>
  <Characters>219883</Characters>
  <Application>Microsoft Macintosh Word</Application>
  <DocSecurity>0</DocSecurity>
  <Lines>1832</Lines>
  <Paragraphs>515</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257943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11</cp:revision>
  <cp:lastPrinted>2017-11-15T05:11:00Z</cp:lastPrinted>
  <dcterms:created xsi:type="dcterms:W3CDTF">2018-03-19T06:27:00Z</dcterms:created>
  <dcterms:modified xsi:type="dcterms:W3CDTF">2018-03-23T18:15:00Z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