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13 — Audit Trail (System-Wide)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13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Overview §7 + Page 06 — Section 7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Specs 00–12 (implements logging for those actions; ideally hook incrementally earlier)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Record </w:t>
      </w:r>
      <w:r>
        <w:rPr>
          <w:rFonts w:ascii="Calibri" w:hAnsi="Calibri" w:eastAsia="Calibri" w:cs="Calibri"/>
          <w:b/>
          <w:color w:val="000000"/>
          <w:sz w:val="22"/>
        </w:rPr>
        <w:t>immutable</w:t>
      </w:r>
      <w:r>
        <w:rPr>
          <w:rFonts w:ascii="Calibri" w:hAnsi="Calibri" w:eastAsia="Calibri" w:cs="Calibri"/>
          <w:color w:val="000000"/>
          <w:sz w:val="22"/>
        </w:rPr>
        <w:t xml:space="preserve"> audit logs for every meaningful action across hierarchy and inventory workflows: who, role, date/time, IP/device, old→new, remarks. Provide admin (and authorized) query UI/API.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Append-only log on each domain action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Query / export audit trail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Other roles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Possibly view audits for entities they own (optional policy)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Append-only audit store.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Required fields per event: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Who performed the action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Role (Admin / PD / HM / IM / Developer)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Date / time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IP / device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Old value → New value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Remarks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Action types at minimum: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Reserved · Released · Issued · Installation in Progress · Under Testing · Installed Verified · Returned · Re-Issued · Modified · Deleted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Plus project: created, approved, hierarchy generated, cancelled, config change request/approve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Query filters: entity, user, role, action, date range, project.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No update/delete of audit rows via application APIs.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External SIEM export (optional later)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Changing business workflows (only observing them)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Implementation strategy note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Although last in the delivery sequence for </w:t>
      </w:r>
      <w:r>
        <w:rPr>
          <w:rFonts w:ascii="Calibri" w:hAnsi="Calibri" w:eastAsia="Calibri" w:cs="Calibri"/>
          <w:b/>
          <w:color w:val="000000"/>
          <w:sz w:val="22"/>
        </w:rPr>
        <w:t>full audit UX</w:t>
      </w:r>
      <w:r>
        <w:rPr>
          <w:rFonts w:ascii="Calibri" w:hAnsi="Calibri" w:eastAsia="Calibri" w:cs="Calibri"/>
          <w:color w:val="000000"/>
          <w:sz w:val="22"/>
        </w:rPr>
        <w:t xml:space="preserve">, each prior spec should leave </w:t>
      </w:r>
      <w:r>
        <w:rPr>
          <w:rFonts w:ascii="Calibri" w:hAnsi="Calibri" w:eastAsia="Calibri" w:cs="Calibri"/>
          <w:b/>
          <w:color w:val="000000"/>
          <w:sz w:val="22"/>
        </w:rPr>
        <w:t>hook points</w:t>
      </w:r>
      <w:r>
        <w:rPr>
          <w:rFonts w:ascii="Calibri" w:hAnsi="Calibri" w:eastAsia="Calibri" w:cs="Calibri"/>
          <w:color w:val="000000"/>
          <w:sz w:val="22"/>
        </w:rPr>
        <w:t xml:space="preserve"> (service-layer events). Spec 13 completes: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Central audit writer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Backfill of hooks on existing services if gap remains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Read UI + permissions </w:t>
      </w:r>
      <w:r>
        <w:rPr>
          <w:rFonts w:ascii="Consolas" w:hAnsi="Consolas" w:cs="Consolas"/>
          <w:color w:val="C0392B"/>
          <w:sz w:val="21"/>
        </w:rPr>
        <w:t>audit.read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Event envelope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id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UUID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occurred_at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timestamp UTC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actor_user_id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FK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 (system user for jobs)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actor_role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string/enum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action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enum/code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entity_type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string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entity_id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string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project_id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FK nullable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When applicable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old_value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JSON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When applicable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new_value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JSON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When applicable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remarks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string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Optional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ip_address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string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When request-scoped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user_agent / device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string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When request-scoped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correlation_id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string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Optional (request id)</w:t>
            </w:r>
          </w:p>
        </w:tc>
      </w:tr>
    </w:tbl>
    <w:p>
      <w:pPr>
        <w:spacing w:before="40" w:after="16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Action catalog (minimum)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 code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RESERVED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04/05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RELEASED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04/06/11/12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ISSUED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07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INSTALLATION_IN_PROGRESS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07 (auto) / Spec 08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UNDER_TESTING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08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INSTALLED_VERIFIED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08/10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RETURNED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10–12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RE_ISSUED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10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MODIFIED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Generic entity updates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DELETED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Soft/hard deletes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PROJECT_CREATED / APPROVED / HIERARCHY_GENERATED / CANCELLED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Specs 02–03, 11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CONFIG_CHANGE_*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12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SHORTAGE_* / AUTO_RESERVE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05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AUTO_RELEASE_EXPIRY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06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Application users cannot edit or erase audit rows.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System jobs (24h flip, expiry) log with system actor and role </w:t>
      </w:r>
      <w:r>
        <w:rPr>
          <w:rFonts w:ascii="Consolas" w:hAnsi="Consolas" w:cs="Consolas"/>
          <w:color w:val="C0392B"/>
          <w:sz w:val="21"/>
        </w:rPr>
        <w:t>SYSTEM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Old→new must be sufficient to reconstruct status transitions.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Failures to write audit should either fail the business transaction or alert critically (prefer same transaction for status-changing ops).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Audit service + persistence (table append-only).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Middleware/helpers to capture IP/user-agent.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Domain services call audit writer.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Admin listing API with filters; optional export CSV.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DB privileges: app role INSERT + SELECT only on audit table (no UPDATE/DELETE grants).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Audit trail page (Admin).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Optional entity drawer “History” for a project/item.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Human-readable action labels.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Every Spec 04–12 status-changing action creates an audit row with required fields.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Auto jobs appear with system actor.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API cannot update/delete audit rows.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Admin can filter by project, actor, action, date.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Sample flow end-to-end leaves complete reconstructable history.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Perform full happy path Specs 01–09 → expect ordered audits.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Fail + rework + verify → Returned / Re-Issued / Installed Verified present.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Cancel + recall dispositions audited.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Config change path audited including NEW project create.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Attempt DELETE audit via API → fails.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No further workflow specs remain. Optional follow-ups (not in drawio): reporting, notifications preferences, external integrations.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13 — Audit Trail (System-Wide)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