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0" w:before="200"/>
        <w:jc w:val="center"/>
      </w:pPr>
      <w:r>
        <w:rPr>
          <w:rFonts w:ascii="Calibri" w:cs="Calibri" w:eastAsia="Calibri" w:hAnsi="Calibri"/>
          <w:b/>
          <w:bCs/>
          <w:i w:val="false"/>
          <w:iCs w:val="false"/>
          <w:color w:val="0B1E3F"/>
          <w:sz w:val="52"/>
          <w:szCs w:val="52"/>
        </w:rPr>
        <w:t xml:space="preserve">NexSham</w:t>
      </w:r>
    </w:p>
    <w:p>
      <w:pPr>
        <w:spacing w:after="40"/>
        <w:jc w:val="center"/>
      </w:pPr>
      <w:r>
        <w:rPr>
          <w:rFonts w:ascii="Calibri" w:cs="Calibri" w:eastAsia="Calibri" w:hAnsi="Calibri"/>
          <w:b/>
          <w:bCs/>
          <w:i w:val="false"/>
          <w:iCs w:val="false"/>
          <w:color w:val="C9A227"/>
          <w:sz w:val="22"/>
          <w:szCs w:val="22"/>
        </w:rPr>
        <w:t xml:space="preserve">TECHNOLOGIES</w:t>
      </w:r>
    </w:p>
    <w:p>
      <w:pPr>
        <w:spacing w:after="800"/>
        <w:jc w:val="center"/>
      </w:pPr>
      <w:r>
        <w:rPr>
          <w:rFonts w:ascii="Calibri" w:cs="Calibri" w:eastAsia="Calibri" w:hAnsi="Calibri"/>
          <w:b w:val="false"/>
          <w:bCs w:val="false"/>
          <w:i/>
          <w:iCs/>
          <w:color w:val="5A5F6B"/>
          <w:sz w:val="18"/>
          <w:szCs w:val="18"/>
        </w:rPr>
        <w:t xml:space="preserve">Building Intelligent Software Solutions</w:t>
      </w:r>
    </w:p>
    <w:p>
      <w:pPr>
        <w:spacing w:after="100" w:before="400"/>
        <w:jc w:val="center"/>
      </w:pPr>
      <w:r>
        <w:rPr>
          <w:rFonts w:ascii="Calibri" w:cs="Calibri" w:eastAsia="Calibri" w:hAnsi="Calibri"/>
          <w:b/>
          <w:bCs/>
          <w:i w:val="false"/>
          <w:iCs w:val="false"/>
          <w:color w:val="0B1E3F"/>
          <w:sz w:val="34"/>
          <w:szCs w:val="34"/>
        </w:rPr>
        <w:t xml:space="preserve">SOFTWARE DEVELOPMENT &amp; SERVICES AGREEMENT</w:t>
      </w:r>
    </w:p>
    <w:p>
      <w:pPr>
        <w:pBdr>
          <w:bottom w:val="single" w:color="C9A227" w:sz="10" w:space="8"/>
        </w:pBdr>
        <w:spacing w:after="500"/>
        <w:jc w:val="center"/>
      </w:pPr>
      <w:r>
        <w:rPr>
          <w:rFonts w:ascii="Calibri" w:cs="Calibri" w:eastAsia="Calibri" w:hAnsi="Calibri"/>
          <w:b/>
          <w:bCs/>
          <w:i w:val="false"/>
          <w:iCs w:val="false"/>
          <w:color w:val="C9A227"/>
          <w:sz w:val="24"/>
          <w:szCs w:val="24"/>
        </w:rPr>
        <w:t xml:space="preserve">Jai Shiv Business Management System (JBMS)</w:t>
      </w:r>
    </w:p>
    <w:p>
      <w:pPr>
        <w:spacing w:before="700"/>
      </w:pPr>
    </w:p>
    <w:p>
      <w:pPr>
        <w:spacing w:after="60"/>
        <w:jc w:val="center"/>
      </w:pPr>
      <w:r>
        <w:rPr>
          <w:rFonts w:ascii="Calibri" w:cs="Calibri" w:eastAsia="Calibri" w:hAnsi="Calibri"/>
          <w:b/>
          <w:bCs/>
          <w:i w:val="false"/>
          <w:iCs w:val="false"/>
          <w:color w:val="0B1E3F"/>
          <w:sz w:val="18"/>
          <w:szCs w:val="18"/>
        </w:rPr>
        <w:t xml:space="preserve">BETWEEN</w:t>
      </w:r>
    </w:p>
    <w:p>
      <w:pPr>
        <w:spacing w:after="320"/>
        <w:jc w:val="center"/>
      </w:pPr>
      <w:r>
        <w:rPr>
          <w:rFonts w:ascii="Calibri" w:cs="Calibri" w:eastAsia="Calibri" w:hAnsi="Calibri"/>
          <w:b/>
          <w:bCs/>
          <w:i w:val="false"/>
          <w:iCs w:val="false"/>
          <w:color w:val="222222"/>
          <w:sz w:val="22"/>
          <w:szCs w:val="22"/>
        </w:rPr>
        <w:t xml:space="preserve">NexSham Technologies</w:t>
      </w:r>
    </w:p>
    <w:p>
      <w:pPr>
        <w:spacing w:after="60"/>
        <w:jc w:val="center"/>
      </w:pPr>
      <w:r>
        <w:rPr>
          <w:rFonts w:ascii="Calibri" w:cs="Calibri" w:eastAsia="Calibri" w:hAnsi="Calibri"/>
          <w:b/>
          <w:bCs/>
          <w:i w:val="false"/>
          <w:iCs w:val="false"/>
          <w:color w:val="0B1E3F"/>
          <w:sz w:val="18"/>
          <w:szCs w:val="18"/>
        </w:rPr>
        <w:t xml:space="preserve">AND</w:t>
      </w:r>
    </w:p>
    <w:p>
      <w:pPr>
        <w:spacing w:after="320"/>
        <w:jc w:val="center"/>
      </w:pPr>
      <w:r>
        <w:rPr>
          <w:rFonts w:ascii="Calibri" w:cs="Calibri" w:eastAsia="Calibri" w:hAnsi="Calibri"/>
          <w:b/>
          <w:bCs/>
          <w:i w:val="false"/>
          <w:iCs w:val="false"/>
          <w:color w:val="222222"/>
          <w:sz w:val="22"/>
          <w:szCs w:val="22"/>
        </w:rPr>
        <w:t xml:space="preserve">Jai Shiv Trading Company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EFFECTIVE DATE</w:t>
            </w:r>
          </w:p>
        </w:tc>
        <w:tc>
          <w:tcPr>
            <w:tcW w:type="dxa" w:w="45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REFERENCE</w:t>
            </w:r>
          </w:p>
        </w:tc>
      </w:tr>
      <w:tr>
        <w:tc>
          <w:tcPr>
            <w:tcW w:type="dxa" w:w="4500"/>
            <w:tcMar>
              <w:top w:type="dxa" w:w="90"/>
              <w:left w:type="dxa" w:w="120"/>
              <w:bottom w:type="dxa" w:w="90"/>
              <w:right w:type="dxa" w:w="120"/>
            </w:tcMar>
            <w:vAlign w:val="center"/>
          </w:tcPr>
          <w:p>
            <w:pPr>
              <w:jc w:val="center"/>
            </w:pPr>
            <w:r>
              <w:rPr>
                <w:rFonts w:ascii="Calibri" w:cs="Calibri" w:eastAsia="Calibri" w:hAnsi="Calibri"/>
                <w:b w:val="false"/>
                <w:bCs w:val="false"/>
                <w:i w:val="false"/>
                <w:iCs w:val="false"/>
                <w:color w:val="222222"/>
                <w:sz w:val="20"/>
                <w:szCs w:val="20"/>
              </w:rPr>
              <w:t xml:space="preserve">15 July 2026</w:t>
            </w:r>
          </w:p>
        </w:tc>
        <w:tc>
          <w:tcPr>
            <w:tcW w:type="dxa" w:w="4500"/>
            <w:tcMar>
              <w:top w:type="dxa" w:w="90"/>
              <w:left w:type="dxa" w:w="120"/>
              <w:bottom w:type="dxa" w:w="90"/>
              <w:right w:type="dxa" w:w="120"/>
            </w:tcMar>
            <w:vAlign w:val="center"/>
          </w:tcPr>
          <w:p>
            <w:pPr>
              <w:jc w:val="center"/>
            </w:pPr>
            <w:r>
              <w:rPr>
                <w:rFonts w:ascii="Calibri" w:cs="Calibri" w:eastAsia="Calibri" w:hAnsi="Calibri"/>
                <w:b w:val="false"/>
                <w:bCs w:val="false"/>
                <w:i w:val="false"/>
                <w:iCs w:val="false"/>
                <w:color w:val="222222"/>
                <w:sz w:val="20"/>
                <w:szCs w:val="20"/>
              </w:rPr>
              <w:t xml:space="preserve">JBMS-SDA-v1.0</w:t>
            </w:r>
          </w:p>
        </w:tc>
      </w:tr>
    </w:tbl>
    <w:p>
      <w:pPr>
        <w:spacing w:before="300"/>
      </w:pPr>
    </w:p>
    <w:p>
      <w:pPr>
        <w:pBdr>
          <w:left w:val="single" w:color="C9A227" w:sz="12" w:space="6"/>
        </w:pBdr>
        <w:shd w:fill="FFF6DA" w:val="clear"/>
        <w:spacing w:after="200" w:before="100"/>
        <w:ind w:left="120"/>
      </w:pPr>
      <w:r>
        <w:rPr>
          <w:rFonts w:ascii="Calibri" w:cs="Calibri" w:eastAsia="Calibri" w:hAnsi="Calibri"/>
          <w:b/>
          <w:bCs/>
          <w:i/>
          <w:iCs/>
          <w:color w:val="946200"/>
          <w:sz w:val="19"/>
          <w:szCs w:val="19"/>
        </w:rPr>
        <w:t xml:space="preserve">⚠ Legal Review Recommended: </w:t>
      </w:r>
      <w:r>
        <w:rPr>
          <w:rFonts w:ascii="Calibri" w:cs="Calibri" w:eastAsia="Calibri" w:hAnsi="Calibri"/>
          <w:b w:val="false"/>
          <w:bCs w:val="false"/>
          <w:i/>
          <w:iCs/>
          <w:color w:val="946200"/>
          <w:sz w:val="19"/>
          <w:szCs w:val="19"/>
        </w:rPr>
        <w:t xml:space="preserve">This is a working draft aligned to your actual agreed scope, technology approach, and payment structure. Have it reviewed by a lawyer/CA before printing on stamp paper or sending for signature.</w:t>
      </w:r>
    </w:p>
    <w:p>
      <w:pPr>
        <w:sectPr>
          <w:pgSz w:w="12240" w:h="15840" w:orient="portrait"/>
          <w:pgMar w:top="1000" w:right="1200" w:bottom="1000" w:left="1200" w:header="708" w:footer="708" w:gutter="0"/>
          <w:pgNumType/>
          <w:docGrid w:linePitch="360"/>
        </w:sectPr>
      </w:pPr>
    </w:p>
    <w:p>
      <w:pPr>
        <w:pStyle w:val="Heading1"/>
        <w:pBdr>
          <w:bottom w:val="single" w:color="C9A227" w:sz="8" w:space="4"/>
        </w:pBdr>
        <w:spacing w:after="200" w:before="420"/>
      </w:pPr>
      <w:r>
        <w:rPr>
          <w:rFonts w:ascii="Calibri" w:cs="Calibri" w:eastAsia="Calibri" w:hAnsi="Calibri"/>
          <w:b/>
          <w:bCs/>
          <w:color w:val="0B1E3F"/>
          <w:sz w:val="26"/>
          <w:szCs w:val="26"/>
        </w:rPr>
        <w:t xml:space="preserve">Software Development &amp; Services Agreement</w:t>
      </w:r>
    </w:p>
    <w:p>
      <w:pPr>
        <w:spacing w:after="140" w:line="300"/>
      </w:pPr>
      <w:r>
        <w:rPr>
          <w:rFonts w:ascii="Calibri" w:cs="Calibri" w:eastAsia="Calibri" w:hAnsi="Calibri"/>
          <w:b w:val="false"/>
          <w:bCs w:val="false"/>
          <w:i w:val="false"/>
          <w:iCs w:val="false"/>
          <w:color w:val="222222"/>
          <w:sz w:val="20"/>
          <w:szCs w:val="20"/>
        </w:rPr>
        <w:t xml:space="preserve">THIS SOFTWARE DEVELOPMENT AND SERVICES AGREEMENT ("Agreement") is entered into on this 15th day of July, 2026 ("Effective Date"), by and between:</w:t>
      </w:r>
    </w:p>
    <w:p>
      <w:pPr>
        <w:spacing w:after="140" w:line="300"/>
      </w:pPr>
      <w:r>
        <w:rPr>
          <w:rFonts w:ascii="Calibri" w:cs="Calibri" w:eastAsia="Calibri" w:hAnsi="Calibri"/>
          <w:b/>
          <w:bCs/>
          <w:i w:val="false"/>
          <w:iCs w:val="false"/>
          <w:color w:val="222222"/>
          <w:sz w:val="20"/>
          <w:szCs w:val="20"/>
        </w:rPr>
        <w:t xml:space="preserve">NEXSHAM TECHNOLOGIES</w:t>
      </w:r>
      <w:r>
        <w:rPr>
          <w:rFonts w:ascii="Calibri" w:cs="Calibri" w:eastAsia="Calibri" w:hAnsi="Calibri"/>
          <w:b w:val="false"/>
          <w:bCs w:val="false"/>
          <w:i w:val="false"/>
          <w:iCs w:val="false"/>
          <w:color w:val="222222"/>
          <w:sz w:val="20"/>
          <w:szCs w:val="20"/>
        </w:rPr>
        <w:t xml:space="preserve">, a software services firm having its primary place of operations at </w:t>
      </w:r>
      <w:r>
        <w:rPr>
          <w:rFonts w:ascii="Calibri" w:cs="Calibri" w:eastAsia="Calibri" w:hAnsi="Calibri"/>
          <w:i/>
          <w:iCs/>
          <w:color w:val="B33A00"/>
          <w:sz w:val="20"/>
          <w:szCs w:val="20"/>
        </w:rPr>
        <w:t xml:space="preserve">[NexSham registered/office address, Agra, Uttar Pradesh]</w:t>
      </w:r>
      <w:r>
        <w:rPr>
          <w:rFonts w:ascii="Calibri" w:cs="Calibri" w:eastAsia="Calibri" w:hAnsi="Calibri"/>
          <w:b w:val="false"/>
          <w:bCs w:val="false"/>
          <w:i w:val="false"/>
          <w:iCs w:val="false"/>
          <w:color w:val="222222"/>
          <w:sz w:val="20"/>
          <w:szCs w:val="20"/>
        </w:rPr>
        <w:t xml:space="preserve">, represented by its Founder &amp; Chief Executive Officer, Mohammed Humza (hereinafter the "Service Provider");</w:t>
      </w:r>
    </w:p>
    <w:p>
      <w:pPr>
        <w:spacing w:after="140" w:line="300"/>
      </w:pPr>
      <w:r>
        <w:rPr>
          <w:rFonts w:ascii="Calibri" w:cs="Calibri" w:eastAsia="Calibri" w:hAnsi="Calibri"/>
          <w:b w:val="false"/>
          <w:bCs w:val="false"/>
          <w:i w:val="false"/>
          <w:iCs w:val="false"/>
          <w:color w:val="222222"/>
          <w:sz w:val="20"/>
          <w:szCs w:val="20"/>
        </w:rPr>
        <w:t xml:space="preserve">AND</w:t>
      </w:r>
    </w:p>
    <w:p>
      <w:pPr>
        <w:spacing w:after="140" w:line="300"/>
      </w:pPr>
      <w:r>
        <w:rPr>
          <w:rFonts w:ascii="Calibri" w:cs="Calibri" w:eastAsia="Calibri" w:hAnsi="Calibri"/>
          <w:b/>
          <w:bCs/>
          <w:i w:val="false"/>
          <w:iCs w:val="false"/>
          <w:color w:val="222222"/>
          <w:sz w:val="20"/>
          <w:szCs w:val="20"/>
        </w:rPr>
        <w:t xml:space="preserve">JAI SHIV TRADING COMPANY</w:t>
      </w:r>
      <w:r>
        <w:rPr>
          <w:rFonts w:ascii="Calibri" w:cs="Calibri" w:eastAsia="Calibri" w:hAnsi="Calibri"/>
          <w:b w:val="false"/>
          <w:bCs w:val="false"/>
          <w:i w:val="false"/>
          <w:iCs w:val="false"/>
          <w:color w:val="222222"/>
          <w:sz w:val="20"/>
          <w:szCs w:val="20"/>
        </w:rPr>
        <w:t xml:space="preserve">, a commercial trading business having its principal place of business at </w:t>
      </w:r>
      <w:r>
        <w:rPr>
          <w:rFonts w:ascii="Calibri" w:cs="Calibri" w:eastAsia="Calibri" w:hAnsi="Calibri"/>
          <w:i/>
          <w:iCs/>
          <w:color w:val="B33A00"/>
          <w:sz w:val="20"/>
          <w:szCs w:val="20"/>
        </w:rPr>
        <w:t xml:space="preserve">[Client's registered business address]</w:t>
      </w:r>
      <w:r>
        <w:rPr>
          <w:rFonts w:ascii="Calibri" w:cs="Calibri" w:eastAsia="Calibri" w:hAnsi="Calibri"/>
          <w:b w:val="false"/>
          <w:bCs w:val="false"/>
          <w:i w:val="false"/>
          <w:iCs w:val="false"/>
          <w:color w:val="222222"/>
          <w:sz w:val="20"/>
          <w:szCs w:val="20"/>
        </w:rPr>
        <w:t xml:space="preserve">, represented by its Owner, Mr. Bobi Chauhan (hereinafter the "Client").</w:t>
      </w:r>
    </w:p>
    <w:p>
      <w:pPr>
        <w:spacing w:after="140" w:line="300"/>
      </w:pPr>
      <w:r>
        <w:rPr>
          <w:rFonts w:ascii="Calibri" w:cs="Calibri" w:eastAsia="Calibri" w:hAnsi="Calibri"/>
          <w:b w:val="false"/>
          <w:bCs w:val="false"/>
          <w:i w:val="false"/>
          <w:iCs w:val="false"/>
          <w:color w:val="222222"/>
          <w:sz w:val="20"/>
          <w:szCs w:val="20"/>
        </w:rPr>
        <w:t xml:space="preserve">(The Service Provider and the Client are individually a "Party" and collectively the "Parties".)</w:t>
      </w:r>
    </w:p>
    <w:p>
      <w:pPr>
        <w:pStyle w:val="Heading2"/>
        <w:spacing w:after="100" w:before="220"/>
      </w:pPr>
      <w:r>
        <w:rPr>
          <w:rFonts w:ascii="Calibri" w:cs="Calibri" w:eastAsia="Calibri" w:hAnsi="Calibri"/>
          <w:b/>
          <w:bCs/>
          <w:color w:val="0B1E3F"/>
          <w:sz w:val="21"/>
          <w:szCs w:val="21"/>
        </w:rPr>
        <w:t xml:space="preserve">Preamble</w:t>
      </w:r>
    </w:p>
    <w:p>
      <w:pPr>
        <w:spacing w:after="140" w:line="300"/>
      </w:pPr>
      <w:r>
        <w:rPr>
          <w:rFonts w:ascii="Calibri" w:cs="Calibri" w:eastAsia="Calibri" w:hAnsi="Calibri"/>
          <w:b w:val="false"/>
          <w:bCs w:val="false"/>
          <w:i w:val="false"/>
          <w:iCs w:val="false"/>
          <w:color w:val="222222"/>
          <w:sz w:val="20"/>
          <w:szCs w:val="20"/>
        </w:rPr>
        <w:t xml:space="preserve">WHEREAS, the Service Provider specializes in custom web-based software design, development, and deployment;</w:t>
      </w:r>
    </w:p>
    <w:p>
      <w:pPr>
        <w:spacing w:after="140" w:line="300"/>
      </w:pPr>
      <w:r>
        <w:rPr>
          <w:rFonts w:ascii="Calibri" w:cs="Calibri" w:eastAsia="Calibri" w:hAnsi="Calibri"/>
          <w:b w:val="false"/>
          <w:bCs w:val="false"/>
          <w:i w:val="false"/>
          <w:iCs w:val="false"/>
          <w:color w:val="222222"/>
          <w:sz w:val="20"/>
          <w:szCs w:val="20"/>
        </w:rPr>
        <w:t xml:space="preserve">WHEREAS, the Client operates a denim and non-denim fabric/jeans manufacturing and trading business across three branch locations, with centralized billing and dispatch operations from its main branch, and requires a custom business management system to manage billing, customer/vendor relationships, and payments;</w:t>
      </w:r>
    </w:p>
    <w:p>
      <w:pPr>
        <w:spacing w:after="140" w:line="300"/>
      </w:pPr>
      <w:r>
        <w:rPr>
          <w:rFonts w:ascii="Calibri" w:cs="Calibri" w:eastAsia="Calibri" w:hAnsi="Calibri"/>
          <w:b w:val="false"/>
          <w:bCs w:val="false"/>
          <w:i w:val="false"/>
          <w:iCs w:val="false"/>
          <w:color w:val="222222"/>
          <w:sz w:val="20"/>
          <w:szCs w:val="20"/>
        </w:rPr>
        <w:t xml:space="preserve">WHEREAS, the Client desires to engage the Service Provider, and the Service Provider agrees to be engaged, to design, develop, test, and deploy the custom software solution — the Jai Shiv Business Management System ("JBMS") — under the terms set forth herein;</w:t>
      </w:r>
    </w:p>
    <w:p>
      <w:pPr>
        <w:spacing w:after="140" w:line="300"/>
      </w:pPr>
      <w:r>
        <w:rPr>
          <w:rFonts w:ascii="Calibri" w:cs="Calibri" w:eastAsia="Calibri" w:hAnsi="Calibri"/>
          <w:b w:val="false"/>
          <w:bCs w:val="false"/>
          <w:i w:val="false"/>
          <w:iCs w:val="false"/>
          <w:color w:val="222222"/>
          <w:sz w:val="20"/>
          <w:szCs w:val="20"/>
        </w:rPr>
        <w:t xml:space="preserve">NOW, THEREFORE, IT IS MUTUALLY AGREED AS FOLLOWS:</w:t>
      </w:r>
    </w:p>
    <w:p>
      <w:r>
        <w:br w:type="page"/>
      </w:r>
    </w:p>
    <w:p>
      <w:pPr>
        <w:pStyle w:val="Heading1"/>
        <w:pBdr>
          <w:bottom w:val="single" w:color="C9A227" w:sz="8" w:space="4"/>
        </w:pBdr>
        <w:spacing w:after="200" w:before="420"/>
      </w:pPr>
      <w:r>
        <w:rPr>
          <w:rFonts w:ascii="Calibri" w:cs="Calibri" w:eastAsia="Calibri" w:hAnsi="Calibri"/>
          <w:b/>
          <w:bCs/>
          <w:color w:val="0B1E3F"/>
          <w:sz w:val="26"/>
          <w:szCs w:val="26"/>
        </w:rPr>
        <w:t xml:space="preserve">1. Definitions &amp; Interpretation</w:t>
      </w:r>
    </w:p>
    <w:p>
      <w:pPr>
        <w:spacing w:after="140" w:line="300"/>
      </w:pPr>
      <w:r>
        <w:rPr>
          <w:rFonts w:ascii="Calibri" w:cs="Calibri" w:eastAsia="Calibri" w:hAnsi="Calibri"/>
          <w:b w:val="false"/>
          <w:bCs w:val="false"/>
          <w:i w:val="false"/>
          <w:iCs w:val="false"/>
          <w:color w:val="222222"/>
          <w:sz w:val="20"/>
          <w:szCs w:val="20"/>
        </w:rPr>
        <w:t xml:space="preserve">"Deliverables" means the JBMS web application (built as a responsive, installable Progressive Web App accessible on desktop, Android, and iOS browsers), together with the associated cloud database and hosting configuration, as detailed in Exhibit A (Final Functional Requirements) and Exhibit B (Development Plan &amp; Payment Schedule).</w:t>
      </w:r>
    </w:p>
    <w:p>
      <w:pPr>
        <w:spacing w:after="140" w:line="300"/>
      </w:pPr>
      <w:r>
        <w:rPr>
          <w:rFonts w:ascii="Calibri" w:cs="Calibri" w:eastAsia="Calibri" w:hAnsi="Calibri"/>
          <w:b w:val="false"/>
          <w:bCs w:val="false"/>
          <w:i w:val="false"/>
          <w:iCs w:val="false"/>
          <w:color w:val="222222"/>
          <w:sz w:val="20"/>
          <w:szCs w:val="20"/>
        </w:rPr>
        <w:t xml:space="preserve">"Background IP" means all pre-existing code libraries, frameworks, tools, and technical architecture owned by the Service Provider prior to the Effective Date, used in delivering the Deliverables.</w:t>
      </w:r>
    </w:p>
    <w:p>
      <w:pPr>
        <w:spacing w:after="140" w:line="300"/>
      </w:pPr>
      <w:r>
        <w:rPr>
          <w:rFonts w:ascii="Calibri" w:cs="Calibri" w:eastAsia="Calibri" w:hAnsi="Calibri"/>
          <w:b w:val="false"/>
          <w:bCs w:val="false"/>
          <w:i w:val="false"/>
          <w:iCs w:val="false"/>
          <w:color w:val="222222"/>
          <w:sz w:val="20"/>
          <w:szCs w:val="20"/>
        </w:rPr>
        <w:t xml:space="preserve">"Intellectual Property Rights" or "IP Rights" means all copyrights, trade secrets, and source code ownership rights specifically created for the Deliverables under this Agreement.</w:t>
      </w:r>
    </w:p>
    <w:p>
      <w:pPr>
        <w:spacing w:after="140" w:line="300"/>
      </w:pPr>
      <w:r>
        <w:rPr>
          <w:rFonts w:ascii="Calibri" w:cs="Calibri" w:eastAsia="Calibri" w:hAnsi="Calibri"/>
          <w:b w:val="false"/>
          <w:bCs w:val="false"/>
          <w:i w:val="false"/>
          <w:iCs w:val="false"/>
          <w:color w:val="222222"/>
          <w:sz w:val="20"/>
          <w:szCs w:val="20"/>
        </w:rPr>
        <w:t xml:space="preserve">"Change Request" means any request for additional modules, features, or adjustments falling outside the scope explicitly itemized in Exhibit A.</w:t>
      </w:r>
    </w:p>
    <w:p>
      <w:pPr>
        <w:pStyle w:val="Heading1"/>
        <w:pBdr>
          <w:bottom w:val="single" w:color="C9A227" w:sz="8" w:space="4"/>
        </w:pBdr>
        <w:spacing w:after="200" w:before="420"/>
      </w:pPr>
      <w:r>
        <w:rPr>
          <w:rFonts w:ascii="Calibri" w:cs="Calibri" w:eastAsia="Calibri" w:hAnsi="Calibri"/>
          <w:b/>
          <w:bCs/>
          <w:color w:val="0B1E3F"/>
          <w:sz w:val="26"/>
          <w:szCs w:val="26"/>
        </w:rPr>
        <w:t xml:space="preserve">2. Scope of Engagement</w:t>
      </w:r>
    </w:p>
    <w:p>
      <w:pPr>
        <w:spacing w:after="140" w:line="300"/>
      </w:pPr>
      <w:r>
        <w:rPr>
          <w:rFonts w:ascii="Calibri" w:cs="Calibri" w:eastAsia="Calibri" w:hAnsi="Calibri"/>
          <w:b w:val="false"/>
          <w:bCs w:val="false"/>
          <w:i w:val="false"/>
          <w:iCs w:val="false"/>
          <w:color w:val="222222"/>
          <w:sz w:val="20"/>
          <w:szCs w:val="20"/>
        </w:rPr>
        <w:t xml:space="preserve">2.1 Engagement: </w:t>
      </w:r>
      <w:r>
        <w:rPr>
          <w:rFonts w:ascii="Calibri" w:cs="Calibri" w:eastAsia="Calibri" w:hAnsi="Calibri"/>
          <w:b w:val="false"/>
          <w:bCs w:val="false"/>
          <w:i w:val="false"/>
          <w:iCs w:val="false"/>
          <w:color w:val="222222"/>
          <w:sz w:val="20"/>
          <w:szCs w:val="20"/>
        </w:rPr>
        <w:t xml:space="preserve">The Client engages the Service Provider as an independent contractor to perform the technical services described in this Agreement. This relationship does not constitute employment, partnership, or agency.</w:t>
      </w:r>
    </w:p>
    <w:p>
      <w:pPr>
        <w:spacing w:after="140" w:line="300"/>
      </w:pPr>
      <w:r>
        <w:rPr>
          <w:rFonts w:ascii="Calibri" w:cs="Calibri" w:eastAsia="Calibri" w:hAnsi="Calibri"/>
          <w:b w:val="false"/>
          <w:bCs w:val="false"/>
          <w:i w:val="false"/>
          <w:iCs w:val="false"/>
          <w:color w:val="222222"/>
          <w:sz w:val="20"/>
          <w:szCs w:val="20"/>
        </w:rPr>
        <w:t xml:space="preserve">2.2 Scope Specificity: </w:t>
      </w:r>
      <w:r>
        <w:rPr>
          <w:rFonts w:ascii="Calibri" w:cs="Calibri" w:eastAsia="Calibri" w:hAnsi="Calibri"/>
          <w:b w:val="false"/>
          <w:bCs w:val="false"/>
          <w:i w:val="false"/>
          <w:iCs w:val="false"/>
          <w:color w:val="222222"/>
          <w:sz w:val="20"/>
          <w:szCs w:val="20"/>
        </w:rPr>
        <w:t xml:space="preserve">The Service Provider shall deliver the modules and features explicitly itemized in Exhibit A (Final Functional Requirements v2.0, dated 15 July 2026), reflecting the scope confirmed directly with the Client. This explicitly excludes Vendor Management, Dispatch Management, and full Inventory/Stock Management, which the Client has confirmed are not required. Product Management is limited to a lightweight product catalog (name, price, GST rate, HSN code) supporting the Billing module.</w:t>
      </w:r>
    </w:p>
    <w:p>
      <w:pPr>
        <w:spacing w:after="140" w:line="300"/>
      </w:pPr>
      <w:r>
        <w:rPr>
          <w:rFonts w:ascii="Calibri" w:cs="Calibri" w:eastAsia="Calibri" w:hAnsi="Calibri"/>
          <w:b w:val="false"/>
          <w:bCs w:val="false"/>
          <w:i w:val="false"/>
          <w:iCs w:val="false"/>
          <w:color w:val="222222"/>
          <w:sz w:val="20"/>
          <w:szCs w:val="20"/>
        </w:rPr>
        <w:t xml:space="preserve">2.3 Change Requests: </w:t>
      </w:r>
      <w:r>
        <w:rPr>
          <w:rFonts w:ascii="Calibri" w:cs="Calibri" w:eastAsia="Calibri" w:hAnsi="Calibri"/>
          <w:b w:val="false"/>
          <w:bCs w:val="false"/>
          <w:i w:val="false"/>
          <w:iCs w:val="false"/>
          <w:color w:val="222222"/>
          <w:sz w:val="20"/>
          <w:szCs w:val="20"/>
        </w:rPr>
        <w:t xml:space="preserve">Any feature, module, or adjustment requested by the Client outside of Exhibit A shall be handled via a written Change Request, quoted and scheduled separately from the timeline and cost set out in this Agreement.</w:t>
      </w:r>
    </w:p>
    <w:p>
      <w:pPr>
        <w:spacing w:after="140" w:line="300"/>
      </w:pPr>
      <w:r>
        <w:rPr>
          <w:rFonts w:ascii="Calibri" w:cs="Calibri" w:eastAsia="Calibri" w:hAnsi="Calibri"/>
          <w:b w:val="false"/>
          <w:bCs w:val="false"/>
          <w:i w:val="false"/>
          <w:iCs w:val="false"/>
          <w:color w:val="222222"/>
          <w:sz w:val="20"/>
          <w:szCs w:val="20"/>
        </w:rPr>
        <w:t xml:space="preserve">2.4 Technology Approach: </w:t>
      </w:r>
      <w:r>
        <w:rPr>
          <w:rFonts w:ascii="Calibri" w:cs="Calibri" w:eastAsia="Calibri" w:hAnsi="Calibri"/>
          <w:b w:val="false"/>
          <w:bCs w:val="false"/>
          <w:i w:val="false"/>
          <w:iCs w:val="false"/>
          <w:color w:val="222222"/>
          <w:sz w:val="20"/>
          <w:szCs w:val="20"/>
        </w:rPr>
        <w:t xml:space="preserve">The Deliverables shall be built as a single responsive web application (Progressive Web App), accessible across Windows, Android, iOS, and modern web browsers, rather than as separate native mobile applications, per the technology approach agreed with the Client.</w:t>
      </w:r>
    </w:p>
    <w:p>
      <w:r>
        <w:br w:type="page"/>
      </w:r>
    </w:p>
    <w:p>
      <w:pPr>
        <w:pStyle w:val="Heading1"/>
        <w:pBdr>
          <w:bottom w:val="single" w:color="C9A227" w:sz="8" w:space="4"/>
        </w:pBdr>
        <w:spacing w:after="200" w:before="420"/>
      </w:pPr>
      <w:r>
        <w:rPr>
          <w:rFonts w:ascii="Calibri" w:cs="Calibri" w:eastAsia="Calibri" w:hAnsi="Calibri"/>
          <w:b/>
          <w:bCs/>
          <w:color w:val="0B1E3F"/>
          <w:sz w:val="26"/>
          <w:szCs w:val="26"/>
        </w:rPr>
        <w:t xml:space="preserve">3. Intellectual Property Rights</w:t>
      </w:r>
    </w:p>
    <w:p>
      <w:pPr>
        <w:spacing w:after="140" w:line="300"/>
      </w:pPr>
      <w:r>
        <w:rPr>
          <w:rFonts w:ascii="Calibri" w:cs="Calibri" w:eastAsia="Calibri" w:hAnsi="Calibri"/>
          <w:b w:val="false"/>
          <w:bCs w:val="false"/>
          <w:i w:val="false"/>
          <w:iCs w:val="false"/>
          <w:color w:val="222222"/>
          <w:sz w:val="20"/>
          <w:szCs w:val="20"/>
        </w:rPr>
        <w:t xml:space="preserve">3.1 Conditional Ownership: </w:t>
      </w:r>
      <w:r>
        <w:rPr>
          <w:rFonts w:ascii="Calibri" w:cs="Calibri" w:eastAsia="Calibri" w:hAnsi="Calibri"/>
          <w:b w:val="false"/>
          <w:bCs w:val="false"/>
          <w:i w:val="false"/>
          <w:iCs w:val="false"/>
          <w:color w:val="222222"/>
          <w:sz w:val="20"/>
          <w:szCs w:val="20"/>
        </w:rPr>
        <w:t xml:space="preserve">All right, title, and interest in the custom source code, database design, and configuration developed specifically for JBMS under this Agreement shall remain with the Service Provider until all milestone payments set out in Exhibit B are received in full.</w:t>
      </w:r>
    </w:p>
    <w:p>
      <w:pPr>
        <w:spacing w:after="140" w:line="300"/>
      </w:pPr>
      <w:r>
        <w:rPr>
          <w:rFonts w:ascii="Calibri" w:cs="Calibri" w:eastAsia="Calibri" w:hAnsi="Calibri"/>
          <w:b w:val="false"/>
          <w:bCs w:val="false"/>
          <w:i w:val="false"/>
          <w:iCs w:val="false"/>
          <w:color w:val="222222"/>
          <w:sz w:val="20"/>
          <w:szCs w:val="20"/>
        </w:rPr>
        <w:t xml:space="preserve">3.2 Final Transfer: </w:t>
      </w:r>
      <w:r>
        <w:rPr>
          <w:rFonts w:ascii="Calibri" w:cs="Calibri" w:eastAsia="Calibri" w:hAnsi="Calibri"/>
          <w:b w:val="false"/>
          <w:bCs w:val="false"/>
          <w:i w:val="false"/>
          <w:iCs w:val="false"/>
          <w:color w:val="222222"/>
          <w:sz w:val="20"/>
          <w:szCs w:val="20"/>
        </w:rPr>
        <w:t xml:space="preserve">Upon receipt of the final milestone payment (Milestone 4 — Phase 3 &amp; Final Handover), full ownership of the JBMS source code and associated custom IP shall transfer to the Client.</w:t>
      </w:r>
    </w:p>
    <w:p>
      <w:pPr>
        <w:spacing w:after="140" w:line="300"/>
      </w:pPr>
      <w:r>
        <w:rPr>
          <w:rFonts w:ascii="Calibri" w:cs="Calibri" w:eastAsia="Calibri" w:hAnsi="Calibri"/>
          <w:b w:val="false"/>
          <w:bCs w:val="false"/>
          <w:i w:val="false"/>
          <w:iCs w:val="false"/>
          <w:color w:val="222222"/>
          <w:sz w:val="20"/>
          <w:szCs w:val="20"/>
        </w:rPr>
        <w:t xml:space="preserve">3.3 Background IP: </w:t>
      </w:r>
      <w:r>
        <w:rPr>
          <w:rFonts w:ascii="Calibri" w:cs="Calibri" w:eastAsia="Calibri" w:hAnsi="Calibri"/>
          <w:b w:val="false"/>
          <w:bCs w:val="false"/>
          <w:i w:val="false"/>
          <w:iCs w:val="false"/>
          <w:color w:val="222222"/>
          <w:sz w:val="20"/>
          <w:szCs w:val="20"/>
        </w:rPr>
        <w:t xml:space="preserve">The Service Provider retains ownership of all Background IP. The Client is granted a non-exclusive, royalty-free, perpetual license to use such Background IP solely as embedded within JBMS.</w:t>
      </w:r>
    </w:p>
    <w:p>
      <w:pPr>
        <w:spacing w:after="140" w:line="300"/>
      </w:pPr>
      <w:r>
        <w:rPr>
          <w:rFonts w:ascii="Calibri" w:cs="Calibri" w:eastAsia="Calibri" w:hAnsi="Calibri"/>
          <w:b w:val="false"/>
          <w:bCs w:val="false"/>
          <w:i w:val="false"/>
          <w:iCs w:val="false"/>
          <w:color w:val="222222"/>
          <w:sz w:val="20"/>
          <w:szCs w:val="20"/>
        </w:rPr>
        <w:t xml:space="preserve">3.4 Domain &amp; Hosting Ownership: </w:t>
      </w:r>
      <w:r>
        <w:rPr>
          <w:rFonts w:ascii="Calibri" w:cs="Calibri" w:eastAsia="Calibri" w:hAnsi="Calibri"/>
          <w:b w:val="false"/>
          <w:bCs w:val="false"/>
          <w:i w:val="false"/>
          <w:iCs w:val="false"/>
          <w:color w:val="222222"/>
          <w:sz w:val="20"/>
          <w:szCs w:val="20"/>
        </w:rPr>
        <w:t xml:space="preserve">Any domain registered for JBMS shall be registered in the Client's name, regardless of which hosting option (per Exhibit A, Section 4.2 of the SRS) is selected. The Service Provider may manage technical configuration on the Client's behalf but does not retain ownership of the domain.</w:t>
      </w:r>
    </w:p>
    <w:p>
      <w:pPr>
        <w:pStyle w:val="Heading1"/>
        <w:pBdr>
          <w:bottom w:val="single" w:color="C9A227" w:sz="8" w:space="4"/>
        </w:pBdr>
        <w:spacing w:after="200" w:before="420"/>
      </w:pPr>
      <w:r>
        <w:rPr>
          <w:rFonts w:ascii="Calibri" w:cs="Calibri" w:eastAsia="Calibri" w:hAnsi="Calibri"/>
          <w:b/>
          <w:bCs/>
          <w:color w:val="0B1E3F"/>
          <w:sz w:val="26"/>
          <w:szCs w:val="26"/>
        </w:rPr>
        <w:t xml:space="preserve">4. Financial Terms &amp; Payment Schedule</w:t>
      </w:r>
    </w:p>
    <w:p>
      <w:pPr>
        <w:spacing w:after="140" w:line="300"/>
      </w:pPr>
      <w:r>
        <w:rPr>
          <w:rFonts w:ascii="Calibri" w:cs="Calibri" w:eastAsia="Calibri" w:hAnsi="Calibri"/>
          <w:b w:val="false"/>
          <w:bCs w:val="false"/>
          <w:i w:val="false"/>
          <w:iCs w:val="false"/>
          <w:color w:val="222222"/>
          <w:sz w:val="20"/>
          <w:szCs w:val="20"/>
        </w:rPr>
        <w:t xml:space="preserve">4.1 Total Project Cost: </w:t>
      </w:r>
      <w:r>
        <w:rPr>
          <w:rFonts w:ascii="Calibri" w:cs="Calibri" w:eastAsia="Calibri" w:hAnsi="Calibri"/>
          <w:b w:val="false"/>
          <w:bCs w:val="false"/>
          <w:i w:val="false"/>
          <w:iCs w:val="false"/>
          <w:color w:val="222222"/>
          <w:sz w:val="20"/>
          <w:szCs w:val="20"/>
        </w:rPr>
        <w:t xml:space="preserve">The total cost for the JBMS project is set out in Exhibit B (Payment Schedule), based on the finalized scope in Exhibit A.</w:t>
      </w:r>
      <w:r>
        <w:rPr>
          <w:rFonts w:ascii="Calibri" w:cs="Calibri" w:eastAsia="Calibri" w:hAnsi="Calibri"/>
          <w:i/>
          <w:iCs/>
          <w:color w:val="B33A00"/>
          <w:sz w:val="20"/>
          <w:szCs w:val="20"/>
        </w:rPr>
        <w:t xml:space="preserve">[ final agreed total, e.g. ₹X,XX,XXX]</w:t>
      </w:r>
    </w:p>
    <w:p>
      <w:pPr>
        <w:spacing w:after="140" w:line="300"/>
      </w:pPr>
      <w:r>
        <w:rPr>
          <w:rFonts w:ascii="Calibri" w:cs="Calibri" w:eastAsia="Calibri" w:hAnsi="Calibri"/>
          <w:b w:val="false"/>
          <w:bCs w:val="false"/>
          <w:i w:val="false"/>
          <w:iCs w:val="false"/>
          <w:color w:val="222222"/>
          <w:sz w:val="20"/>
          <w:szCs w:val="20"/>
        </w:rPr>
        <w:t xml:space="preserve">4.2 Milestone Payments: </w:t>
      </w:r>
      <w:r>
        <w:rPr>
          <w:rFonts w:ascii="Calibri" w:cs="Calibri" w:eastAsia="Calibri" w:hAnsi="Calibri"/>
          <w:b w:val="false"/>
          <w:bCs w:val="false"/>
          <w:i w:val="false"/>
          <w:iCs w:val="false"/>
          <w:color w:val="222222"/>
          <w:sz w:val="20"/>
          <w:szCs w:val="20"/>
        </w:rPr>
        <w:t xml:space="preserve">Payments are due within </w:t>
      </w:r>
      <w:r>
        <w:rPr>
          <w:rFonts w:ascii="Calibri" w:cs="Calibri" w:eastAsia="Calibri" w:hAnsi="Calibri"/>
          <w:i/>
          <w:iCs/>
          <w:color w:val="B33A00"/>
          <w:sz w:val="20"/>
          <w:szCs w:val="20"/>
        </w:rPr>
        <w:t xml:space="preserve">[7]</w:t>
      </w:r>
      <w:r>
        <w:rPr>
          <w:rFonts w:ascii="Calibri" w:cs="Calibri" w:eastAsia="Calibri" w:hAnsi="Calibri"/>
          <w:b w:val="false"/>
          <w:bCs w:val="false"/>
          <w:i w:val="false"/>
          <w:iCs w:val="false"/>
          <w:color w:val="222222"/>
          <w:sz w:val="20"/>
          <w:szCs w:val="20"/>
        </w:rPr>
        <w:t xml:space="preserve"> days of the Client receiving written notice that the corresponding milestone has been delivered, per the schedule in Exhibit B.</w:t>
      </w:r>
    </w:p>
    <w:p>
      <w:pPr>
        <w:spacing w:after="140" w:line="300"/>
      </w:pPr>
      <w:r>
        <w:rPr>
          <w:rFonts w:ascii="Calibri" w:cs="Calibri" w:eastAsia="Calibri" w:hAnsi="Calibri"/>
          <w:b w:val="false"/>
          <w:bCs w:val="false"/>
          <w:i w:val="false"/>
          <w:iCs w:val="false"/>
          <w:color w:val="222222"/>
          <w:sz w:val="20"/>
          <w:szCs w:val="20"/>
        </w:rPr>
        <w:t xml:space="preserve">4.3 Tax: </w:t>
      </w:r>
      <w:r>
        <w:rPr>
          <w:rFonts w:ascii="Calibri" w:cs="Calibri" w:eastAsia="Calibri" w:hAnsi="Calibri"/>
          <w:b w:val="false"/>
          <w:bCs w:val="false"/>
          <w:i w:val="false"/>
          <w:iCs w:val="false"/>
          <w:color w:val="222222"/>
          <w:sz w:val="20"/>
          <w:szCs w:val="20"/>
        </w:rPr>
        <w:t xml:space="preserve">Invoices are subject to applicable GST</w:t>
      </w:r>
      <w:r>
        <w:rPr>
          <w:rFonts w:ascii="Calibri" w:cs="Calibri" w:eastAsia="Calibri" w:hAnsi="Calibri"/>
          <w:i/>
          <w:iCs/>
          <w:color w:val="B33A00"/>
          <w:sz w:val="20"/>
          <w:szCs w:val="20"/>
        </w:rPr>
        <w:t xml:space="preserve">[, if the Service Provider is GST-registered — confirm and update this clause accordingly]</w:t>
      </w:r>
      <w:r>
        <w:rPr>
          <w:rFonts w:ascii="Calibri" w:cs="Calibri" w:eastAsia="Calibri" w:hAnsi="Calibri"/>
          <w:b w:val="false"/>
          <w:bCs w:val="false"/>
          <w:i w:val="false"/>
          <w:iCs w:val="false"/>
          <w:color w:val="222222"/>
          <w:sz w:val="20"/>
          <w:szCs w:val="20"/>
        </w:rPr>
        <w:t xml:space="preserve">.</w:t>
      </w:r>
    </w:p>
    <w:p>
      <w:pPr>
        <w:spacing w:after="140" w:line="300"/>
      </w:pPr>
      <w:r>
        <w:rPr>
          <w:rFonts w:ascii="Calibri" w:cs="Calibri" w:eastAsia="Calibri" w:hAnsi="Calibri"/>
          <w:b w:val="false"/>
          <w:bCs w:val="false"/>
          <w:i w:val="false"/>
          <w:iCs w:val="false"/>
          <w:color w:val="222222"/>
          <w:sz w:val="20"/>
          <w:szCs w:val="20"/>
        </w:rPr>
        <w:t xml:space="preserve">4.4 Late Payment: </w:t>
      </w:r>
      <w:r>
        <w:rPr>
          <w:rFonts w:ascii="Calibri" w:cs="Calibri" w:eastAsia="Calibri" w:hAnsi="Calibri"/>
          <w:b w:val="false"/>
          <w:bCs w:val="false"/>
          <w:i w:val="false"/>
          <w:iCs w:val="false"/>
          <w:color w:val="222222"/>
          <w:sz w:val="20"/>
          <w:szCs w:val="20"/>
        </w:rPr>
        <w:t xml:space="preserve">If a milestone payment remains outstanding for more than 7 calendar days past its due date, the Service Provider may pause active development on the project until payment is received. Work resumes promptly upon receipt of payment; the project timeline shall be extended by the length of the delay.</w:t>
      </w:r>
    </w:p>
    <w:p>
      <w:pPr>
        <w:spacing w:after="140" w:line="300"/>
      </w:pPr>
      <w:r>
        <w:rPr>
          <w:rFonts w:ascii="Calibri" w:cs="Calibri" w:eastAsia="Calibri" w:hAnsi="Calibri"/>
          <w:b w:val="false"/>
          <w:bCs w:val="false"/>
          <w:i w:val="false"/>
          <w:iCs w:val="false"/>
          <w:color w:val="222222"/>
          <w:sz w:val="20"/>
          <w:szCs w:val="20"/>
        </w:rPr>
        <w:t xml:space="preserve">4.5 Passthrough Costs: </w:t>
      </w:r>
      <w:r>
        <w:rPr>
          <w:rFonts w:ascii="Calibri" w:cs="Calibri" w:eastAsia="Calibri" w:hAnsi="Calibri"/>
          <w:b w:val="false"/>
          <w:bCs w:val="false"/>
          <w:i w:val="false"/>
          <w:iCs w:val="false"/>
          <w:color w:val="222222"/>
          <w:sz w:val="20"/>
          <w:szCs w:val="20"/>
        </w:rPr>
        <w:t xml:space="preserve">Costs for domain registration, cloud hosting, business email, and any third-party API services (e.g., WhatsApp Business API, E-Way Bill/GSP provider, if added later via Change Request) are billed separately to the Client at actual provider cost, without markup.</w:t>
      </w:r>
    </w:p>
    <w:p>
      <w:r>
        <w:br w:type="page"/>
      </w:r>
    </w:p>
    <w:p>
      <w:pPr>
        <w:pStyle w:val="Heading1"/>
        <w:pBdr>
          <w:bottom w:val="single" w:color="C9A227" w:sz="8" w:space="4"/>
        </w:pBdr>
        <w:spacing w:after="200" w:before="420"/>
      </w:pPr>
      <w:r>
        <w:rPr>
          <w:rFonts w:ascii="Calibri" w:cs="Calibri" w:eastAsia="Calibri" w:hAnsi="Calibri"/>
          <w:b/>
          <w:bCs/>
          <w:color w:val="0B1E3F"/>
          <w:sz w:val="26"/>
          <w:szCs w:val="26"/>
        </w:rPr>
        <w:t xml:space="preserve">5. Warranty &amp; Support</w:t>
      </w:r>
    </w:p>
    <w:p>
      <w:pPr>
        <w:spacing w:after="140" w:line="300"/>
      </w:pPr>
      <w:r>
        <w:rPr>
          <w:rFonts w:ascii="Calibri" w:cs="Calibri" w:eastAsia="Calibri" w:hAnsi="Calibri"/>
          <w:b w:val="false"/>
          <w:bCs w:val="false"/>
          <w:i w:val="false"/>
          <w:iCs w:val="false"/>
          <w:color w:val="222222"/>
          <w:sz w:val="20"/>
          <w:szCs w:val="20"/>
        </w:rPr>
        <w:t xml:space="preserve">5.1 Bug-Fix Warranty: </w:t>
      </w:r>
      <w:r>
        <w:rPr>
          <w:rFonts w:ascii="Calibri" w:cs="Calibri" w:eastAsia="Calibri" w:hAnsi="Calibri"/>
          <w:b w:val="false"/>
          <w:bCs w:val="false"/>
          <w:i w:val="false"/>
          <w:iCs w:val="false"/>
          <w:color w:val="222222"/>
          <w:sz w:val="20"/>
          <w:szCs w:val="20"/>
        </w:rPr>
        <w:t xml:space="preserve">The Service Provider provides 30 days of complimentary bug-fix support per phase, starting from the date the Client signs off on that phase's delivery. This covers defects where delivered functionality does not match Exhibit A — it does not cover new feature requests or issues arising from incorrect data entry by the Client's staff.</w:t>
      </w:r>
    </w:p>
    <w:p>
      <w:pPr>
        <w:spacing w:after="140" w:line="300"/>
      </w:pPr>
      <w:r>
        <w:rPr>
          <w:rFonts w:ascii="Calibri" w:cs="Calibri" w:eastAsia="Calibri" w:hAnsi="Calibri"/>
          <w:b w:val="false"/>
          <w:bCs w:val="false"/>
          <w:i w:val="false"/>
          <w:iCs w:val="false"/>
          <w:color w:val="222222"/>
          <w:sz w:val="20"/>
          <w:szCs w:val="20"/>
        </w:rPr>
        <w:t xml:space="preserve">5.2 Exclusions: </w:t>
      </w:r>
      <w:r>
        <w:rPr>
          <w:rFonts w:ascii="Calibri" w:cs="Calibri" w:eastAsia="Calibri" w:hAnsi="Calibri"/>
          <w:b w:val="false"/>
          <w:bCs w:val="false"/>
          <w:i w:val="false"/>
          <w:iCs w:val="false"/>
          <w:color w:val="222222"/>
          <w:sz w:val="20"/>
          <w:szCs w:val="20"/>
        </w:rPr>
        <w:t xml:space="preserve">The warranty does not cover failures caused by: (a) inaccurate or erroneous data entered by the Client; (b) outages or failures of third-party hosting or API providers; (c) unauthorized modification of the system by any party other than the Service Provider.</w:t>
      </w:r>
    </w:p>
    <w:p>
      <w:pPr>
        <w:spacing w:after="140" w:line="300"/>
      </w:pPr>
      <w:r>
        <w:rPr>
          <w:rFonts w:ascii="Calibri" w:cs="Calibri" w:eastAsia="Calibri" w:hAnsi="Calibri"/>
          <w:b w:val="false"/>
          <w:bCs w:val="false"/>
          <w:i w:val="false"/>
          <w:iCs w:val="false"/>
          <w:color w:val="222222"/>
          <w:sz w:val="20"/>
          <w:szCs w:val="20"/>
        </w:rPr>
        <w:t xml:space="preserve">5.3 Ongoing Support: </w:t>
      </w:r>
      <w:r>
        <w:rPr>
          <w:rFonts w:ascii="Calibri" w:cs="Calibri" w:eastAsia="Calibri" w:hAnsi="Calibri"/>
          <w:b w:val="false"/>
          <w:bCs w:val="false"/>
          <w:i w:val="false"/>
          <w:iCs w:val="false"/>
          <w:color w:val="222222"/>
          <w:sz w:val="20"/>
          <w:szCs w:val="20"/>
        </w:rPr>
        <w:t xml:space="preserve">Support beyond the bug-fix window (e.g., an Annual Maintenance Contract covering hosting monitoring, minor updates, and priority support) may be proposed separately and is not included in this Agreement unless agreed in writing.</w:t>
      </w:r>
    </w:p>
    <w:p>
      <w:pPr>
        <w:spacing w:after="140" w:line="300"/>
      </w:pPr>
      <w:r>
        <w:rPr>
          <w:rFonts w:ascii="Calibri" w:cs="Calibri" w:eastAsia="Calibri" w:hAnsi="Calibri"/>
          <w:b w:val="false"/>
          <w:bCs w:val="false"/>
          <w:i w:val="false"/>
          <w:iCs w:val="false"/>
          <w:color w:val="222222"/>
          <w:sz w:val="20"/>
          <w:szCs w:val="20"/>
        </w:rPr>
        <w:t xml:space="preserve">5.4 Limitation of Liability: </w:t>
      </w:r>
      <w:r>
        <w:rPr>
          <w:rFonts w:ascii="Calibri" w:cs="Calibri" w:eastAsia="Calibri" w:hAnsi="Calibri"/>
          <w:b w:val="false"/>
          <w:bCs w:val="false"/>
          <w:i w:val="false"/>
          <w:iCs w:val="false"/>
          <w:color w:val="222222"/>
          <w:sz w:val="20"/>
          <w:szCs w:val="20"/>
        </w:rPr>
        <w:t xml:space="preserve">The Service Provider's total aggregate liability for any defect, delay, or loss arising from this Agreement shall not exceed the total amount actually paid by the Client under this Agreement.</w:t>
      </w:r>
    </w:p>
    <w:p>
      <w:pPr>
        <w:pStyle w:val="Heading1"/>
        <w:pBdr>
          <w:bottom w:val="single" w:color="C9A227" w:sz="8" w:space="4"/>
        </w:pBdr>
        <w:spacing w:after="200" w:before="420"/>
      </w:pPr>
      <w:r>
        <w:rPr>
          <w:rFonts w:ascii="Calibri" w:cs="Calibri" w:eastAsia="Calibri" w:hAnsi="Calibri"/>
          <w:b/>
          <w:bCs/>
          <w:color w:val="0B1E3F"/>
          <w:sz w:val="26"/>
          <w:szCs w:val="26"/>
        </w:rPr>
        <w:t xml:space="preserve">6. Termination</w:t>
      </w:r>
    </w:p>
    <w:p>
      <w:pPr>
        <w:spacing w:after="140" w:line="300"/>
      </w:pPr>
      <w:r>
        <w:rPr>
          <w:rFonts w:ascii="Calibri" w:cs="Calibri" w:eastAsia="Calibri" w:hAnsi="Calibri"/>
          <w:b w:val="false"/>
          <w:bCs w:val="false"/>
          <w:i w:val="false"/>
          <w:iCs w:val="false"/>
          <w:color w:val="222222"/>
          <w:sz w:val="20"/>
          <w:szCs w:val="20"/>
        </w:rPr>
        <w:t xml:space="preserve">6.1 Termination for Breach: </w:t>
      </w:r>
      <w:r>
        <w:rPr>
          <w:rFonts w:ascii="Calibri" w:cs="Calibri" w:eastAsia="Calibri" w:hAnsi="Calibri"/>
          <w:b w:val="false"/>
          <w:bCs w:val="false"/>
          <w:i w:val="false"/>
          <w:iCs w:val="false"/>
          <w:color w:val="222222"/>
          <w:sz w:val="20"/>
          <w:szCs w:val="20"/>
        </w:rPr>
        <w:t xml:space="preserve">Either Party may terminate this Agreement if the other Party commits a material breach (e.g., non-payment by the Client, or failure to deliver by the Service Provider) that remains uncured for 14 calendar days after written notice.</w:t>
      </w:r>
    </w:p>
    <w:p>
      <w:pPr>
        <w:spacing w:after="140" w:line="300"/>
      </w:pPr>
      <w:r>
        <w:rPr>
          <w:rFonts w:ascii="Calibri" w:cs="Calibri" w:eastAsia="Calibri" w:hAnsi="Calibri"/>
          <w:b w:val="false"/>
          <w:bCs w:val="false"/>
          <w:i w:val="false"/>
          <w:iCs w:val="false"/>
          <w:color w:val="222222"/>
          <w:sz w:val="20"/>
          <w:szCs w:val="20"/>
        </w:rPr>
        <w:t xml:space="preserve">6.2 Compensation on Termination: </w:t>
      </w:r>
      <w:r>
        <w:rPr>
          <w:rFonts w:ascii="Calibri" w:cs="Calibri" w:eastAsia="Calibri" w:hAnsi="Calibri"/>
          <w:b w:val="false"/>
          <w:bCs w:val="false"/>
          <w:i w:val="false"/>
          <w:iCs w:val="false"/>
          <w:color w:val="222222"/>
          <w:sz w:val="20"/>
          <w:szCs w:val="20"/>
        </w:rPr>
        <w:t xml:space="preserve">If terminated before full delivery, the Client shall pay the Service Provider for all work completed and milestones achieved up to the date of termination; the Service Provider shall deliver all completed work product to the Client upon receipt of such payment.</w:t>
      </w:r>
    </w:p>
    <w:p>
      <w:pPr>
        <w:pStyle w:val="Heading1"/>
        <w:pBdr>
          <w:bottom w:val="single" w:color="C9A227" w:sz="8" w:space="4"/>
        </w:pBdr>
        <w:spacing w:after="200" w:before="420"/>
      </w:pPr>
      <w:r>
        <w:rPr>
          <w:rFonts w:ascii="Calibri" w:cs="Calibri" w:eastAsia="Calibri" w:hAnsi="Calibri"/>
          <w:b/>
          <w:bCs/>
          <w:color w:val="0B1E3F"/>
          <w:sz w:val="26"/>
          <w:szCs w:val="26"/>
        </w:rPr>
        <w:t xml:space="preserve">7. Confidentiality &amp; Governing Law</w:t>
      </w:r>
    </w:p>
    <w:p>
      <w:pPr>
        <w:spacing w:after="140" w:line="300"/>
      </w:pPr>
      <w:r>
        <w:rPr>
          <w:rFonts w:ascii="Calibri" w:cs="Calibri" w:eastAsia="Calibri" w:hAnsi="Calibri"/>
          <w:b w:val="false"/>
          <w:bCs w:val="false"/>
          <w:i w:val="false"/>
          <w:iCs w:val="false"/>
          <w:color w:val="222222"/>
          <w:sz w:val="20"/>
          <w:szCs w:val="20"/>
        </w:rPr>
        <w:t xml:space="preserve">7.1 Confidentiality: </w:t>
      </w:r>
      <w:r>
        <w:rPr>
          <w:rFonts w:ascii="Calibri" w:cs="Calibri" w:eastAsia="Calibri" w:hAnsi="Calibri"/>
          <w:b w:val="false"/>
          <w:bCs w:val="false"/>
          <w:i w:val="false"/>
          <w:iCs w:val="false"/>
          <w:color w:val="222222"/>
          <w:sz w:val="20"/>
          <w:szCs w:val="20"/>
        </w:rPr>
        <w:t xml:space="preserve">Confidentiality obligations between the Parties are governed by the Mutual Non-Disclosure Agreement previously executed between the Parties, which remains in full force during and after this Agreement.</w:t>
      </w:r>
    </w:p>
    <w:p>
      <w:pPr>
        <w:spacing w:after="140" w:line="300"/>
      </w:pPr>
      <w:r>
        <w:rPr>
          <w:rFonts w:ascii="Calibri" w:cs="Calibri" w:eastAsia="Calibri" w:hAnsi="Calibri"/>
          <w:b w:val="false"/>
          <w:bCs w:val="false"/>
          <w:i w:val="false"/>
          <w:iCs w:val="false"/>
          <w:color w:val="222222"/>
          <w:sz w:val="20"/>
          <w:szCs w:val="20"/>
        </w:rPr>
        <w:t xml:space="preserve">7.2 Amicable Resolution: </w:t>
      </w:r>
      <w:r>
        <w:rPr>
          <w:rFonts w:ascii="Calibri" w:cs="Calibri" w:eastAsia="Calibri" w:hAnsi="Calibri"/>
          <w:b w:val="false"/>
          <w:bCs w:val="false"/>
          <w:i w:val="false"/>
          <w:iCs w:val="false"/>
          <w:color w:val="222222"/>
          <w:sz w:val="20"/>
          <w:szCs w:val="20"/>
        </w:rPr>
        <w:t xml:space="preserve">In the event of any dispute, the Parties shall first attempt resolution through good-faith discussion within 15 business days.</w:t>
      </w:r>
    </w:p>
    <w:p>
      <w:pPr>
        <w:spacing w:after="140" w:line="300"/>
      </w:pPr>
      <w:r>
        <w:rPr>
          <w:rFonts w:ascii="Calibri" w:cs="Calibri" w:eastAsia="Calibri" w:hAnsi="Calibri"/>
          <w:b w:val="false"/>
          <w:bCs w:val="false"/>
          <w:i w:val="false"/>
          <w:iCs w:val="false"/>
          <w:color w:val="222222"/>
          <w:sz w:val="20"/>
          <w:szCs w:val="20"/>
        </w:rPr>
        <w:t xml:space="preserve">7.3 Governing Law: </w:t>
      </w:r>
      <w:r>
        <w:rPr>
          <w:rFonts w:ascii="Calibri" w:cs="Calibri" w:eastAsia="Calibri" w:hAnsi="Calibri"/>
          <w:b w:val="false"/>
          <w:bCs w:val="false"/>
          <w:i w:val="false"/>
          <w:iCs w:val="false"/>
          <w:color w:val="222222"/>
          <w:sz w:val="20"/>
          <w:szCs w:val="20"/>
        </w:rPr>
        <w:t xml:space="preserve">If unresolved, this Agreement shall be governed by the laws of India, including the Indian Contract Act, 1872, with exclusive jurisdiction of the competent courts at Agra, Uttar Pradesh.</w:t>
      </w:r>
    </w:p>
    <w:p>
      <w:pPr>
        <w:pBdr>
          <w:left w:val="single" w:color="C9A227" w:sz="12" w:space="6"/>
        </w:pBdr>
        <w:shd w:fill="FFF6DA" w:val="clear"/>
        <w:spacing w:after="200" w:before="100"/>
        <w:ind w:left="120"/>
      </w:pPr>
      <w:r>
        <w:rPr>
          <w:rFonts w:ascii="Calibri" w:cs="Calibri" w:eastAsia="Calibri" w:hAnsi="Calibri"/>
          <w:b/>
          <w:bCs/>
          <w:i/>
          <w:iCs/>
          <w:color w:val="946200"/>
          <w:sz w:val="19"/>
          <w:szCs w:val="19"/>
        </w:rPr>
        <w:t xml:space="preserve">⚠ Legal Review Recommended: </w:t>
      </w:r>
      <w:r>
        <w:rPr>
          <w:rFonts w:ascii="Calibri" w:cs="Calibri" w:eastAsia="Calibri" w:hAnsi="Calibri"/>
          <w:b w:val="false"/>
          <w:bCs w:val="false"/>
          <w:i/>
          <w:iCs/>
          <w:color w:val="946200"/>
          <w:sz w:val="19"/>
          <w:szCs w:val="19"/>
        </w:rPr>
        <w:t xml:space="preserve">This agreement should be reviewed by a qualified lawyer or CA before signing or printing on stamp paper — particularly the correct stamp duty value for a services contract of this amount under Uttar Pradesh stamp law, and enforceability of clauses under the Indian Contract Act, 1872 and Information Technology Act, 2000. This draft is prepared to reflect the commercial and technical scope actually agreed with the client; it is not a substitute for professional legal review.</w:t>
      </w:r>
    </w:p>
    <w:p>
      <w:r>
        <w:br w:type="page"/>
      </w:r>
    </w:p>
    <w:p>
      <w:pPr>
        <w:pStyle w:val="Heading1"/>
        <w:pBdr>
          <w:bottom w:val="single" w:color="C9A227" w:sz="8" w:space="4"/>
        </w:pBdr>
        <w:spacing w:after="200" w:before="420"/>
      </w:pPr>
      <w:r>
        <w:rPr>
          <w:rFonts w:ascii="Calibri" w:cs="Calibri" w:eastAsia="Calibri" w:hAnsi="Calibri"/>
          <w:b/>
          <w:bCs/>
          <w:color w:val="0B1E3F"/>
          <w:sz w:val="26"/>
          <w:szCs w:val="26"/>
        </w:rPr>
        <w:t xml:space="preserve">Exhibit A — Final Functional Requirements</w:t>
      </w:r>
    </w:p>
    <w:p>
      <w:pPr>
        <w:spacing w:after="140" w:line="300"/>
      </w:pPr>
      <w:r>
        <w:rPr>
          <w:rFonts w:ascii="Calibri" w:cs="Calibri" w:eastAsia="Calibri" w:hAnsi="Calibri"/>
          <w:b w:val="false"/>
          <w:bCs w:val="false"/>
          <w:i w:val="false"/>
          <w:iCs w:val="false"/>
          <w:color w:val="222222"/>
          <w:sz w:val="20"/>
          <w:szCs w:val="20"/>
        </w:rPr>
        <w:t xml:space="preserve">The full functional scope of JBMS is set out in the document titled </w:t>
      </w:r>
      <w:r>
        <w:rPr>
          <w:rFonts w:ascii="Calibri" w:cs="Calibri" w:eastAsia="Calibri" w:hAnsi="Calibri"/>
          <w:b w:val="false"/>
          <w:bCs w:val="false"/>
          <w:i/>
          <w:iCs/>
          <w:color w:val="222222"/>
          <w:sz w:val="20"/>
          <w:szCs w:val="20"/>
        </w:rPr>
        <w:t xml:space="preserve">"Jai Shiv Business Management System — Final Functional Requirements v2.0 (Locked Scope)"</w:t>
      </w:r>
      <w:r>
        <w:rPr>
          <w:rFonts w:ascii="Calibri" w:cs="Calibri" w:eastAsia="Calibri" w:hAnsi="Calibri"/>
          <w:b w:val="false"/>
          <w:bCs w:val="false"/>
          <w:i w:val="false"/>
          <w:iCs w:val="false"/>
          <w:color w:val="222222"/>
          <w:sz w:val="20"/>
          <w:szCs w:val="20"/>
        </w:rPr>
        <w:t xml:space="preserve">, dated 15 July 2026, which is incorporated into this Agreement by reference and attached hereto.</w:t>
      </w:r>
    </w:p>
    <w:p>
      <w:pPr>
        <w:pStyle w:val="Heading2"/>
        <w:spacing w:after="100" w:before="220"/>
      </w:pPr>
      <w:r>
        <w:rPr>
          <w:rFonts w:ascii="Calibri" w:cs="Calibri" w:eastAsia="Calibri" w:hAnsi="Calibri"/>
          <w:b/>
          <w:bCs/>
          <w:color w:val="0B1E3F"/>
          <w:sz w:val="21"/>
          <w:szCs w:val="21"/>
        </w:rPr>
        <w:t xml:space="preserve">Summary of In-Scope Modules</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User Authentication &amp; Role Management (Owner, Rahul, Accountant)</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Dashboard</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Customer Management &amp; Customer Ledger</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Product Catalog (Lite) — supports billing only, no stock tracking</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Payment Management</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Billing &amp; Invoice Management (GST toggle — GST / Non-GST invoices)</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Reports &amp; Analytics</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Search &amp; Filter</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Printing &amp; Export</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Backup &amp; Restore</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System Settings</w:t>
      </w:r>
    </w:p>
    <w:p>
      <w:pPr>
        <w:pStyle w:val="Heading2"/>
        <w:spacing w:after="100" w:before="220"/>
      </w:pPr>
      <w:r>
        <w:rPr>
          <w:rFonts w:ascii="Calibri" w:cs="Calibri" w:eastAsia="Calibri" w:hAnsi="Calibri"/>
          <w:b/>
          <w:bCs/>
          <w:color w:val="0B1E3F"/>
          <w:sz w:val="21"/>
          <w:szCs w:val="21"/>
        </w:rPr>
        <w:t xml:space="preserve">Explicitly Out of Scope</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Vendor Management</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Dispatch Management</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Full Inventory / Stock Management</w:t>
      </w:r>
    </w:p>
    <w:p>
      <w:pPr>
        <w:pStyle w:val="ListParagraph"/>
        <w:numPr>
          <w:ilvl w:val="0"/>
          <w:numId w:val="2"/>
        </w:numPr>
        <w:spacing w:after="70"/>
      </w:pPr>
      <w:r>
        <w:rPr>
          <w:rFonts w:ascii="Calibri" w:cs="Calibri" w:eastAsia="Calibri" w:hAnsi="Calibri"/>
          <w:b w:val="false"/>
          <w:bCs w:val="false"/>
          <w:i w:val="false"/>
          <w:iCs w:val="false"/>
          <w:color w:val="222222"/>
          <w:sz w:val="20"/>
          <w:szCs w:val="20"/>
        </w:rPr>
        <w:t xml:space="preserve">Barcode/QR Billing, WhatsApp Invoice Sharing, E-Way Bill Generation, Audit Logs, Automated Backup — unless added later via Change Request</w:t>
      </w:r>
    </w:p>
    <w:p>
      <w:r>
        <w:br w:type="page"/>
      </w:r>
    </w:p>
    <w:p>
      <w:pPr>
        <w:pStyle w:val="Heading1"/>
        <w:pBdr>
          <w:bottom w:val="single" w:color="C9A227" w:sz="8" w:space="4"/>
        </w:pBdr>
        <w:spacing w:after="200" w:before="420"/>
      </w:pPr>
      <w:r>
        <w:rPr>
          <w:rFonts w:ascii="Calibri" w:cs="Calibri" w:eastAsia="Calibri" w:hAnsi="Calibri"/>
          <w:b/>
          <w:bCs/>
          <w:color w:val="0B1E3F"/>
          <w:sz w:val="26"/>
          <w:szCs w:val="26"/>
        </w:rPr>
        <w:t xml:space="preserve">Exhibit B — Development Plan &amp; Payment Schedule</w:t>
      </w:r>
    </w:p>
    <w:p>
      <w:pPr>
        <w:pStyle w:val="Heading2"/>
        <w:spacing w:after="100" w:before="220"/>
      </w:pPr>
      <w:r>
        <w:rPr>
          <w:rFonts w:ascii="Calibri" w:cs="Calibri" w:eastAsia="Calibri" w:hAnsi="Calibri"/>
          <w:b/>
          <w:bCs/>
          <w:color w:val="0B1E3F"/>
          <w:sz w:val="21"/>
          <w:szCs w:val="21"/>
        </w:rPr>
        <w:t xml:space="preserve">Development Phases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c>
          <w:tcPr>
            <w:tcW w:type="dxa" w:w="16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Phase</w:t>
            </w:r>
          </w:p>
        </w:tc>
        <w:tc>
          <w:tcPr>
            <w:tcW w:type="dxa" w:w="58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Scope</w:t>
            </w:r>
          </w:p>
        </w:tc>
        <w:tc>
          <w:tcPr>
            <w:tcW w:type="dxa" w:w="20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Duration</w:t>
            </w:r>
          </w:p>
        </w:tc>
      </w:tr>
      <w:tr>
        <w:tc>
          <w:tcPr>
            <w:tcW w:type="dxa" w:w="1600"/>
            <w:shd w:fill="F2F3F5"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222222"/>
                <w:sz w:val="20"/>
                <w:szCs w:val="20"/>
              </w:rPr>
              <w:t xml:space="preserve">Phase 1</w:t>
            </w:r>
          </w:p>
        </w:tc>
        <w:tc>
          <w:tcPr>
            <w:tcW w:type="dxa" w:w="5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Authentication, Dashboard, Customer Management &amp; Ledger, Product Catalog (Lite), Billing &amp; GST toggle, basic payment recording</w:t>
            </w:r>
          </w:p>
        </w:tc>
        <w:tc>
          <w:tcPr>
            <w:tcW w:type="dxa" w:w="2000"/>
            <w:tcMar>
              <w:top w:type="dxa" w:w="90"/>
              <w:left w:type="dxa" w:w="120"/>
              <w:bottom w:type="dxa" w:w="90"/>
              <w:right w:type="dxa" w:w="120"/>
            </w:tcMar>
            <w:vAlign w:val="center"/>
          </w:tcPr>
          <w:p>
            <w:r>
              <w:rPr>
                <w:rFonts w:ascii="Calibri" w:cs="Calibri" w:eastAsia="Calibri" w:hAnsi="Calibri"/>
                <w:i/>
                <w:iCs/>
                <w:color w:val="B33A00"/>
                <w:sz w:val="20"/>
                <w:szCs w:val="20"/>
              </w:rPr>
              <w:t xml:space="preserve">[e.g. 8–10 weeks]</w:t>
            </w:r>
          </w:p>
        </w:tc>
      </w:tr>
      <w:tr>
        <w:tc>
          <w:tcPr>
            <w:tcW w:type="dxa" w:w="1600"/>
            <w:shd w:fill="F2F3F5"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222222"/>
                <w:sz w:val="20"/>
                <w:szCs w:val="20"/>
              </w:rPr>
              <w:t xml:space="preserve">Phase 2</w:t>
            </w:r>
          </w:p>
        </w:tc>
        <w:tc>
          <w:tcPr>
            <w:tcW w:type="dxa" w:w="5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Full Payment Management &amp; reports, Reports &amp; Analytics, Search &amp; Filter</w:t>
            </w:r>
          </w:p>
        </w:tc>
        <w:tc>
          <w:tcPr>
            <w:tcW w:type="dxa" w:w="2000"/>
            <w:tcMar>
              <w:top w:type="dxa" w:w="90"/>
              <w:left w:type="dxa" w:w="120"/>
              <w:bottom w:type="dxa" w:w="90"/>
              <w:right w:type="dxa" w:w="120"/>
            </w:tcMar>
            <w:vAlign w:val="center"/>
          </w:tcPr>
          <w:p>
            <w:r>
              <w:rPr>
                <w:rFonts w:ascii="Calibri" w:cs="Calibri" w:eastAsia="Calibri" w:hAnsi="Calibri"/>
                <w:i/>
                <w:iCs/>
                <w:color w:val="B33A00"/>
                <w:sz w:val="20"/>
                <w:szCs w:val="20"/>
              </w:rPr>
              <w:t xml:space="preserve">[e.g. 5–6 weeks]</w:t>
            </w:r>
          </w:p>
        </w:tc>
      </w:tr>
      <w:tr>
        <w:tc>
          <w:tcPr>
            <w:tcW w:type="dxa" w:w="1600"/>
            <w:shd w:fill="F2F3F5"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222222"/>
                <w:sz w:val="20"/>
                <w:szCs w:val="20"/>
              </w:rPr>
              <w:t xml:space="preserve">Phase 3</w:t>
            </w:r>
          </w:p>
        </w:tc>
        <w:tc>
          <w:tcPr>
            <w:tcW w:type="dxa" w:w="5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Printing &amp; Export, Backup &amp; Restore, System Settings, final QA</w:t>
            </w:r>
          </w:p>
        </w:tc>
        <w:tc>
          <w:tcPr>
            <w:tcW w:type="dxa" w:w="2000"/>
            <w:tcMar>
              <w:top w:type="dxa" w:w="90"/>
              <w:left w:type="dxa" w:w="120"/>
              <w:bottom w:type="dxa" w:w="90"/>
              <w:right w:type="dxa" w:w="120"/>
            </w:tcMar>
            <w:vAlign w:val="center"/>
          </w:tcPr>
          <w:p>
            <w:r>
              <w:rPr>
                <w:rFonts w:ascii="Calibri" w:cs="Calibri" w:eastAsia="Calibri" w:hAnsi="Calibri"/>
                <w:i/>
                <w:iCs/>
                <w:color w:val="B33A00"/>
                <w:sz w:val="20"/>
                <w:szCs w:val="20"/>
              </w:rPr>
              <w:t xml:space="preserve">[e.g. 3–4 weeks]</w:t>
            </w:r>
          </w:p>
        </w:tc>
      </w:tr>
      <w:tr>
        <w:tc>
          <w:tcPr>
            <w:tcW w:type="dxa" w:w="1600"/>
            <w:shd w:fill="F2F3F5"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222222"/>
                <w:sz w:val="20"/>
                <w:szCs w:val="20"/>
              </w:rPr>
              <w:t xml:space="preserve">Deployment</w:t>
            </w:r>
          </w:p>
        </w:tc>
        <w:tc>
          <w:tcPr>
            <w:tcW w:type="dxa" w:w="5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Cloud setup, staff training, documentation, handover</w:t>
            </w:r>
          </w:p>
        </w:tc>
        <w:tc>
          <w:tcPr>
            <w:tcW w:type="dxa" w:w="2000"/>
            <w:tcMar>
              <w:top w:type="dxa" w:w="90"/>
              <w:left w:type="dxa" w:w="120"/>
              <w:bottom w:type="dxa" w:w="90"/>
              <w:right w:type="dxa" w:w="120"/>
            </w:tcMar>
            <w:vAlign w:val="center"/>
          </w:tcPr>
          <w:p>
            <w:r>
              <w:rPr>
                <w:rFonts w:ascii="Calibri" w:cs="Calibri" w:eastAsia="Calibri" w:hAnsi="Calibri"/>
                <w:i/>
                <w:iCs/>
                <w:color w:val="B33A00"/>
                <w:sz w:val="20"/>
                <w:szCs w:val="20"/>
              </w:rPr>
              <w:t xml:space="preserve">[e.g. 1–2 weeks]</w:t>
            </w:r>
          </w:p>
        </w:tc>
      </w:tr>
    </w:tbl>
    <w:p>
      <w:pPr>
        <w:pBdr>
          <w:left w:val="single" w:color="C9A227" w:sz="12" w:space="6"/>
        </w:pBdr>
        <w:shd w:fill="FFF6DA" w:val="clear"/>
        <w:spacing w:after="200" w:before="100"/>
        <w:ind w:left="120"/>
      </w:pPr>
      <w:r>
        <w:rPr>
          <w:rFonts w:ascii="Calibri" w:cs="Calibri" w:eastAsia="Calibri" w:hAnsi="Calibri"/>
          <w:b/>
          <w:bCs/>
          <w:i/>
          <w:iCs/>
          <w:color w:val="946200"/>
          <w:sz w:val="19"/>
          <w:szCs w:val="19"/>
        </w:rPr>
        <w:t xml:space="preserve">⚠ Legal Review Recommended: </w:t>
      </w:r>
      <w:r>
        <w:rPr>
          <w:rFonts w:ascii="Calibri" w:cs="Calibri" w:eastAsia="Calibri" w:hAnsi="Calibri"/>
          <w:b w:val="false"/>
          <w:bCs w:val="false"/>
          <w:i/>
          <w:iCs/>
          <w:color w:val="946200"/>
          <w:sz w:val="19"/>
          <w:szCs w:val="19"/>
        </w:rPr>
        <w:t xml:space="preserve">Phase durations above are placeholders reflecting the leaner, locked scope (Vendor/Dispatch/Inventory removed) — update with your team's final estimate before this Agreement is signed. Do not reuse the original 11-week timeline from the earlier draft; it does not match this scope or your actual delivery capacity.</w:t>
      </w:r>
    </w:p>
    <w:p>
      <w:pPr>
        <w:pStyle w:val="Heading2"/>
        <w:spacing w:after="100" w:before="220"/>
      </w:pPr>
      <w:r>
        <w:rPr>
          <w:rFonts w:ascii="Calibri" w:cs="Calibri" w:eastAsia="Calibri" w:hAnsi="Calibri"/>
          <w:b/>
          <w:bCs/>
          <w:color w:val="0B1E3F"/>
          <w:sz w:val="21"/>
          <w:szCs w:val="21"/>
        </w:rPr>
        <w:t xml:space="preserve">Payment Schedule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600"/>
        <w:gridCol w:w="1800"/>
        <w:gridCol w:w="1500"/>
      </w:tblGrid>
      <w:tr>
        <w:tc>
          <w:tcPr>
            <w:tcW w:type="dxa" w:w="7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w:t>
            </w:r>
          </w:p>
        </w:tc>
        <w:tc>
          <w:tcPr>
            <w:tcW w:type="dxa" w:w="38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Milestone</w:t>
            </w:r>
          </w:p>
        </w:tc>
        <w:tc>
          <w:tcPr>
            <w:tcW w:type="dxa" w:w="16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 of Total</w:t>
            </w:r>
          </w:p>
        </w:tc>
        <w:tc>
          <w:tcPr>
            <w:tcW w:type="dxa" w:w="18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Trigger</w:t>
            </w:r>
          </w:p>
        </w:tc>
        <w:tc>
          <w:tcPr>
            <w:tcW w:type="dxa" w:w="1500"/>
            <w:shd w:fill="0B1E3F" w:color="auto" w:val="clear"/>
            <w:tcMar>
              <w:top w:type="dxa" w:w="90"/>
              <w:left w:type="dxa" w:w="120"/>
              <w:bottom w:type="dxa" w:w="90"/>
              <w:right w:type="dxa" w:w="120"/>
            </w:tcMar>
            <w:vAlign w:val="center"/>
          </w:tcPr>
          <w:p>
            <w:pPr>
              <w:jc w:val="left"/>
            </w:pPr>
            <w:r>
              <w:rPr>
                <w:rFonts w:ascii="Calibri" w:cs="Calibri" w:eastAsia="Calibri" w:hAnsi="Calibri"/>
                <w:b/>
                <w:bCs/>
                <w:i w:val="false"/>
                <w:iCs w:val="false"/>
                <w:color w:val="FFFFFF"/>
                <w:sz w:val="19"/>
                <w:szCs w:val="19"/>
              </w:rPr>
              <w:t xml:space="preserve">Amount (₹)</w:t>
            </w:r>
          </w:p>
        </w:tc>
      </w:tr>
      <w:tr>
        <w:tc>
          <w:tcPr>
            <w:tcW w:type="dxa" w:w="700"/>
            <w:shd w:fill="F2F3F5" w:color="auto" w:val="clear"/>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1</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Advance / Project Kickoff</w:t>
            </w:r>
          </w:p>
        </w:tc>
        <w:tc>
          <w:tcPr>
            <w:tcW w:type="dxa" w:w="16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30%</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Signed Agreement</w:t>
            </w:r>
          </w:p>
        </w:tc>
        <w:tc>
          <w:tcPr>
            <w:tcW w:type="dxa" w:w="1500"/>
            <w:tcMar>
              <w:top w:type="dxa" w:w="90"/>
              <w:left w:type="dxa" w:w="120"/>
              <w:bottom w:type="dxa" w:w="90"/>
              <w:right w:type="dxa" w:w="120"/>
            </w:tcMar>
            <w:vAlign w:val="center"/>
          </w:tcPr>
          <w:p>
            <w:pPr>
              <w:jc w:val="left"/>
            </w:pPr>
            <w:r>
              <w:rPr>
                <w:rFonts w:ascii="Calibri" w:cs="Calibri" w:eastAsia="Calibri" w:hAnsi="Calibri"/>
                <w:i/>
                <w:iCs/>
                <w:color w:val="B33A00"/>
                <w:sz w:val="20"/>
                <w:szCs w:val="20"/>
              </w:rPr>
              <w:t xml:space="preserve">[amount]</w:t>
            </w:r>
          </w:p>
        </w:tc>
      </w:tr>
      <w:tr>
        <w:tc>
          <w:tcPr>
            <w:tcW w:type="dxa" w:w="700"/>
            <w:shd w:fill="F2F3F5" w:color="auto" w:val="clear"/>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2</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Phase 1 Delivery</w:t>
            </w:r>
          </w:p>
        </w:tc>
        <w:tc>
          <w:tcPr>
            <w:tcW w:type="dxa" w:w="16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30%</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Client sign-off</w:t>
            </w:r>
          </w:p>
        </w:tc>
        <w:tc>
          <w:tcPr>
            <w:tcW w:type="dxa" w:w="1500"/>
            <w:tcMar>
              <w:top w:type="dxa" w:w="90"/>
              <w:left w:type="dxa" w:w="120"/>
              <w:bottom w:type="dxa" w:w="90"/>
              <w:right w:type="dxa" w:w="120"/>
            </w:tcMar>
            <w:vAlign w:val="center"/>
          </w:tcPr>
          <w:p>
            <w:pPr>
              <w:jc w:val="left"/>
            </w:pPr>
            <w:r>
              <w:rPr>
                <w:rFonts w:ascii="Calibri" w:cs="Calibri" w:eastAsia="Calibri" w:hAnsi="Calibri"/>
                <w:i/>
                <w:iCs/>
                <w:color w:val="B33A00"/>
                <w:sz w:val="20"/>
                <w:szCs w:val="20"/>
              </w:rPr>
              <w:t xml:space="preserve">[amount]</w:t>
            </w:r>
          </w:p>
        </w:tc>
      </w:tr>
      <w:tr>
        <w:tc>
          <w:tcPr>
            <w:tcW w:type="dxa" w:w="700"/>
            <w:shd w:fill="F2F3F5" w:color="auto" w:val="clear"/>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3</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Phase 2 Delivery</w:t>
            </w:r>
          </w:p>
        </w:tc>
        <w:tc>
          <w:tcPr>
            <w:tcW w:type="dxa" w:w="16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20%</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Client sign-off</w:t>
            </w:r>
          </w:p>
        </w:tc>
        <w:tc>
          <w:tcPr>
            <w:tcW w:type="dxa" w:w="1500"/>
            <w:tcMar>
              <w:top w:type="dxa" w:w="90"/>
              <w:left w:type="dxa" w:w="120"/>
              <w:bottom w:type="dxa" w:w="90"/>
              <w:right w:type="dxa" w:w="120"/>
            </w:tcMar>
            <w:vAlign w:val="center"/>
          </w:tcPr>
          <w:p>
            <w:pPr>
              <w:jc w:val="left"/>
            </w:pPr>
            <w:r>
              <w:rPr>
                <w:rFonts w:ascii="Calibri" w:cs="Calibri" w:eastAsia="Calibri" w:hAnsi="Calibri"/>
                <w:i/>
                <w:iCs/>
                <w:color w:val="B33A00"/>
                <w:sz w:val="20"/>
                <w:szCs w:val="20"/>
              </w:rPr>
              <w:t xml:space="preserve">[amount]</w:t>
            </w:r>
          </w:p>
        </w:tc>
      </w:tr>
      <w:tr>
        <w:tc>
          <w:tcPr>
            <w:tcW w:type="dxa" w:w="700"/>
            <w:shd w:fill="F2F3F5" w:color="auto" w:val="clear"/>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4</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Phase 3 + Final Handover</w:t>
            </w:r>
          </w:p>
        </w:tc>
        <w:tc>
          <w:tcPr>
            <w:tcW w:type="dxa" w:w="16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20%</w:t>
            </w:r>
          </w:p>
        </w:tc>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i w:val="false"/>
                <w:iCs w:val="false"/>
                <w:color w:val="222222"/>
                <w:sz w:val="20"/>
                <w:szCs w:val="20"/>
              </w:rPr>
              <w:t xml:space="preserve">Go-live, final sign-off</w:t>
            </w:r>
          </w:p>
        </w:tc>
        <w:tc>
          <w:tcPr>
            <w:tcW w:type="dxa" w:w="1500"/>
            <w:tcMar>
              <w:top w:type="dxa" w:w="90"/>
              <w:left w:type="dxa" w:w="120"/>
              <w:bottom w:type="dxa" w:w="90"/>
              <w:right w:type="dxa" w:w="120"/>
            </w:tcMar>
            <w:vAlign w:val="center"/>
          </w:tcPr>
          <w:p>
            <w:pPr>
              <w:jc w:val="left"/>
            </w:pPr>
            <w:r>
              <w:rPr>
                <w:rFonts w:ascii="Calibri" w:cs="Calibri" w:eastAsia="Calibri" w:hAnsi="Calibri"/>
                <w:i/>
                <w:iCs/>
                <w:color w:val="B33A00"/>
                <w:sz w:val="20"/>
                <w:szCs w:val="20"/>
              </w:rPr>
              <w:t xml:space="preserve">[amount]</w:t>
            </w:r>
          </w:p>
        </w:tc>
      </w:tr>
    </w:tbl>
    <w:p>
      <w:r>
        <w:br w:type="page"/>
      </w:r>
    </w:p>
    <w:p>
      <w:pPr>
        <w:pStyle w:val="Heading1"/>
        <w:pBdr>
          <w:bottom w:val="single" w:color="C9A227" w:sz="8" w:space="4"/>
        </w:pBdr>
        <w:spacing w:after="200" w:before="420"/>
      </w:pPr>
      <w:r>
        <w:rPr>
          <w:rFonts w:ascii="Calibri" w:cs="Calibri" w:eastAsia="Calibri" w:hAnsi="Calibri"/>
          <w:b/>
          <w:bCs/>
          <w:color w:val="0B1E3F"/>
          <w:sz w:val="26"/>
          <w:szCs w:val="26"/>
        </w:rPr>
        <w:t xml:space="preserve">Signature Execution</w:t>
      </w:r>
    </w:p>
    <w:p>
      <w:pPr>
        <w:spacing w:after="140" w:line="300"/>
      </w:pPr>
      <w:r>
        <w:rPr>
          <w:rFonts w:ascii="Calibri" w:cs="Calibri" w:eastAsia="Calibri" w:hAnsi="Calibri"/>
          <w:b w:val="false"/>
          <w:bCs w:val="false"/>
          <w:i w:val="false"/>
          <w:iCs w:val="false"/>
          <w:color w:val="222222"/>
          <w:sz w:val="20"/>
          <w:szCs w:val="20"/>
        </w:rPr>
        <w:t xml:space="preserve">IN WITNESS WHEREOF, the Parties hereto have signed and executed this Agreement on the date first written above.</w:t>
      </w:r>
    </w:p>
    <w:p>
      <w:pPr>
        <w:spacing w:after="100" w:before="400"/>
      </w:pPr>
      <w:r>
        <w:rPr>
          <w:rFonts w:ascii="Calibri" w:cs="Calibri" w:eastAsia="Calibri" w:hAnsi="Calibri"/>
          <w:b/>
          <w:bCs/>
          <w:i w:val="false"/>
          <w:iCs w:val="false"/>
          <w:color w:val="222222"/>
          <w:sz w:val="20"/>
          <w:szCs w:val="20"/>
        </w:rPr>
        <w:t xml:space="preserve">For NEXSHAM TECHNOLOGIES</w:t>
      </w:r>
    </w:p>
    <w:p>
      <w:pPr>
        <w:spacing w:after="60" w:before="400"/>
      </w:pPr>
      <w:r>
        <w:rPr>
          <w:rFonts w:ascii="Calibri" w:cs="Calibri" w:eastAsia="Calibri" w:hAnsi="Calibri"/>
          <w:b w:val="false"/>
          <w:bCs w:val="false"/>
          <w:i w:val="false"/>
          <w:iCs w:val="false"/>
          <w:color w:val="222222"/>
          <w:sz w:val="20"/>
          <w:szCs w:val="20"/>
        </w:rPr>
        <w:t xml:space="preserve">_______________________________</w:t>
      </w:r>
    </w:p>
    <w:p>
      <w:pPr>
        <w:spacing w:after="40"/>
      </w:pPr>
      <w:r>
        <w:rPr>
          <w:rFonts w:ascii="Calibri" w:cs="Calibri" w:eastAsia="Calibri" w:hAnsi="Calibri"/>
          <w:b w:val="false"/>
          <w:bCs w:val="false"/>
          <w:i w:val="false"/>
          <w:iCs w:val="false"/>
          <w:color w:val="222222"/>
          <w:sz w:val="20"/>
          <w:szCs w:val="20"/>
        </w:rPr>
        <w:t xml:space="preserve">Mohammed Humza</w:t>
      </w:r>
    </w:p>
    <w:p>
      <w:pPr>
        <w:spacing w:after="300"/>
      </w:pPr>
      <w:r>
        <w:rPr>
          <w:rFonts w:ascii="Calibri" w:cs="Calibri" w:eastAsia="Calibri" w:hAnsi="Calibri"/>
          <w:b w:val="false"/>
          <w:bCs w:val="false"/>
          <w:i w:val="false"/>
          <w:iCs w:val="false"/>
          <w:color w:val="222222"/>
          <w:sz w:val="20"/>
          <w:szCs w:val="20"/>
        </w:rPr>
        <w:t xml:space="preserve">Founder &amp; Chief Executive Officer</w:t>
      </w:r>
    </w:p>
    <w:p>
      <w:pPr>
        <w:spacing w:after="100" w:before="200"/>
      </w:pPr>
      <w:r>
        <w:rPr>
          <w:rFonts w:ascii="Calibri" w:cs="Calibri" w:eastAsia="Calibri" w:hAnsi="Calibri"/>
          <w:b/>
          <w:bCs/>
          <w:i w:val="false"/>
          <w:iCs w:val="false"/>
          <w:color w:val="222222"/>
          <w:sz w:val="20"/>
          <w:szCs w:val="20"/>
        </w:rPr>
        <w:t xml:space="preserve">For JAI SHIV TRADING COMPANY</w:t>
      </w:r>
    </w:p>
    <w:p>
      <w:pPr>
        <w:spacing w:after="60" w:before="400"/>
      </w:pPr>
      <w:r>
        <w:rPr>
          <w:rFonts w:ascii="Calibri" w:cs="Calibri" w:eastAsia="Calibri" w:hAnsi="Calibri"/>
          <w:b w:val="false"/>
          <w:bCs w:val="false"/>
          <w:i w:val="false"/>
          <w:iCs w:val="false"/>
          <w:color w:val="222222"/>
          <w:sz w:val="20"/>
          <w:szCs w:val="20"/>
        </w:rPr>
        <w:t xml:space="preserve">_______________________________</w:t>
      </w:r>
    </w:p>
    <w:p>
      <w:pPr>
        <w:spacing w:after="40"/>
      </w:pPr>
      <w:r>
        <w:rPr>
          <w:rFonts w:ascii="Calibri" w:cs="Calibri" w:eastAsia="Calibri" w:hAnsi="Calibri"/>
          <w:i/>
          <w:iCs/>
          <w:color w:val="B33A00"/>
          <w:sz w:val="20"/>
          <w:szCs w:val="20"/>
        </w:rPr>
        <w:t xml:space="preserve">[Bobi Chauhan / Authorized Signatory Name]</w:t>
      </w:r>
    </w:p>
    <w:p>
      <w:pPr>
        <w:spacing w:after="300"/>
      </w:pPr>
      <w:r>
        <w:rPr>
          <w:rFonts w:ascii="Calibri" w:cs="Calibri" w:eastAsia="Calibri" w:hAnsi="Calibri"/>
          <w:b w:val="false"/>
          <w:bCs w:val="false"/>
          <w:i w:val="false"/>
          <w:iCs w:val="false"/>
          <w:color w:val="222222"/>
          <w:sz w:val="20"/>
          <w:szCs w:val="20"/>
        </w:rPr>
        <w:t xml:space="preserve">Owner, Jai Shiv Trading Company</w:t>
      </w:r>
    </w:p>
    <w:p>
      <w:pPr>
        <w:spacing w:after="100" w:before="300"/>
      </w:pPr>
      <w:r>
        <w:rPr>
          <w:rFonts w:ascii="Calibri" w:cs="Calibri" w:eastAsia="Calibri" w:hAnsi="Calibri"/>
          <w:b/>
          <w:bCs/>
          <w:i w:val="false"/>
          <w:iCs w:val="false"/>
          <w:color w:val="222222"/>
          <w:sz w:val="20"/>
          <w:szCs w:val="20"/>
        </w:rPr>
        <w:t xml:space="preserve">WITNESSES</w:t>
      </w:r>
    </w:p>
    <w:p>
      <w:pPr>
        <w:spacing w:after="60" w:before="300"/>
      </w:pPr>
      <w:r>
        <w:rPr>
          <w:rFonts w:ascii="Calibri" w:cs="Calibri" w:eastAsia="Calibri" w:hAnsi="Calibri"/>
          <w:b w:val="false"/>
          <w:bCs w:val="false"/>
          <w:i w:val="false"/>
          <w:iCs w:val="false"/>
          <w:color w:val="222222"/>
          <w:sz w:val="20"/>
          <w:szCs w:val="20"/>
        </w:rPr>
        <w:t xml:space="preserve">Witness 1: _______________________     Witness 2: _______________________</w:t>
      </w:r>
    </w:p>
    <w:p>
      <w:pPr>
        <w:spacing w:after="40"/>
      </w:pPr>
      <w:r>
        <w:rPr>
          <w:rFonts w:ascii="Calibri" w:cs="Calibri" w:eastAsia="Calibri" w:hAnsi="Calibri"/>
          <w:i/>
          <w:iCs/>
          <w:color w:val="B33A00"/>
          <w:sz w:val="20"/>
          <w:szCs w:val="20"/>
        </w:rPr>
        <w:t xml:space="preserve">[Name / Title]</w:t>
      </w:r>
      <w:r>
        <w:rPr>
          <w:rFonts w:ascii="Calibri" w:cs="Calibri" w:eastAsia="Calibri" w:hAnsi="Calibri"/>
          <w:b w:val="false"/>
          <w:bCs w:val="false"/>
          <w:i w:val="false"/>
          <w:iCs w:val="false"/>
          <w:color w:val="222222"/>
          <w:sz w:val="20"/>
          <w:szCs w:val="20"/>
        </w:rPr>
        <w:t xml:space="preserve">                              </w:t>
      </w:r>
      <w:r>
        <w:rPr>
          <w:rFonts w:ascii="Calibri" w:cs="Calibri" w:eastAsia="Calibri" w:hAnsi="Calibri"/>
          <w:i/>
          <w:iCs/>
          <w:color w:val="B33A00"/>
          <w:sz w:val="20"/>
          <w:szCs w:val="20"/>
        </w:rPr>
        <w:t xml:space="preserve">[Name / Title]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A5F6B"/>
        <w:sz w:val="15"/>
        <w:szCs w:val="15"/>
      </w:rPr>
      <w:t xml:space="preserve">Confidential — NexSham Technologies &amp; Jai Shiv Trading Company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pPr>
    <w:r>
      <w:rPr>
        <w:rFonts w:ascii="Calibri" w:cs="Calibri" w:eastAsia="Calibri" w:hAnsi="Calibri"/>
        <w:b/>
        <w:bCs/>
        <w:i w:val="false"/>
        <w:iCs w:val="false"/>
        <w:color w:val="0B1E3F"/>
        <w:sz w:val="16"/>
        <w:szCs w:val="16"/>
      </w:rPr>
      <w:t xml:space="preserve">NexSham Technologies</w:t>
    </w:r>
    <w:r>
      <w:rPr>
        <w:rFonts w:ascii="Calibri" w:cs="Calibri" w:eastAsia="Calibri" w:hAnsi="Calibri"/>
        <w:b w:val="false"/>
        <w:bCs w:val="false"/>
        <w:i w:val="false"/>
        <w:iCs w:val="false"/>
        <w:color w:val="5A5F6B"/>
        <w:sz w:val="16"/>
        <w:szCs w:val="16"/>
      </w:rPr>
      <w:t xml:space="preserve">   |   Software Development &amp; Services Agreement — JBMS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2026-07-15T09:26:34.590Z</dcterms:created>
  <dcterms:modified xsi:type="dcterms:W3CDTF">2026-07-15T09:26:34.592Z</dcterms:modified>
</cp:coreProperties>
</file>

<file path=docProps/custom.xml><?xml version="1.0" encoding="utf-8"?>
<Properties xmlns="http://schemas.openxmlformats.org/officeDocument/2006/custom-properties" xmlns:vt="http://schemas.openxmlformats.org/officeDocument/2006/docPropsVTypes"/>
</file>