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i/>
          <w:iCs/>
          <w:color w:val="7A7060"/>
          <w:sz w:val="18"/>
          <w:szCs w:val="18"/>
        </w:rPr>
        <w:t xml:space="preserve">NextUs</w:t>
      </w:r>
    </w:p>
    <w:p>
      <w:pPr>
        <w:spacing w:after="240"/>
      </w:pPr>
      <w:r>
        <w:rPr>
          <w:rFonts w:ascii="Georgia" w:cs="Georgia" w:eastAsia="Georgia" w:hAnsi="Georgia"/>
          <w:b/>
          <w:bCs/>
          <w:color w:val="C8A96E"/>
          <w:sz w:val="56"/>
          <w:szCs w:val="56"/>
        </w:rPr>
        <w:t xml:space="preserve">Section 11.8 — B-3 Follow-ups: Honesty, Aliases, Reliability</w:t>
      </w:r>
    </w:p>
    <w:p>
      <w:pPr>
        <w:pBdr>
          <w:bottom w:val="single" w:color="C8A96E" w:sz="8" w:space="1"/>
        </w:pBdr>
        <w:spacing w:after="240" w:before="80"/>
      </w:pPr>
    </w:p>
    <w:p>
      <w:pPr>
        <w:spacing w:after="320"/>
      </w:pPr>
      <w:r>
        <w:rPr>
          <w:rFonts w:ascii="Georgia" w:cs="Georgia" w:eastAsia="Georgia" w:hAnsi="Georgia"/>
          <w:i/>
          <w:iCs/>
          <w:color w:val="7A7060"/>
          <w:sz w:val="18"/>
          <w:szCs w:val="18"/>
        </w:rPr>
        <w:t xml:space="preserve">Living Architecture · v1 · </w:t>
      </w:r>
      <w:r>
        <w:rPr>
          <w:rFonts w:ascii="Georgia" w:cs="Georgia" w:eastAsia="Georgia" w:hAnsi="Georgia"/>
          <w:i/>
          <w:iCs/>
          <w:color w:val="7A7060"/>
          <w:sz w:val="18"/>
          <w:szCs w:val="18"/>
        </w:rPr>
        <w:t xml:space="preserve">2026-05-10</w:t>
      </w:r>
    </w:p>
    <w:p>
      <w:pPr>
        <w:spacing w:after="160" w:before="360"/>
      </w:pPr>
      <w:r>
        <w:rPr>
          <w:rFonts w:ascii="Georgia" w:cs="Georgia" w:eastAsia="Georgia" w:hAnsi="Georgia"/>
          <w:b/>
          <w:bCs/>
          <w:color w:val="C8A96E"/>
          <w:sz w:val="36"/>
          <w:szCs w:val="36"/>
        </w:rPr>
        <w:t xml:space="preserve">Section 0 — What This Document Covers</w:t>
      </w:r>
    </w:p>
    <w:p>
      <w:pPr>
        <w:spacing w:after="160" w:line="320"/>
        <w:jc w:val="left"/>
      </w:pPr>
      <w:r>
        <w:rPr>
          <w:rFonts w:ascii="Georgia" w:cs="Georgia" w:eastAsia="Georgia" w:hAnsi="Georgia"/>
          <w:sz w:val="22"/>
          <w:szCs w:val="22"/>
        </w:rPr>
        <w:t xml:space="preserve">This is the architectural record of the four follow-ups produced after the B-3 indicator-catalog deploy. It documents what was added, why, and the principles that govern it. It supplements the data sourcing layer document — does not replace it.</w:t>
      </w:r>
    </w:p>
    <w:p>
      <w:pPr>
        <w:spacing w:after="160" w:line="320"/>
        <w:jc w:val="left"/>
      </w:pPr>
      <w:r>
        <w:rPr>
          <w:rFonts w:ascii="Georgia" w:cs="Georgia" w:eastAsia="Georgia" w:hAnsi="Georgia"/>
          <w:sz w:val="22"/>
          <w:szCs w:val="22"/>
        </w:rPr>
        <w:t xml:space="preserve">Four additions:</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Source suggestions —</w:t>
      </w:r>
      <w:r>
        <w:rPr>
          <w:rFonts w:ascii="Georgia" w:cs="Georgia" w:eastAsia="Georgia" w:hAnsi="Georgia"/>
          <w:sz w:val="22"/>
          <w:szCs w:val="22"/>
        </w:rPr>
        <w:t xml:space="preserve"> a community-contribution surface that lets visitors point the catalog at sources we don't yet know about.</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Indicator aliases —</w:t>
      </w:r>
      <w:r>
        <w:rPr>
          <w:rFonts w:ascii="Georgia" w:cs="Georgia" w:eastAsia="Georgia" w:hAnsi="Georgia"/>
          <w:sz w:val="22"/>
          <w:szCs w:val="22"/>
        </w:rPr>
        <w:t xml:space="preserve"> a many-to-many between catalog rows so a single fetched value can surface in multiple domain readings without redundant fetching.</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Reliability surface —</w:t>
      </w:r>
      <w:r>
        <w:rPr>
          <w:rFonts w:ascii="Georgia" w:cs="Georgia" w:eastAsia="Georgia" w:hAnsi="Georgia"/>
          <w:sz w:val="22"/>
          <w:szCs w:val="22"/>
        </w:rPr>
        <w:t xml:space="preserve"> a public read of the fetch log so the system's honest tally of what fetched, what failed, and what isn't yet built is visible to anyone, not just the founder.</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Methodology and target/floor record —</w:t>
      </w:r>
      <w:r>
        <w:rPr>
          <w:rFonts w:ascii="Georgia" w:cs="Georgia" w:eastAsia="Georgia" w:hAnsi="Georgia"/>
          <w:sz w:val="22"/>
          <w:szCs w:val="22"/>
        </w:rPr>
        <w:t xml:space="preserve"> this section, which fixes those decisions in the architecture.</w:t>
      </w:r>
    </w:p>
    <w:p>
      <w:pPr>
        <w:spacing w:after="160" w:before="360"/>
      </w:pPr>
      <w:r>
        <w:rPr>
          <w:rFonts w:ascii="Georgia" w:cs="Georgia" w:eastAsia="Georgia" w:hAnsi="Georgia"/>
          <w:b/>
          <w:bCs/>
          <w:color w:val="C8A96E"/>
          <w:sz w:val="36"/>
          <w:szCs w:val="36"/>
        </w:rPr>
        <w:t xml:space="preserve">Section 1 — The Honesty Stance</w:t>
      </w:r>
    </w:p>
    <w:p>
      <w:pPr>
        <w:spacing w:after="160" w:line="320"/>
        <w:jc w:val="left"/>
      </w:pPr>
      <w:r>
        <w:rPr>
          <w:rFonts w:ascii="Georgia" w:cs="Georgia" w:eastAsia="Georgia" w:hAnsi="Georgia"/>
          <w:sz w:val="22"/>
          <w:szCs w:val="22"/>
        </w:rPr>
        <w:t xml:space="preserve">B-3 introduced 137 indicator catalog rows across the seven civilisational domains. Of those, only 17 had working live fetchers on the day of deploy. The remaining 120 were either Tier 2 (source named, fetcher pending) or Tier 3 (contributor signal, no fetcher needed).</w:t>
      </w:r>
    </w:p>
    <w:p>
      <w:pPr>
        <w:spacing w:after="160" w:line="320"/>
        <w:jc w:val="left"/>
      </w:pPr>
      <w:r>
        <w:rPr>
          <w:rFonts w:ascii="Georgia" w:cs="Georgia" w:eastAsia="Georgia" w:hAnsi="Georgia"/>
          <w:sz w:val="22"/>
          <w:szCs w:val="22"/>
        </w:rPr>
        <w:t xml:space="preserve">Two roads existed at that point. The first: hide the gaps. Show only what we have data for, and quietly seed catalog rows later as fetchers come online. The second: show everything we believe matters, and let the gaps be visible. The platform took the second road, and Section 11.8 codifies why.</w:t>
      </w:r>
    </w:p>
    <w:p>
      <w:pPr>
        <w:pBdr>
          <w:left w:val="single" w:color="C8A96E" w:sz="12" w:space="12"/>
        </w:pBdr>
        <w:spacing w:after="160" w:line="320"/>
        <w:ind w:left="360"/>
      </w:pPr>
      <w:r>
        <w:rPr>
          <w:rFonts w:ascii="Georgia" w:cs="Georgia" w:eastAsia="Georgia" w:hAnsi="Georgia"/>
          <w:i/>
          <w:iCs/>
          <w:sz w:val="22"/>
          <w:szCs w:val="22"/>
        </w:rPr>
        <w:t xml:space="preserve">A missing data point is not a failure. It is an invitation. The catalog is a map of what we believe matters; the live data is what we currently know. The space between them is where the platform asks for help.</w:t>
      </w:r>
    </w:p>
    <w:p>
      <w:pPr>
        <w:spacing w:after="160" w:line="320"/>
        <w:jc w:val="left"/>
      </w:pPr>
      <w:r>
        <w:rPr>
          <w:rFonts w:ascii="Georgia" w:cs="Georgia" w:eastAsia="Georgia" w:hAnsi="Georgia"/>
          <w:sz w:val="22"/>
          <w:szCs w:val="22"/>
        </w:rPr>
        <w:t xml:space="preserve">This stance has practical consequences. The catalog must be readable by people who do not work on the platform. The gaps must be legible: when a row says "—" the visitor must be able to see why, and what would fill it. The contribution surface must be one click from any gap.</w:t>
      </w:r>
    </w:p>
    <w:p>
      <w:pPr>
        <w:spacing w:after="160" w:before="360"/>
      </w:pPr>
      <w:r>
        <w:rPr>
          <w:rFonts w:ascii="Georgia" w:cs="Georgia" w:eastAsia="Georgia" w:hAnsi="Georgia"/>
          <w:b/>
          <w:bCs/>
          <w:color w:val="C8A96E"/>
          <w:sz w:val="36"/>
          <w:szCs w:val="36"/>
        </w:rPr>
        <w:t xml:space="preserve">Section 2 — Source Suggestions</w:t>
      </w:r>
    </w:p>
    <w:p>
      <w:pPr>
        <w:spacing w:after="160" w:before="280"/>
      </w:pPr>
      <w:r>
        <w:rPr>
          <w:rFonts w:ascii="Georgia" w:cs="Georgia" w:eastAsia="Georgia" w:hAnsi="Georgia"/>
          <w:b/>
          <w:bCs/>
          <w:color w:val="C8A96E"/>
          <w:sz w:val="28"/>
          <w:szCs w:val="28"/>
        </w:rPr>
        <w:t xml:space="preserve">2.1 — What it is</w:t>
      </w:r>
    </w:p>
    <w:p>
      <w:pPr>
        <w:spacing w:after="160" w:line="320"/>
        <w:jc w:val="left"/>
      </w:pPr>
      <w:r>
        <w:rPr>
          <w:rFonts w:ascii="Georgia" w:cs="Georgia" w:eastAsia="Georgia" w:hAnsi="Georgia"/>
          <w:sz w:val="22"/>
          <w:szCs w:val="22"/>
        </w:rPr>
        <w:t xml:space="preserve">A new table, nextus_source_suggestions, that accepts community-submitted source pointers for any indicator in the catalog. Anyone — anonymous or signed in — can submit. A submission carries the source name, source URL, optional endpoint URL, optional cadence hint, optional notes, and optional contact email.</w:t>
      </w:r>
    </w:p>
    <w:p>
      <w:pPr>
        <w:spacing w:after="160" w:line="320"/>
        <w:jc w:val="left"/>
      </w:pPr>
      <w:r>
        <w:rPr>
          <w:rFonts w:ascii="Georgia" w:cs="Georgia" w:eastAsia="Georgia" w:hAnsi="Georgia"/>
          <w:sz w:val="22"/>
          <w:szCs w:val="22"/>
        </w:rPr>
        <w:t xml:space="preserve">The submission is not a public claim. It moves through a status lifecycle:</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submitted —</w:t>
      </w:r>
      <w:r>
        <w:rPr>
          <w:rFonts w:ascii="Georgia" w:cs="Georgia" w:eastAsia="Georgia" w:hAnsi="Georgia"/>
          <w:sz w:val="22"/>
          <w:szCs w:val="22"/>
        </w:rPr>
        <w:t xml:space="preserve"> newly arrived. Visible to the founder, not yet to other visitors.</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reviewing —</w:t>
      </w:r>
      <w:r>
        <w:rPr>
          <w:rFonts w:ascii="Georgia" w:cs="Georgia" w:eastAsia="Georgia" w:hAnsi="Georgia"/>
          <w:sz w:val="22"/>
          <w:szCs w:val="22"/>
        </w:rPr>
        <w:t xml:space="preserve"> the founder is evaluating it.</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accepted —</w:t>
      </w:r>
      <w:r>
        <w:rPr>
          <w:rFonts w:ascii="Georgia" w:cs="Georgia" w:eastAsia="Georgia" w:hAnsi="Georgia"/>
          <w:sz w:val="22"/>
          <w:szCs w:val="22"/>
        </w:rPr>
        <w:t xml:space="preserve"> considered defensible, will be incorporated. Visible publicly as "the community pointed us at this source" once the fetcher lands.</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declined —</w:t>
      </w:r>
      <w:r>
        <w:rPr>
          <w:rFonts w:ascii="Georgia" w:cs="Georgia" w:eastAsia="Georgia" w:hAnsi="Georgia"/>
          <w:sz w:val="22"/>
          <w:szCs w:val="22"/>
        </w:rPr>
        <w:t xml:space="preserve"> evaluated and not pursued. Reasons stay private.</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duplicate —</w:t>
      </w:r>
      <w:r>
        <w:rPr>
          <w:rFonts w:ascii="Georgia" w:cs="Georgia" w:eastAsia="Georgia" w:hAnsi="Georgia"/>
          <w:sz w:val="22"/>
          <w:szCs w:val="22"/>
        </w:rPr>
        <w:t xml:space="preserve"> already in our queue or already implemented under a different label.</w:t>
      </w:r>
    </w:p>
    <w:p>
      <w:pPr>
        <w:spacing w:after="160" w:line="320"/>
        <w:jc w:val="left"/>
      </w:pPr>
      <w:r>
        <w:rPr>
          <w:rFonts w:ascii="Georgia" w:cs="Georgia" w:eastAsia="Georgia" w:hAnsi="Georgia"/>
          <w:sz w:val="22"/>
          <w:szCs w:val="22"/>
        </w:rPr>
        <w:t xml:space="preserve">The acceptance bar is the same as the original catalog seed: authoritative source, stable API or scrape path, defensible methodology, mappable to a Horizon Goal. Public-facing accepted suggestions surface alongside the indicator they relate to once a fetcher is built against them.</w:t>
      </w:r>
    </w:p>
    <w:p>
      <w:pPr>
        <w:spacing w:after="160" w:before="280"/>
      </w:pPr>
      <w:r>
        <w:rPr>
          <w:rFonts w:ascii="Georgia" w:cs="Georgia" w:eastAsia="Georgia" w:hAnsi="Georgia"/>
          <w:b/>
          <w:bCs/>
          <w:color w:val="C8A96E"/>
          <w:sz w:val="28"/>
          <w:szCs w:val="28"/>
        </w:rPr>
        <w:t xml:space="preserve">2.2 — Where it surfaces</w:t>
      </w:r>
    </w:p>
    <w:p>
      <w:pPr>
        <w:spacing w:after="160" w:line="320"/>
        <w:jc w:val="left"/>
      </w:pPr>
      <w:r>
        <w:rPr>
          <w:rFonts w:ascii="Georgia" w:cs="Georgia" w:eastAsia="Georgia" w:hAnsi="Georgia"/>
          <w:sz w:val="22"/>
          <w:szCs w:val="22"/>
        </w:rPr>
        <w:t xml:space="preserve">Two surfaces:</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IndicatorTable —</w:t>
      </w:r>
      <w:r>
        <w:rPr>
          <w:rFonts w:ascii="Georgia" w:cs="Georgia" w:eastAsia="Georgia" w:hAnsi="Georgia"/>
          <w:sz w:val="22"/>
          <w:szCs w:val="22"/>
        </w:rPr>
        <w:t xml:space="preserve"> every Tier 2 / Tier 3 row missing a value carries a "Suggest a source →" link in the source cell. Click expands an inline form. Submission goes to /api/source-suggestion.</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WorldViewMissionPanel —</w:t>
      </w:r>
      <w:r>
        <w:rPr>
          <w:rFonts w:ascii="Georgia" w:cs="Georgia" w:eastAsia="Georgia" w:hAnsi="Georgia"/>
          <w:sz w:val="22"/>
          <w:szCs w:val="22"/>
        </w:rPr>
        <w:t xml:space="preserve"> when a domain spoke shows "—" because not enough headlines have data, the expanded domain row carries a panel listing the missing headlines with per-headline suggestion buttons.</w:t>
      </w:r>
    </w:p>
    <w:p>
      <w:pPr>
        <w:spacing w:after="160" w:line="320"/>
        <w:jc w:val="left"/>
      </w:pPr>
      <w:r>
        <w:rPr>
          <w:rFonts w:ascii="Georgia" w:cs="Georgia" w:eastAsia="Georgia" w:hAnsi="Georgia"/>
          <w:sz w:val="22"/>
          <w:szCs w:val="22"/>
        </w:rPr>
        <w:t xml:space="preserve">Both surfaces use the same component (SuggestSourceCTA) so the contribution shape stays identical no matter where the visitor enters from.</w:t>
      </w:r>
    </w:p>
    <w:p>
      <w:pPr>
        <w:spacing w:after="160" w:before="280"/>
      </w:pPr>
      <w:r>
        <w:rPr>
          <w:rFonts w:ascii="Georgia" w:cs="Georgia" w:eastAsia="Georgia" w:hAnsi="Georgia"/>
          <w:b/>
          <w:bCs/>
          <w:color w:val="C8A96E"/>
          <w:sz w:val="28"/>
          <w:szCs w:val="28"/>
        </w:rPr>
        <w:t xml:space="preserve">2.3 — Rate limiting and trust</w:t>
      </w:r>
    </w:p>
    <w:p>
      <w:pPr>
        <w:spacing w:after="160" w:line="320"/>
        <w:jc w:val="left"/>
      </w:pPr>
      <w:r>
        <w:rPr>
          <w:rFonts w:ascii="Georgia" w:cs="Georgia" w:eastAsia="Georgia" w:hAnsi="Georgia"/>
          <w:sz w:val="22"/>
          <w:szCs w:val="22"/>
        </w:rPr>
        <w:t xml:space="preserve">Submission requires no account. The API rate-limits 10 submissions per IP per hour as a spam deterrent. The DB enforces minimum source name and URL lengths and a max notes length. Email is optional and only used for follow-up; the platform never displays it back publicly.</w:t>
      </w:r>
    </w:p>
    <w:p>
      <w:pPr>
        <w:spacing w:after="160" w:line="320"/>
        <w:jc w:val="left"/>
      </w:pPr>
      <w:r>
        <w:rPr>
          <w:rFonts w:ascii="Georgia" w:cs="Georgia" w:eastAsia="Georgia" w:hAnsi="Georgia"/>
          <w:sz w:val="22"/>
          <w:szCs w:val="22"/>
        </w:rPr>
        <w:t xml:space="preserve">The honest design choice: submission is the contribution. We do not gate it behind sign-up. People who know things should be able to point us at them with the lowest possible friction.</w:t>
      </w:r>
    </w:p>
    <w:p>
      <w:pPr>
        <w:spacing w:after="160" w:before="360"/>
      </w:pPr>
      <w:r>
        <w:rPr>
          <w:rFonts w:ascii="Georgia" w:cs="Georgia" w:eastAsia="Georgia" w:hAnsi="Georgia"/>
          <w:b/>
          <w:bCs/>
          <w:color w:val="C8A96E"/>
          <w:sz w:val="36"/>
          <w:szCs w:val="36"/>
        </w:rPr>
        <w:t xml:space="preserve">Section 3 — Indicator Aliases</w:t>
      </w:r>
    </w:p>
    <w:p>
      <w:pPr>
        <w:spacing w:after="160" w:before="280"/>
      </w:pPr>
      <w:r>
        <w:rPr>
          <w:rFonts w:ascii="Georgia" w:cs="Georgia" w:eastAsia="Georgia" w:hAnsi="Georgia"/>
          <w:b/>
          <w:bCs/>
          <w:color w:val="C8A96E"/>
          <w:sz w:val="28"/>
          <w:szCs w:val="28"/>
        </w:rPr>
        <w:t xml:space="preserve">3.1 — What it is</w:t>
      </w:r>
    </w:p>
    <w:p>
      <w:pPr>
        <w:spacing w:after="160" w:line="320"/>
        <w:jc w:val="left"/>
      </w:pPr>
      <w:r>
        <w:rPr>
          <w:rFonts w:ascii="Georgia" w:cs="Georgia" w:eastAsia="Georgia" w:hAnsi="Georgia"/>
          <w:sz w:val="22"/>
          <w:szCs w:val="22"/>
        </w:rPr>
        <w:t xml:space="preserve">A new table, nextus_indicator_aliases, that creates a many-to-many between catalog rows. Each indicator can be either a canonical (the row that gets fetched) or an alias (a row that reads its value through to a canonical). Aliases unique on alias_indicator_id; one alias points at exactly one canonical.</w:t>
      </w:r>
    </w:p>
    <w:p>
      <w:pPr>
        <w:spacing w:after="160" w:line="320"/>
        <w:jc w:val="left"/>
      </w:pPr>
      <w:r>
        <w:rPr>
          <w:rFonts w:ascii="Georgia" w:cs="Georgia" w:eastAsia="Georgia" w:hAnsi="Georgia"/>
          <w:sz w:val="22"/>
          <w:szCs w:val="22"/>
        </w:rPr>
        <w:t xml:space="preserve">The pattern: when the same metric reads through multiple domain lenses — R&amp;D expenditure as both Technology substrate and Vision future-orientation, internet penetration as both Technology access and Society information-integrity — we keep the duplicate catalog rows so each domain reads through its own lens, but we fetch only the canonical and alias the other rows to it.</w:t>
      </w:r>
    </w:p>
    <w:p>
      <w:pPr>
        <w:spacing w:after="160" w:before="280"/>
      </w:pPr>
      <w:r>
        <w:rPr>
          <w:rFonts w:ascii="Georgia" w:cs="Georgia" w:eastAsia="Georgia" w:hAnsi="Georgia"/>
          <w:b/>
          <w:bCs/>
          <w:color w:val="C8A96E"/>
          <w:sz w:val="28"/>
          <w:szCs w:val="28"/>
        </w:rPr>
        <w:t xml:space="preserve">3.2 — How values flow</w:t>
      </w:r>
    </w:p>
    <w:p>
      <w:pPr>
        <w:spacing w:after="160" w:line="320"/>
        <w:jc w:val="left"/>
      </w:pPr>
      <w:r>
        <w:rPr>
          <w:rFonts w:ascii="Georgia" w:cs="Georgia" w:eastAsia="Georgia" w:hAnsi="Georgia"/>
          <w:sz w:val="22"/>
          <w:szCs w:val="22"/>
        </w:rPr>
        <w:t xml:space="preserve">A view, nextus_indicator_values_resolved, exposes the alias-aware value layer. Querying for an indicator's current value through this view returns either:</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the indicator's own values —</w:t>
      </w:r>
      <w:r>
        <w:rPr>
          <w:rFonts w:ascii="Georgia" w:cs="Georgia" w:eastAsia="Georgia" w:hAnsi="Georgia"/>
          <w:sz w:val="22"/>
          <w:szCs w:val="22"/>
        </w:rPr>
        <w:t xml:space="preserve"> if it has any for the requested focus_id × observed_at; or</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the canonical's values —</w:t>
      </w:r>
      <w:r>
        <w:rPr>
          <w:rFonts w:ascii="Georgia" w:cs="Georgia" w:eastAsia="Georgia" w:hAnsi="Georgia"/>
          <w:sz w:val="22"/>
          <w:szCs w:val="22"/>
        </w:rPr>
        <w:t xml:space="preserve"> if the indicator is an alias and has no values of its own.</w:t>
      </w:r>
    </w:p>
    <w:p>
      <w:pPr>
        <w:spacing w:after="160" w:line="320"/>
        <w:jc w:val="left"/>
      </w:pPr>
      <w:r>
        <w:rPr>
          <w:rFonts w:ascii="Georgia" w:cs="Georgia" w:eastAsia="Georgia" w:hAnsi="Georgia"/>
          <w:sz w:val="22"/>
          <w:szCs w:val="22"/>
        </w:rPr>
        <w:t xml:space="preserve">The read hooks (useDomainIndicators, fetchAllIndicators, useCivDomainScores) all query through this view. Effect: alias rows surface canonical values without duplicate fetching, and the wheel rolls up correctly across domains that share metrics.</w:t>
      </w:r>
    </w:p>
    <w:p>
      <w:pPr>
        <w:spacing w:after="160" w:before="280"/>
      </w:pPr>
      <w:r>
        <w:rPr>
          <w:rFonts w:ascii="Georgia" w:cs="Georgia" w:eastAsia="Georgia" w:hAnsi="Georgia"/>
          <w:b/>
          <w:bCs/>
          <w:color w:val="C8A96E"/>
          <w:sz w:val="28"/>
          <w:szCs w:val="28"/>
        </w:rPr>
        <w:t xml:space="preserve">3.3 — Canonical choices, current set</w:t>
      </w:r>
    </w:p>
    <w:p>
      <w:pPr>
        <w:spacing w:after="160" w:line="320"/>
        <w:jc w:val="left"/>
      </w:pPr>
      <w:r>
        <w:rPr>
          <w:rFonts w:ascii="Georgia" w:cs="Georgia" w:eastAsia="Georgia" w:hAnsi="Georgia"/>
          <w:sz w:val="22"/>
          <w:szCs w:val="22"/>
        </w:rPr>
        <w:t xml:space="preserve">Three aliases seeded in migration 029. Canonical chosen by which domain the metric most directly reads against the Horizon Goal lens.</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R&amp;D expenditure —</w:t>
      </w:r>
      <w:r>
        <w:rPr>
          <w:rFonts w:ascii="Georgia" w:cs="Georgia" w:eastAsia="Georgia" w:hAnsi="Georgia"/>
          <w:sz w:val="22"/>
          <w:szCs w:val="22"/>
        </w:rPr>
        <w:t xml:space="preserve"> canonical in Technology (substrate-health lens), aliased in Vision (future-orientation lens).</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Internet penetration —</w:t>
      </w:r>
      <w:r>
        <w:rPr>
          <w:rFonts w:ascii="Georgia" w:cs="Georgia" w:eastAsia="Georgia" w:hAnsi="Georgia"/>
          <w:sz w:val="22"/>
          <w:szCs w:val="22"/>
        </w:rPr>
        <w:t xml:space="preserve"> canonical in Technology (access-infrastructure lens), aliased in Society (information-integrity lens).</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Mobile cellular subscriptions —</w:t>
      </w:r>
      <w:r>
        <w:rPr>
          <w:rFonts w:ascii="Georgia" w:cs="Georgia" w:eastAsia="Georgia" w:hAnsi="Georgia"/>
          <w:sz w:val="22"/>
          <w:szCs w:val="22"/>
        </w:rPr>
        <w:t xml:space="preserve"> canonical in Technology, aliased in Society.</w:t>
      </w:r>
    </w:p>
    <w:p>
      <w:pPr>
        <w:spacing w:after="160" w:line="320"/>
        <w:jc w:val="left"/>
      </w:pPr>
      <w:r>
        <w:rPr>
          <w:rFonts w:ascii="Georgia" w:cs="Georgia" w:eastAsia="Georgia" w:hAnsi="Georgia"/>
          <w:sz w:val="22"/>
          <w:szCs w:val="22"/>
        </w:rPr>
        <w:t xml:space="preserve">Future cross-domain metrics will follow the same pattern: name the canonical, attach an alias, write the alias's lens on the alias_lens column.</w:t>
      </w:r>
    </w:p>
    <w:p>
      <w:pPr>
        <w:spacing w:after="160" w:before="280"/>
      </w:pPr>
      <w:r>
        <w:rPr>
          <w:rFonts w:ascii="Georgia" w:cs="Georgia" w:eastAsia="Georgia" w:hAnsi="Georgia"/>
          <w:b/>
          <w:bCs/>
          <w:color w:val="C8A96E"/>
          <w:sz w:val="28"/>
          <w:szCs w:val="28"/>
        </w:rPr>
        <w:t xml:space="preserve">3.4 — UI surface</w:t>
      </w:r>
    </w:p>
    <w:p>
      <w:pPr>
        <w:spacing w:after="160" w:line="320"/>
        <w:jc w:val="left"/>
      </w:pPr>
      <w:r>
        <w:rPr>
          <w:rFonts w:ascii="Georgia" w:cs="Georgia" w:eastAsia="Georgia" w:hAnsi="Georgia"/>
          <w:sz w:val="22"/>
          <w:szCs w:val="22"/>
        </w:rPr>
        <w:t xml:space="preserve">IndicatorTable shows alias relationships inline:</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On a canonical row —</w:t>
      </w:r>
      <w:r>
        <w:rPr>
          <w:rFonts w:ascii="Georgia" w:cs="Georgia" w:eastAsia="Georgia" w:hAnsi="Georgia"/>
          <w:sz w:val="22"/>
          <w:szCs w:val="22"/>
        </w:rPr>
        <w:t xml:space="preserve"> a small "also read in: Vision, Society" hint below the indicator name.</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On an alias row —</w:t>
      </w:r>
      <w:r>
        <w:rPr>
          <w:rFonts w:ascii="Georgia" w:cs="Georgia" w:eastAsia="Georgia" w:hAnsi="Georgia"/>
          <w:sz w:val="22"/>
          <w:szCs w:val="22"/>
        </w:rPr>
        <w:t xml:space="preserve"> an "alias of [canonical domain]" hint, plus the canonical's value resolved through the view.</w:t>
      </w:r>
    </w:p>
    <w:p>
      <w:pPr>
        <w:spacing w:after="160" w:line="320"/>
        <w:jc w:val="left"/>
      </w:pPr>
      <w:r>
        <w:rPr>
          <w:rFonts w:ascii="Georgia" w:cs="Georgia" w:eastAsia="Georgia" w:hAnsi="Georgia"/>
          <w:sz w:val="22"/>
          <w:szCs w:val="22"/>
        </w:rPr>
        <w:t xml:space="preserve">Users can see that R&amp;D shows up in two places by design, and which domain holds it canonically.</w:t>
      </w:r>
    </w:p>
    <w:p>
      <w:pPr>
        <w:spacing w:after="160" w:before="360"/>
      </w:pPr>
      <w:r>
        <w:rPr>
          <w:rFonts w:ascii="Georgia" w:cs="Georgia" w:eastAsia="Georgia" w:hAnsi="Georgia"/>
          <w:b/>
          <w:bCs/>
          <w:color w:val="C8A96E"/>
          <w:sz w:val="36"/>
          <w:szCs w:val="36"/>
        </w:rPr>
        <w:t xml:space="preserve">Section 4 — Reliability Surface</w:t>
      </w:r>
    </w:p>
    <w:p>
      <w:pPr>
        <w:spacing w:after="160" w:before="280"/>
      </w:pPr>
      <w:r>
        <w:rPr>
          <w:rFonts w:ascii="Georgia" w:cs="Georgia" w:eastAsia="Georgia" w:hAnsi="Georgia"/>
          <w:b/>
          <w:bCs/>
          <w:color w:val="C8A96E"/>
          <w:sz w:val="28"/>
          <w:szCs w:val="28"/>
        </w:rPr>
        <w:t xml:space="preserve">4.1 — What it is</w:t>
      </w:r>
    </w:p>
    <w:p>
      <w:pPr>
        <w:spacing w:after="160" w:line="320"/>
        <w:jc w:val="left"/>
      </w:pPr>
      <w:r>
        <w:rPr>
          <w:rFonts w:ascii="Georgia" w:cs="Georgia" w:eastAsia="Georgia" w:hAnsi="Georgia"/>
          <w:sz w:val="22"/>
          <w:szCs w:val="22"/>
        </w:rPr>
        <w:t xml:space="preserve">A new public read endpoint, /api/indicator-reliability, that summarises the fetch log over a configurable time window (defaulting to 24 hours, capped at 720). It returns:</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totals —</w:t>
      </w:r>
      <w:r>
        <w:rPr>
          <w:rFonts w:ascii="Georgia" w:cs="Georgia" w:eastAsia="Georgia" w:hAnsi="Georgia"/>
          <w:sz w:val="22"/>
          <w:szCs w:val="22"/>
        </w:rPr>
        <w:t xml:space="preserve"> count of ok, failed, and not-implemented fetches.</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per_domain —</w:t>
      </w:r>
      <w:r>
        <w:rPr>
          <w:rFonts w:ascii="Georgia" w:cs="Georgia" w:eastAsia="Georgia" w:hAnsi="Georgia"/>
          <w:sz w:val="22"/>
          <w:szCs w:val="22"/>
        </w:rPr>
        <w:t xml:space="preserve"> the same breakdown for each civilisational domain.</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recent_failures —</w:t>
      </w:r>
      <w:r>
        <w:rPr>
          <w:rFonts w:ascii="Georgia" w:cs="Georgia" w:eastAsia="Georgia" w:hAnsi="Georgia"/>
          <w:sz w:val="22"/>
          <w:szCs w:val="22"/>
        </w:rPr>
        <w:t xml:space="preserve"> one row per indicator (de-duplicated to most recent) for indicators currently failing or pending. Includes status, message, and timestamp.</w:t>
      </w:r>
    </w:p>
    <w:p>
      <w:pPr>
        <w:spacing w:after="160" w:before="280"/>
      </w:pPr>
      <w:r>
        <w:rPr>
          <w:rFonts w:ascii="Georgia" w:cs="Georgia" w:eastAsia="Georgia" w:hAnsi="Georgia"/>
          <w:b/>
          <w:bCs/>
          <w:color w:val="C8A96E"/>
          <w:sz w:val="28"/>
          <w:szCs w:val="28"/>
        </w:rPr>
        <w:t xml:space="preserve">4.2 — Why public</w:t>
      </w:r>
    </w:p>
    <w:p>
      <w:pPr>
        <w:spacing w:after="160" w:line="320"/>
        <w:jc w:val="left"/>
      </w:pPr>
      <w:r>
        <w:rPr>
          <w:rFonts w:ascii="Georgia" w:cs="Georgia" w:eastAsia="Georgia" w:hAnsi="Georgia"/>
          <w:sz w:val="22"/>
          <w:szCs w:val="22"/>
        </w:rPr>
        <w:t xml:space="preserve">The fetch log was previously curator-only. The reliability summary endpoint reads through the service key and exposes only aggregate counts plus the gap surface — not raw log rows, not credentials, not anything sensitive. Failed fetch counts are not embarrassing; they are the system being honest.</w:t>
      </w:r>
    </w:p>
    <w:p>
      <w:pPr>
        <w:pBdr>
          <w:left w:val="single" w:color="C8A96E" w:sz="12" w:space="12"/>
        </w:pBdr>
        <w:spacing w:after="160" w:line="320"/>
        <w:ind w:left="360"/>
      </w:pPr>
      <w:r>
        <w:rPr>
          <w:rFonts w:ascii="Georgia" w:cs="Georgia" w:eastAsia="Georgia" w:hAnsi="Georgia"/>
          <w:i/>
          <w:iCs/>
          <w:sz w:val="22"/>
          <w:szCs w:val="22"/>
        </w:rPr>
        <w:t xml:space="preserve">Reliability data is part of what the platform owes its community. If we ask people to trust the rollup score, we owe them the live tally of what produces that score.</w:t>
      </w:r>
    </w:p>
    <w:p>
      <w:pPr>
        <w:spacing w:after="160" w:before="280"/>
      </w:pPr>
      <w:r>
        <w:rPr>
          <w:rFonts w:ascii="Georgia" w:cs="Georgia" w:eastAsia="Georgia" w:hAnsi="Georgia"/>
          <w:b/>
          <w:bCs/>
          <w:color w:val="C8A96E"/>
          <w:sz w:val="28"/>
          <w:szCs w:val="28"/>
        </w:rPr>
        <w:t xml:space="preserve">4.3 — Where it surfaces</w:t>
      </w:r>
    </w:p>
    <w:p>
      <w:pPr>
        <w:spacing w:after="160" w:line="320"/>
        <w:jc w:val="left"/>
      </w:pPr>
      <w:r>
        <w:rPr>
          <w:rFonts w:ascii="Georgia" w:cs="Georgia" w:eastAsia="Georgia" w:hAnsi="Georgia"/>
          <w:sz w:val="22"/>
          <w:szCs w:val="22"/>
        </w:rPr>
        <w:t xml:space="preserve">A new component, IndicatorReliabilityPanel, sits at the top of the WorldViewMissionPanel below the intro. It shows the four headline numbers (successful / failed / not yet built / success rate) and an expandable "Show gaps" link that reveals the per-indicator failure list, with the gap message inline.</w:t>
      </w:r>
    </w:p>
    <w:p>
      <w:pPr>
        <w:spacing w:after="160" w:before="360"/>
      </w:pPr>
      <w:r>
        <w:rPr>
          <w:rFonts w:ascii="Georgia" w:cs="Georgia" w:eastAsia="Georgia" w:hAnsi="Georgia"/>
          <w:b/>
          <w:bCs/>
          <w:color w:val="C8A96E"/>
          <w:sz w:val="36"/>
          <w:szCs w:val="36"/>
        </w:rPr>
        <w:t xml:space="preserve">Section 5 — Methodology Record: Target / Floor Decisions</w:t>
      </w:r>
    </w:p>
    <w:p>
      <w:pPr>
        <w:spacing w:after="160" w:line="320"/>
        <w:jc w:val="left"/>
      </w:pPr>
      <w:r>
        <w:rPr>
          <w:rFonts w:ascii="Georgia" w:cs="Georgia" w:eastAsia="Georgia" w:hAnsi="Georgia"/>
          <w:sz w:val="22"/>
          <w:szCs w:val="22"/>
        </w:rPr>
        <w:t xml:space="preserve">Section 5 is the architectural record of the target_value / floor_value choices made across all six B-3 domain seeds, plus Nature's pre-existing entries. These breakpoints determine how a raw indicator value becomes a 0-10 score, and how those scores roll up. They are mine alone, anchored to the international thresholds I considered defensible at the time of the seed. They will need to be revisited as data and domain knowledge accumulate.</w:t>
      </w:r>
    </w:p>
    <w:p>
      <w:pPr>
        <w:spacing w:after="160" w:before="280"/>
      </w:pPr>
      <w:r>
        <w:rPr>
          <w:rFonts w:ascii="Georgia" w:cs="Georgia" w:eastAsia="Georgia" w:hAnsi="Georgia"/>
          <w:b/>
          <w:bCs/>
          <w:color w:val="C8A96E"/>
          <w:sz w:val="28"/>
          <w:szCs w:val="28"/>
        </w:rPr>
        <w:t xml:space="preserve">5.1 — Defaults and method</w:t>
      </w:r>
    </w:p>
    <w:p>
      <w:pPr>
        <w:spacing w:after="160" w:line="320"/>
        <w:jc w:val="left"/>
      </w:pPr>
      <w:r>
        <w:rPr>
          <w:rFonts w:ascii="Georgia" w:cs="Georgia" w:eastAsia="Georgia" w:hAnsi="Georgia"/>
          <w:sz w:val="22"/>
          <w:szCs w:val="22"/>
        </w:rPr>
        <w:t xml:space="preserve">Each headline indicator carries a target_value and a floor_value:</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target_value —</w:t>
      </w:r>
      <w:r>
        <w:rPr>
          <w:rFonts w:ascii="Georgia" w:cs="Georgia" w:eastAsia="Georgia" w:hAnsi="Georgia"/>
          <w:sz w:val="22"/>
          <w:szCs w:val="22"/>
        </w:rPr>
        <w:t xml:space="preserve"> the value at which the indicator scores 10. Anchored to the best-in-class threshold a defensible international body has named: WHO target, IPCC pathway, SDG target, peer-reviewed pre-industrial baseline, or a country today that has demonstrably achieved the level.</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floor_value —</w:t>
      </w:r>
      <w:r>
        <w:rPr>
          <w:rFonts w:ascii="Georgia" w:cs="Georgia" w:eastAsia="Georgia" w:hAnsi="Georgia"/>
          <w:sz w:val="22"/>
          <w:szCs w:val="22"/>
        </w:rPr>
        <w:t xml:space="preserve"> the value at which the indicator scores 0. Anchored to a known crisis floor: a historical worst, a sustained level associated with system breakdown, or the pre-transition baseline.</w:t>
      </w:r>
    </w:p>
    <w:p>
      <w:pPr>
        <w:spacing w:after="160" w:line="320"/>
        <w:jc w:val="left"/>
      </w:pPr>
      <w:r>
        <w:rPr>
          <w:rFonts w:ascii="Georgia" w:cs="Georgia" w:eastAsia="Georgia" w:hAnsi="Georgia"/>
          <w:sz w:val="22"/>
          <w:szCs w:val="22"/>
        </w:rPr>
        <w:t xml:space="preserve">Linear normalisation between the two. Direction "down" indicators have target &lt; floor and the formula handles it transparently. "Context" indicators have no target/floor and never contribute to the rollup.</w:t>
      </w:r>
    </w:p>
    <w:p>
      <w:pPr>
        <w:spacing w:after="160" w:before="280"/>
      </w:pPr>
      <w:r>
        <w:rPr>
          <w:rFonts w:ascii="Georgia" w:cs="Georgia" w:eastAsia="Georgia" w:hAnsi="Georgia"/>
          <w:b/>
          <w:bCs/>
          <w:color w:val="C8A96E"/>
          <w:sz w:val="28"/>
          <w:szCs w:val="28"/>
        </w:rPr>
        <w:t xml:space="preserve">5.2 — Areas where the breakpoints are firm</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Universal access metrics —</w:t>
      </w:r>
      <w:r>
        <w:rPr>
          <w:rFonts w:ascii="Georgia" w:cs="Georgia" w:eastAsia="Georgia" w:hAnsi="Georgia"/>
          <w:sz w:val="22"/>
          <w:szCs w:val="22"/>
        </w:rPr>
        <w:t xml:space="preserve"> target=100% is non-negotiable. Internet, electricity, drinking water, sanitation, literacy. Anything less concedes preventable exclusion.</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SDG-linked metrics —</w:t>
      </w:r>
      <w:r>
        <w:rPr>
          <w:rFonts w:ascii="Georgia" w:cs="Georgia" w:eastAsia="Georgia" w:hAnsi="Georgia"/>
          <w:sz w:val="22"/>
          <w:szCs w:val="22"/>
        </w:rPr>
        <w:t xml:space="preserve"> where the SDG itself names a 2030 horizon, that horizon is the target. Extreme poverty target=0; emissions trajectories aligned with 1.5°C.</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Best-country anchors —</w:t>
      </w:r>
      <w:r>
        <w:rPr>
          <w:rFonts w:ascii="Georgia" w:cs="Georgia" w:eastAsia="Georgia" w:hAnsi="Georgia"/>
          <w:sz w:val="22"/>
          <w:szCs w:val="22"/>
        </w:rPr>
        <w:t xml:space="preserve"> where no international target exists, the level sustained by the best-performing country today is the target. Life expectancy target=85 (Japan, Switzerland). Cantril ladder target=8 (Finland, Denmark).</w:t>
      </w:r>
    </w:p>
    <w:p>
      <w:pPr>
        <w:spacing w:after="160" w:before="280"/>
      </w:pPr>
      <w:r>
        <w:rPr>
          <w:rFonts w:ascii="Georgia" w:cs="Georgia" w:eastAsia="Georgia" w:hAnsi="Georgia"/>
          <w:b/>
          <w:bCs/>
          <w:color w:val="C8A96E"/>
          <w:sz w:val="28"/>
          <w:szCs w:val="28"/>
        </w:rPr>
        <w:t xml:space="preserve">5.3 — Areas where the breakpoints are soft</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Inequality —</w:t>
      </w:r>
      <w:r>
        <w:rPr>
          <w:rFonts w:ascii="Georgia" w:cs="Georgia" w:eastAsia="Georgia" w:hAnsi="Georgia"/>
          <w:sz w:val="22"/>
          <w:szCs w:val="22"/>
        </w:rPr>
        <w:t xml:space="preserve"> global Gini target=25 (Nordic country level) is the most defensible anchor I could find, but population-weighted between-country Gini is not directly comparable to country Gini. Open to revision.</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Refugees —</w:t>
      </w:r>
      <w:r>
        <w:rPr>
          <w:rFonts w:ascii="Georgia" w:cs="Georgia" w:eastAsia="Georgia" w:hAnsi="Georgia"/>
          <w:sz w:val="22"/>
          <w:szCs w:val="22"/>
        </w:rPr>
        <w:t xml:space="preserve"> target=10M (early-2010s baseline). No truly defensible "good" refugee count exists short of zero, but using zero would render the indicator permanently floor-pinned. Aspirational floor is honest.</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Cumulative metrics —</w:t>
      </w:r>
      <w:r>
        <w:rPr>
          <w:rFonts w:ascii="Georgia" w:cs="Georgia" w:eastAsia="Georgia" w:hAnsi="Georgia"/>
          <w:sz w:val="22"/>
          <w:szCs w:val="22"/>
        </w:rPr>
        <w:t xml:space="preserve"> species extinctions, cumulative CO₂. These can only get worse over time. Target reflects "no further additions" rather than recovery; the score is a tally of debt, not a goal being approached. The framing is correct for irreversibility but unusual for the rollup pattern.</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Doomsday Clock —</w:t>
      </w:r>
      <w:r>
        <w:rPr>
          <w:rFonts w:ascii="Georgia" w:cs="Georgia" w:eastAsia="Georgia" w:hAnsi="Georgia"/>
          <w:sz w:val="22"/>
          <w:szCs w:val="22"/>
        </w:rPr>
        <w:t xml:space="preserve"> target=900 seconds (15 minutes, the post-Cold-War low). Floor=30 seconds (a level never seen). Both are anchored to the institution's own history rather than an external referent.</w:t>
      </w:r>
    </w:p>
    <w:p>
      <w:pPr>
        <w:spacing w:after="160" w:before="280"/>
      </w:pPr>
      <w:r>
        <w:rPr>
          <w:rFonts w:ascii="Georgia" w:cs="Georgia" w:eastAsia="Georgia" w:hAnsi="Georgia"/>
          <w:b/>
          <w:bCs/>
          <w:color w:val="C8A96E"/>
          <w:sz w:val="28"/>
          <w:szCs w:val="28"/>
        </w:rPr>
        <w:t xml:space="preserve">5.4 — How to challenge a breakpoint</w:t>
      </w:r>
    </w:p>
    <w:p>
      <w:pPr>
        <w:spacing w:after="160" w:line="320"/>
        <w:jc w:val="left"/>
      </w:pPr>
      <w:r>
        <w:rPr>
          <w:rFonts w:ascii="Georgia" w:cs="Georgia" w:eastAsia="Georgia" w:hAnsi="Georgia"/>
          <w:sz w:val="22"/>
          <w:szCs w:val="22"/>
        </w:rPr>
        <w:t xml:space="preserve">No surface yet for this. A future drop should add a public methodology page per indicator and a target_floor_rationale column with citation slots so revisions can be tracked. For now, breakpoints live in the SQL comments of each seed migration, and any community challenge is captured as a source suggestion with notes.</w:t>
      </w:r>
    </w:p>
    <w:p>
      <w:pPr>
        <w:spacing w:after="160" w:before="360"/>
      </w:pPr>
      <w:r>
        <w:rPr>
          <w:rFonts w:ascii="Georgia" w:cs="Georgia" w:eastAsia="Georgia" w:hAnsi="Georgia"/>
          <w:b/>
          <w:bCs/>
          <w:color w:val="C8A96E"/>
          <w:sz w:val="36"/>
          <w:szCs w:val="36"/>
        </w:rPr>
        <w:t xml:space="preserve">Section 6 — Cross-Domain Indicators: The Reuse Pattern</w:t>
      </w:r>
    </w:p>
    <w:p>
      <w:pPr>
        <w:spacing w:after="160" w:line="320"/>
        <w:jc w:val="left"/>
      </w:pPr>
      <w:r>
        <w:rPr>
          <w:rFonts w:ascii="Georgia" w:cs="Georgia" w:eastAsia="Georgia" w:hAnsi="Georgia"/>
          <w:sz w:val="22"/>
          <w:szCs w:val="22"/>
        </w:rPr>
        <w:t xml:space="preserve">Three indicators currently exist as duplicates across multiple domains, intentionally:</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R&amp;D expenditure —</w:t>
      </w:r>
      <w:r>
        <w:rPr>
          <w:rFonts w:ascii="Georgia" w:cs="Georgia" w:eastAsia="Georgia" w:hAnsi="Georgia"/>
          <w:sz w:val="22"/>
          <w:szCs w:val="22"/>
        </w:rPr>
        <w:t xml:space="preserve"> Technology asks "is the substrate beneath tech healthy?". Vision asks "are we putting collective resources toward the future at all?". Same number, two different frames. The Vision row is the alias, the Technology row is canonical.</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Internet penetration —</w:t>
      </w:r>
      <w:r>
        <w:rPr>
          <w:rFonts w:ascii="Georgia" w:cs="Georgia" w:eastAsia="Georgia" w:hAnsi="Georgia"/>
          <w:sz w:val="22"/>
          <w:szCs w:val="22"/>
        </w:rPr>
        <w:t xml:space="preserve"> Technology reads it as access infrastructure. Society reads it through information integrity. The Society row is the alias.</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Mobile cellular subscriptions —</w:t>
      </w:r>
      <w:r>
        <w:rPr>
          <w:rFonts w:ascii="Georgia" w:cs="Georgia" w:eastAsia="Georgia" w:hAnsi="Georgia"/>
          <w:sz w:val="22"/>
          <w:szCs w:val="22"/>
        </w:rPr>
        <w:t xml:space="preserve"> Same pattern as internet penetration. Society reads it through information access; Technology holds the canonical.</w:t>
      </w:r>
    </w:p>
    <w:p>
      <w:pPr>
        <w:spacing w:after="160" w:line="320"/>
        <w:jc w:val="left"/>
      </w:pPr>
      <w:r>
        <w:rPr>
          <w:rFonts w:ascii="Georgia" w:cs="Georgia" w:eastAsia="Georgia" w:hAnsi="Georgia"/>
          <w:sz w:val="22"/>
          <w:szCs w:val="22"/>
        </w:rPr>
        <w:t xml:space="preserve">The architectural rule: when a metric reads against more than one Horizon Goal lens, both rows stay in the catalog. Each domain reads its own row, with its own subdomain_slug and its own tagged_principles. The alias table makes sure only one fetch happens.</w:t>
      </w:r>
    </w:p>
    <w:p>
      <w:pPr>
        <w:spacing w:after="160" w:line="320"/>
        <w:jc w:val="left"/>
      </w:pPr>
      <w:r>
        <w:rPr>
          <w:rFonts w:ascii="Georgia" w:cs="Georgia" w:eastAsia="Georgia" w:hAnsi="Georgia"/>
          <w:sz w:val="22"/>
          <w:szCs w:val="22"/>
        </w:rPr>
        <w:t xml:space="preserve">The UI surface in IndicatorTable communicates the relationship: a small "also read in" hint on the canonical row, an "alias of [domain]" hint on the alias row.</w:t>
      </w:r>
    </w:p>
    <w:p>
      <w:pPr>
        <w:spacing w:after="160" w:line="320"/>
        <w:jc w:val="left"/>
      </w:pPr>
      <w:r>
        <w:rPr>
          <w:rFonts w:ascii="Georgia" w:cs="Georgia" w:eastAsia="Georgia" w:hAnsi="Georgia"/>
          <w:sz w:val="22"/>
          <w:szCs w:val="22"/>
        </w:rPr>
        <w:t xml:space="preserve">Future cross-domain metrics — climate finance reading through both Finance and Nature, indigenous land tenure reading through both Nature and Legacy — should follow the same pattern. Name the canonical, attach the alias, document the lens.</w:t>
      </w:r>
    </w:p>
    <w:p>
      <w:pPr>
        <w:spacing w:after="160" w:before="360"/>
      </w:pPr>
      <w:r>
        <w:rPr>
          <w:rFonts w:ascii="Georgia" w:cs="Georgia" w:eastAsia="Georgia" w:hAnsi="Georgia"/>
          <w:b/>
          <w:bCs/>
          <w:color w:val="C8A96E"/>
          <w:sz w:val="36"/>
          <w:szCs w:val="36"/>
        </w:rPr>
        <w:t xml:space="preserve">Section 7 — Outstanding Items</w:t>
      </w:r>
    </w:p>
    <w:p>
      <w:pPr>
        <w:spacing w:after="160" w:line="320"/>
        <w:jc w:val="left"/>
      </w:pPr>
      <w:r>
        <w:rPr>
          <w:rFonts w:ascii="Georgia" w:cs="Georgia" w:eastAsia="Georgia" w:hAnsi="Georgia"/>
          <w:sz w:val="22"/>
          <w:szCs w:val="22"/>
        </w:rPr>
        <w:t xml:space="preserve">Tracked here for the record:</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Tier 3 contribution UI —</w:t>
      </w:r>
      <w:r>
        <w:rPr>
          <w:rFonts w:ascii="Georgia" w:cs="Georgia" w:eastAsia="Georgia" w:hAnsi="Georgia"/>
          <w:sz w:val="22"/>
          <w:szCs w:val="22"/>
        </w:rPr>
        <w:t xml:space="preserve"> 13 contributor-signal placeholders in the catalog have no input surface yet. Most concentrated in Legacy (4) and Vision (4), where the contribution layer is most architecturally important.</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Per-Focus rollup (B-4) —</w:t>
      </w:r>
      <w:r>
        <w:rPr>
          <w:rFonts w:ascii="Georgia" w:cs="Georgia" w:eastAsia="Georgia" w:hAnsi="Georgia"/>
          <w:sz w:val="22"/>
          <w:szCs w:val="22"/>
        </w:rPr>
        <w:t xml:space="preserve"> currently planetary-only. Per-Focus reads (city PM2.5, basin water quality, neighbourhood community signal) deferred to a future drop.</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Methodology pages —</w:t>
      </w:r>
      <w:r>
        <w:rPr>
          <w:rFonts w:ascii="Georgia" w:cs="Georgia" w:eastAsia="Georgia" w:hAnsi="Georgia"/>
          <w:sz w:val="22"/>
          <w:szCs w:val="22"/>
        </w:rPr>
        <w:t xml:space="preserve"> no public per-indicator methodology page yet. Target/floor rationale lives in SQL comments only.</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Time-varying target/floor —</w:t>
      </w:r>
      <w:r>
        <w:rPr>
          <w:rFonts w:ascii="Georgia" w:cs="Georgia" w:eastAsia="Georgia" w:hAnsi="Georgia"/>
          <w:sz w:val="22"/>
          <w:szCs w:val="22"/>
        </w:rPr>
        <w:t xml:space="preserve"> some metrics (atmospheric CO₂) carry breakpoints that should slide over decades, not stay constant. Schema currently treats target/floor as static.</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Translation surface —</w:t>
      </w:r>
      <w:r>
        <w:rPr>
          <w:rFonts w:ascii="Georgia" w:cs="Georgia" w:eastAsia="Georgia" w:hAnsi="Georgia"/>
          <w:sz w:val="22"/>
          <w:szCs w:val="22"/>
        </w:rPr>
        <w:t xml:space="preserve"> methodology notes, principle slugs, and catalog labels are English-only. Internationalisation is acknowledged but not yet structured.</w:t>
      </w:r>
    </w:p>
    <w:p>
      <w:pPr>
        <w:spacing w:after="100" w:line="300"/>
        <w:ind w:left="720" w:hanging="360"/>
      </w:pPr>
      <w:r>
        <w:rPr>
          <w:rFonts w:ascii="Georgia" w:cs="Georgia" w:eastAsia="Georgia" w:hAnsi="Georgia"/>
          <w:color w:val="C8A96E"/>
          <w:sz w:val="22"/>
          <w:szCs w:val="22"/>
        </w:rPr>
        <w:t xml:space="preserve">— </w:t>
      </w:r>
      <w:r>
        <w:rPr>
          <w:rFonts w:ascii="Georgia" w:cs="Georgia" w:eastAsia="Georgia" w:hAnsi="Georgia"/>
          <w:b/>
          <w:bCs/>
          <w:sz w:val="22"/>
          <w:szCs w:val="22"/>
        </w:rPr>
        <w:t xml:space="preserve">Tier 1 fetcher backlog —</w:t>
      </w:r>
      <w:r>
        <w:rPr>
          <w:rFonts w:ascii="Georgia" w:cs="Georgia" w:eastAsia="Georgia" w:hAnsi="Georgia"/>
          <w:sz w:val="22"/>
          <w:szCs w:val="22"/>
        </w:rPr>
        <w:t xml:space="preserve"> AI Incident Database GraphQL handler, IUCN Red List token-based handler, Doomsday Clock annual scrape, V-Dem CSV ingest, World Heritage list scrape. Each shippable as a single-fetcher drop using the existing worker pattern.</w:t>
      </w:r>
    </w:p>
    <w:p>
      <w:pPr>
        <w:pBdr>
          <w:bottom w:val="single" w:color="C8A96E" w:sz="8" w:space="1"/>
        </w:pBdr>
        <w:spacing w:after="240" w:before="80"/>
      </w:pPr>
    </w:p>
    <w:p>
      <w:pPr>
        <w:spacing w:before="320"/>
        <w:jc w:val="center"/>
      </w:pPr>
      <w:r>
        <w:rPr>
          <w:rFonts w:ascii="Georgia" w:cs="Georgia" w:eastAsia="Georgia" w:hAnsi="Georgia"/>
          <w:i/>
          <w:iCs/>
          <w:color w:val="7A7060"/>
          <w:sz w:val="18"/>
          <w:szCs w:val="18"/>
        </w:rPr>
        <w:t xml:space="preserve">NextUs · Section 11.8 · Honesty, Aliases, Reliability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2026-05-10T00:52:33.804Z</dcterms:created>
  <dcterms:modified xsi:type="dcterms:W3CDTF">2026-05-10T00:52:33.805Z</dcterms:modified>
</cp:coreProperties>
</file>

<file path=docProps/custom.xml><?xml version="1.0" encoding="utf-8"?>
<Properties xmlns="http://schemas.openxmlformats.org/officeDocument/2006/custom-properties" xmlns:vt="http://schemas.openxmlformats.org/officeDocument/2006/docPropsVTypes"/>
</file>