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Georgia" w:cs="Georgia" w:eastAsia="Georgia" w:hAnsi="Georgia"/>
          <w:b/>
          <w:bCs/>
          <w:color w:val="C8A96E"/>
          <w:sz w:val="48"/>
          <w:szCs w:val="48"/>
        </w:rPr>
        <w:t xml:space="preserve">NextUs</w:t>
      </w:r>
    </w:p>
    <w:p>
      <w:pPr>
        <w:spacing w:after="80" w:before="0"/>
        <w:jc w:val="center"/>
      </w:pPr>
      <w:r>
        <w:rPr>
          <w:rFonts w:ascii="Georgia" w:cs="Georgia" w:eastAsia="Georgia" w:hAnsi="Georgia"/>
          <w:color w:val="1A1A2E"/>
          <w:sz w:val="32"/>
          <w:szCs w:val="32"/>
        </w:rPr>
        <w:t xml:space="preserve">Contribution Mode Taxonomy</w:t>
      </w:r>
    </w:p>
    <w:p>
      <w:pPr>
        <w:spacing w:after="80" w:before="0"/>
        <w:jc w:val="center"/>
      </w:pPr>
      <w:r>
        <w:rPr>
          <w:rFonts w:ascii="Georgia" w:cs="Georgia" w:eastAsia="Georgia" w:hAnsi="Georgia"/>
          <w:i/>
          <w:iCs/>
          <w:color w:val="8B6914"/>
          <w:sz w:val="22"/>
          <w:szCs w:val="22"/>
        </w:rPr>
        <w:t xml:space="preserve">Every kind of contributor, clearly named</w:t>
      </w:r>
    </w:p>
    <w:p>
      <w:pPr>
        <w:spacing w:after="1440" w:before="80"/>
        <w:jc w:val="center"/>
      </w:pPr>
      <w:r>
        <w:rPr>
          <w:rFonts w:ascii="Georgia" w:cs="Georgia" w:eastAsia="Georgia" w:hAnsi="Georgia"/>
          <w:color w:val="AAAAAA"/>
          <w:sz w:val="20"/>
          <w:szCs w:val="20"/>
        </w:rPr>
        <w:t xml:space="preserve">April 2026  ·  v1.0</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1 — Purpose</w:t>
      </w:r>
    </w:p>
    <w:p>
      <w:pPr>
        <w:spacing w:after="60" w:before="60"/>
      </w:pPr>
      <w:r>
        <w:rPr>
          <w:rFonts w:ascii="Georgia" w:cs="Georgia" w:eastAsia="Georgia" w:hAnsi="Georgia"/>
          <w:i w:val="false"/>
          <w:iCs w:val="false"/>
          <w:color w:val="1A1A2E"/>
          <w:sz w:val="20"/>
          <w:szCs w:val="20"/>
        </w:rPr>
        <w:t xml:space="preserve">The contribution mode taxonomy exists to ensure that the full breadth of human contribution is legible on the NextUs platform. Most contribution frameworks are built around functional roles — developers, funders, strategists. The work that actually moves civilisation forward is far wider than that.</w:t>
      </w:r>
    </w:p>
    <w:p>
      <w:pPr>
        <w:spacing w:after="0" w:before="120"/>
      </w:pPr>
    </w:p>
    <w:p>
      <w:pPr>
        <w:spacing w:after="60" w:before="60"/>
      </w:pPr>
      <w:r>
        <w:rPr>
          <w:rFonts w:ascii="Georgia" w:cs="Georgia" w:eastAsia="Georgia" w:hAnsi="Georgia"/>
          <w:i w:val="false"/>
          <w:iCs w:val="false"/>
          <w:color w:val="1A1A2E"/>
          <w:sz w:val="20"/>
          <w:szCs w:val="20"/>
        </w:rPr>
        <w:t xml:space="preserve">A musician who writes the anthem for a movement. A trauma therapist who rebuilds trust in communities after conflict. A philosopher who reframes how policymakers understand a problem. A documentary filmmaker who makes the invisible visible. These are not support roles. They are often the leading edge of change.</w:t>
      </w:r>
    </w:p>
    <w:p>
      <w:pPr>
        <w:spacing w:after="0" w:before="120"/>
      </w:pPr>
    </w:p>
    <w:p>
      <w:pPr>
        <w:spacing w:after="60" w:before="60"/>
      </w:pPr>
      <w:r>
        <w:rPr>
          <w:rFonts w:ascii="Georgia" w:cs="Georgia" w:eastAsia="Georgia" w:hAnsi="Georgia"/>
          <w:i w:val="false"/>
          <w:iCs w:val="false"/>
          <w:color w:val="1A1A2E"/>
          <w:sz w:val="20"/>
          <w:szCs w:val="20"/>
        </w:rPr>
        <w:t xml:space="preserve">This taxonomy names four contribution modes and maps the full range of roles within each. It is used in three places on the platform:</w:t>
      </w:r>
    </w:p>
    <w:p>
      <w:pPr>
        <w:pStyle w:val="ListParagraph"/>
        <w:numPr>
          <w:ilvl w:val="0"/>
          <w:numId w:val="2"/>
        </w:numPr>
        <w:spacing w:after="40" w:before="40"/>
      </w:pPr>
      <w:r>
        <w:rPr>
          <w:rFonts w:ascii="Georgia" w:cs="Georgia" w:eastAsia="Georgia" w:hAnsi="Georgia"/>
          <w:color w:val="1A1A2E"/>
          <w:sz w:val="20"/>
          <w:szCs w:val="20"/>
        </w:rPr>
        <w:t xml:space="preserve">The offering form (actor manage page) — when an org describes what they offer</w:t>
      </w:r>
    </w:p>
    <w:p>
      <w:pPr>
        <w:pStyle w:val="ListParagraph"/>
        <w:numPr>
          <w:ilvl w:val="0"/>
          <w:numId w:val="2"/>
        </w:numPr>
        <w:spacing w:after="40" w:before="40"/>
      </w:pPr>
      <w:r>
        <w:rPr>
          <w:rFonts w:ascii="Georgia" w:cs="Georgia" w:eastAsia="Georgia" w:hAnsi="Georgia"/>
          <w:color w:val="1A1A2E"/>
          <w:sz w:val="20"/>
          <w:szCs w:val="20"/>
        </w:rPr>
        <w:t xml:space="preserve">The contributor offer card (profile page) — when an individual describes what they bring</w:t>
      </w:r>
    </w:p>
    <w:p>
      <w:pPr>
        <w:pStyle w:val="ListParagraph"/>
        <w:numPr>
          <w:ilvl w:val="0"/>
          <w:numId w:val="2"/>
        </w:numPr>
        <w:spacing w:after="40" w:before="40"/>
      </w:pPr>
      <w:r>
        <w:rPr>
          <w:rFonts w:ascii="Georgia" w:cs="Georgia" w:eastAsia="Georgia" w:hAnsi="Georgia"/>
          <w:color w:val="1A1A2E"/>
          <w:sz w:val="20"/>
          <w:szCs w:val="20"/>
        </w:rPr>
        <w:t xml:space="preserve">The matching engine — to connect contributors to orgs by mode affinity</w:t>
      </w:r>
    </w:p>
    <w:p>
      <w:pPr>
        <w:spacing w:after="0" w:before="120"/>
      </w:pPr>
    </w:p>
    <w:p>
      <w:pPr>
        <w:pBdr>
          <w:left w:val="single" w:color="C8A96E" w:sz="6" w:space="8"/>
        </w:pBdr>
        <w:spacing w:after="80" w:before="80"/>
        <w:ind w:left="720"/>
      </w:pPr>
      <w:r>
        <w:rPr>
          <w:rFonts w:ascii="Georgia" w:cs="Georgia" w:eastAsia="Georgia" w:hAnsi="Georgia"/>
          <w:i/>
          <w:iCs/>
          <w:color w:val="5A4A1A"/>
          <w:sz w:val="18"/>
          <w:szCs w:val="18"/>
        </w:rPr>
        <w:t xml:space="preserve">These categories are not identity labels and are not mutually exclusive. A documentary filmmaker working with trauma survivors is Expressive and Relational simultaneously. Use the "Mixed" option when the offer genuinely crosses modes. The purpose of the taxonomy is orientation and discoverability, not classification.</w:t>
      </w:r>
    </w:p>
    <w:p>
      <w:pPr>
        <w:pBdr>
          <w:bottom w:val="single" w:color="C8A96E" w:sz="4" w:space="1"/>
        </w:pBdr>
        <w:spacing w:after="240" w:before="240"/>
      </w:pPr>
    </w:p>
    <w:p>
      <w:pPr>
        <w:pStyle w:val="Heading2"/>
        <w:spacing w:after="80" w:before="360"/>
      </w:pPr>
      <w:r>
        <w:rPr>
          <w:rFonts w:ascii="Georgia" w:cs="Georgia" w:eastAsia="Georgia" w:hAnsi="Georgia"/>
          <w:b/>
          <w:bCs/>
          <w:color w:val="8B6914"/>
          <w:sz w:val="24"/>
          <w:szCs w:val="24"/>
        </w:rPr>
        <w:t xml:space="preserve">Mode 1 — Functional</w:t>
      </w:r>
    </w:p>
    <w:p>
      <w:pPr>
        <w:spacing w:after="60" w:before="60"/>
      </w:pPr>
      <w:r>
        <w:rPr>
          <w:rFonts w:ascii="Georgia" w:cs="Georgia" w:eastAsia="Georgia" w:hAnsi="Georgia"/>
          <w:i w:val="false"/>
          <w:iCs w:val="false"/>
          <w:color w:val="1A1A2E"/>
          <w:sz w:val="20"/>
          <w:szCs w:val="20"/>
        </w:rPr>
        <w:t xml:space="preserve">Builds, organises, funds, connects, operates.</w:t>
      </w:r>
    </w:p>
    <w:p>
      <w:pPr>
        <w:spacing w:after="0" w:before="80"/>
      </w:pPr>
    </w:p>
    <w:p>
      <w:pPr>
        <w:spacing w:after="60" w:before="60"/>
      </w:pPr>
      <w:r>
        <w:rPr>
          <w:rFonts w:ascii="Georgia" w:cs="Georgia" w:eastAsia="Georgia" w:hAnsi="Georgia"/>
          <w:i/>
          <w:iCs/>
          <w:color w:val="1A1A2E"/>
          <w:sz w:val="20"/>
          <w:szCs w:val="20"/>
        </w:rPr>
        <w:t xml:space="preserve">The traditional contribution model. Functional contributors bring operational capacity — the ability to make things exist, move resources, build systems, and keep them running. This is where most contribution frameworks begin and end. NextUs starts here too, but does not stop here.</w:t>
      </w:r>
    </w:p>
    <w:p>
      <w:pPr>
        <w:spacing w:after="0" w:before="120"/>
      </w:pPr>
    </w:p>
    <w:p>
      <w:pPr>
        <w:spacing w:after="60" w:before="200"/>
      </w:pPr>
      <w:r>
        <w:rPr>
          <w:rFonts w:ascii="Georgia" w:cs="Georgia" w:eastAsia="Georgia" w:hAnsi="Georgia"/>
          <w:b/>
          <w:bCs/>
          <w:color w:val="1A1A2E"/>
          <w:sz w:val="20"/>
          <w:szCs w:val="20"/>
        </w:rPr>
        <w:t xml:space="preserve">Who this includes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Role / Title</w:t>
            </w:r>
          </w:p>
        </w:tc>
        <w:tc>
          <w:tcPr>
            <w:tcW w:type="dxa" w:w="656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What they bring</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Software engineer / developer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Builds the technical infrastructure that orgs depend on. Frontend, backend, data systems, integrations.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Product manager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Translates vision into buildable products. Defines scope, manages roadmaps, bridges strategy and execution.</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Operations lead</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Keeps organisations running. Processes, systems, logistics, resource management.</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Strategist / consultant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Brings structured thinking to complex problems. Strategic planning, positioning, competitive analysis.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Financial analyst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Models impact, builds financial cases, tracks resource allocation against outcomes.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Funder / investor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Brings capital. Whether philanthropic, impact-oriented, or commercial — they move money toward work that matters.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Grant-maker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Allocates institutional capital. Knows which orgs deserve support and how to make the case internally.</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Project manager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Holds timelines, coordinates teams, manages risk. The person who makes sure things actually get done.</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Programme coordinator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Manages complex multi-stakeholder programmes. The connective tissue of large initiatives.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Data analyst / scientist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Extracts meaning from data. Turns raw information into insight that drives decisions.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Legal advisor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Navigates regulatory environments, structures agreements, protects organisations from exposure.</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Community organiser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Builds participation at scale. Turns diffuse interest into coordinated action.</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Network connector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Knows who needs to meet whom. Makes introductions that unlock otherwise inaccessible resources.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Logistics specialist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Manages physical and operational complexity. Supply chains, event logistics, resource distribution.</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Researcher (applied)</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Generates evidence that directly informs decisions. Evaluation, impact measurement, landscape analysis.</w:t>
            </w:r>
          </w:p>
        </w:tc>
      </w:tr>
    </w:tbl>
    <w:p>
      <w:pPr>
        <w:pBdr>
          <w:bottom w:val="single" w:color="C8A96E" w:sz="4" w:space="1"/>
        </w:pBdr>
        <w:spacing w:after="240" w:before="240"/>
      </w:pPr>
    </w:p>
    <w:p>
      <w:pPr>
        <w:pStyle w:val="Heading2"/>
        <w:spacing w:after="80" w:before="360"/>
      </w:pPr>
      <w:r>
        <w:rPr>
          <w:rFonts w:ascii="Georgia" w:cs="Georgia" w:eastAsia="Georgia" w:hAnsi="Georgia"/>
          <w:b/>
          <w:bCs/>
          <w:color w:val="8B6914"/>
          <w:sz w:val="24"/>
          <w:szCs w:val="24"/>
        </w:rPr>
        <w:t xml:space="preserve">Mode 2 — Expressive</w:t>
      </w:r>
    </w:p>
    <w:p>
      <w:pPr>
        <w:spacing w:after="60" w:before="60"/>
      </w:pPr>
      <w:r>
        <w:rPr>
          <w:rFonts w:ascii="Georgia" w:cs="Georgia" w:eastAsia="Georgia" w:hAnsi="Georgia"/>
          <w:i w:val="false"/>
          <w:iCs w:val="false"/>
          <w:color w:val="1A1A2E"/>
          <w:sz w:val="20"/>
          <w:szCs w:val="20"/>
        </w:rPr>
        <w:t xml:space="preserve">Makes, performs, creates, transmits.</w:t>
      </w:r>
    </w:p>
    <w:p>
      <w:pPr>
        <w:spacing w:after="0" w:before="80"/>
      </w:pPr>
    </w:p>
    <w:p>
      <w:pPr>
        <w:spacing w:after="60" w:before="60"/>
      </w:pPr>
      <w:r>
        <w:rPr>
          <w:rFonts w:ascii="Georgia" w:cs="Georgia" w:eastAsia="Georgia" w:hAnsi="Georgia"/>
          <w:i/>
          <w:iCs/>
          <w:color w:val="1A1A2E"/>
          <w:sz w:val="20"/>
          <w:szCs w:val="20"/>
        </w:rPr>
        <w:t xml:space="preserve">Expressive contributors work at the level of culture, narrative, and perception. They shift how people see, feel, and understand. The civil rights movement had music before it had legislation. Every major cultural shift has artists running point. The Expressive mode is not decoration — it is often the first mover.</w:t>
      </w:r>
    </w:p>
    <w:p>
      <w:pPr>
        <w:spacing w:after="0" w:before="120"/>
      </w:pPr>
    </w:p>
    <w:p>
      <w:pPr>
        <w:spacing w:after="60" w:before="200"/>
      </w:pPr>
      <w:r>
        <w:rPr>
          <w:rFonts w:ascii="Georgia" w:cs="Georgia" w:eastAsia="Georgia" w:hAnsi="Georgia"/>
          <w:b/>
          <w:bCs/>
          <w:color w:val="1A1A2E"/>
          <w:sz w:val="20"/>
          <w:szCs w:val="20"/>
        </w:rPr>
        <w:t xml:space="preserve">Who this includes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Role / Title</w:t>
            </w:r>
          </w:p>
        </w:tc>
        <w:tc>
          <w:tcPr>
            <w:tcW w:type="dxa" w:w="656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What they bring</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Musician / composer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Creates sonic environments that move people emotionally. Anthems, soundscapes, ceremonial music, documentary scores.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Sound designer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Builds auditory worlds. Podcasts, films, installations, immersive experiences.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Music therapist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Uses music as a direct therapeutic and healing modality. Functional and Expressive simultaneously.</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Dancer / choreographer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Works through the body. Performs, teaches, creates movement languages that carry meaning words cannot.</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Movement practitioner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Brings somatic awareness through structured movement. Dance, yoga, martial arts, embodiment practices.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Visual artist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Creates images that change how things are seen. Paintings, sculptures, murals, installations.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Illustrator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Translates complex ideas into visual form. Infographics, editorial illustration, narrative art.</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Muralist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Makes art at the scale of communities. Public-facing, place-based, culturally rooted.</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Photographer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Documents reality in ways that make it impossible to ignore. The image that changes a policy conversation.</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Documentary filmmaker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Long-form visual storytelling that changes how audiences understand a problem or a person.</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Videographer / cinematographer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Brings moving image craft to any scale. From social content to broadcast.</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Writer (fiction / literary)</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Creates imaginative worlds that change how readers understand the real one.</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Poet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Concentrates language until it carries more weight than prose can. Names what was previously unnameable.</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Essayist / long-form journalist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Investigates, reflects, synthesises. Makes the invisible visible through sustained written attention.</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Speechwriter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Puts the right words in the right mouth at the right moment. Some of the highest-leverage work in the world.</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Narrative strategist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Shapes the stories organisations and movements tell about themselves. Frames that stick.</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Copywriter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Makes language do functional and emotional work simultaneously. The sentence that gets people to act.</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Game designer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Creates systems that teach, explore, and build empathy through play.</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Interactive experience designer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Builds participatory environments — digital, physical, or hybrid — that change how people engage.</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Comedian / satirist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Uses humour to surface what is difficult to say directly. Some of the most effective social commentary alive.</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Storyteller / spoken word artist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Carries culture through oral tradition. Performance as transmission.</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Graphic designer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Gives visual form to ideas. Identities, communications, campaigns — the visual language of movements.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UX/UI designer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Shapes the experience of using digital tools. When design is right, behaviour changes.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Animator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Brings still images into motion. Explains, delights, makes complex things graspable.</w:t>
            </w:r>
          </w:p>
        </w:tc>
      </w:tr>
    </w:tbl>
    <w:p>
      <w:pPr>
        <w:pBdr>
          <w:bottom w:val="single" w:color="C8A96E" w:sz="4" w:space="1"/>
        </w:pBdr>
        <w:spacing w:after="240" w:before="240"/>
      </w:pPr>
    </w:p>
    <w:p>
      <w:pPr>
        <w:pStyle w:val="Heading2"/>
        <w:spacing w:after="80" w:before="360"/>
      </w:pPr>
      <w:r>
        <w:rPr>
          <w:rFonts w:ascii="Georgia" w:cs="Georgia" w:eastAsia="Georgia" w:hAnsi="Georgia"/>
          <w:b/>
          <w:bCs/>
          <w:color w:val="8B6914"/>
          <w:sz w:val="24"/>
          <w:szCs w:val="24"/>
        </w:rPr>
        <w:t xml:space="preserve">Mode 3 — Relational</w:t>
      </w:r>
    </w:p>
    <w:p>
      <w:pPr>
        <w:spacing w:after="60" w:before="60"/>
      </w:pPr>
      <w:r>
        <w:rPr>
          <w:rFonts w:ascii="Georgia" w:cs="Georgia" w:eastAsia="Georgia" w:hAnsi="Georgia"/>
          <w:i w:val="false"/>
          <w:iCs w:val="false"/>
          <w:color w:val="1A1A2E"/>
          <w:sz w:val="20"/>
          <w:szCs w:val="20"/>
        </w:rPr>
        <w:t xml:space="preserve">Heals, holds, facilitates, witnesses.</w:t>
      </w:r>
    </w:p>
    <w:p>
      <w:pPr>
        <w:spacing w:after="0" w:before="80"/>
      </w:pPr>
    </w:p>
    <w:p>
      <w:pPr>
        <w:spacing w:after="60" w:before="60"/>
      </w:pPr>
      <w:r>
        <w:rPr>
          <w:rFonts w:ascii="Georgia" w:cs="Georgia" w:eastAsia="Georgia" w:hAnsi="Georgia"/>
          <w:i/>
          <w:iCs/>
          <w:color w:val="1A1A2E"/>
          <w:sz w:val="20"/>
          <w:szCs w:val="20"/>
        </w:rPr>
        <w:t xml:space="preserve">Relational contributors work at the level of the nervous system, the psyche, and the community. They create the conditions in which other kinds of work become possible. You cannot build anything durable on dysregulation. Relational work is not soft — it is foundational.</w:t>
      </w:r>
    </w:p>
    <w:p>
      <w:pPr>
        <w:spacing w:after="0" w:before="120"/>
      </w:pPr>
    </w:p>
    <w:p>
      <w:pPr>
        <w:spacing w:after="60" w:before="200"/>
      </w:pPr>
      <w:r>
        <w:rPr>
          <w:rFonts w:ascii="Georgia" w:cs="Georgia" w:eastAsia="Georgia" w:hAnsi="Georgia"/>
          <w:b/>
          <w:bCs/>
          <w:color w:val="1A1A2E"/>
          <w:sz w:val="20"/>
          <w:szCs w:val="20"/>
        </w:rPr>
        <w:t xml:space="preserve">Who this includes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Role / Title</w:t>
            </w:r>
          </w:p>
        </w:tc>
        <w:tc>
          <w:tcPr>
            <w:tcW w:type="dxa" w:w="656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What they bring</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Therapist / psychotherapist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Works with individuals to process, integrate, and heal. Trauma, attachment, developmental and existential work.</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Counsellor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Provides structured psychological support. Shorter-term, goal-oriented, often community-facing.</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Clinical psychologist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Brings formal clinical training to complex mental health needs. Assessment, diagnosis, evidence-based treatment.</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Somatic practitioner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Works with the body as the primary site of healing. Trauma stored in the body is released through the body.</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Body worker / massage therapist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Therapeutic physical contact. Releases tension, restores regulation, supports healing.</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Sexual trauma specialist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Works specifically with the aftermath of sexual violence. Highly specialised, critically important.</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Intimacy educator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Rebuilds healthy relational and sexual frameworks. Works with individuals, couples, and communities.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Mediator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Holds space for conflict resolution. Trained in de-escalation, structured dialogue, and agreement-building.</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Conflict resolution practitioner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Builds the processes and skills that allow groups to navigate disagreement without destruction.</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Facilitator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Holds group processes. Makes collective sense-making possible. Works in communities, organisations, and movements.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Circle keeper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Holds restorative justice and community accountability processes. Deeply rooted in indigenous and community practices.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Coach</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Partners with individuals on goals, growth, and transitions. Strengths-based, forward-facing, accountability-holding.</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Mentor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Shares experience and wisdom with people earlier in their journey. Relationship over time.</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Community weaver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Builds belonging at the neighbourhood or community level. Makes people feel they belong somewhere.</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Ritual holder / ceremony facilitator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Creates structured sacred or meaningful containers for transition, grief, celebration, and healing.</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Chaplain</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Provides spiritual and pastoral care in institutional settings. Hospitals, prisons, military, disaster relief.</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Grief worker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Holds space for loss. Individual and collective grief — including ecological grief and historical trauma.</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Death doula / end-of-life guide</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Accompanies the dying and their families. One of the most intimate forms of relational contribution.</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Peer support specialist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Brings lived experience of mental health challenges into the support of others. Community-embedded healing.</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Youth worker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Works with young people at developmental inflection points. Trust-based, long-term, often the relationship that changes a trajectory.</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Spiritual director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Accompanies people in their inner and spiritual lives. One of the oldest forms of relational practice.</w:t>
            </w:r>
          </w:p>
        </w:tc>
      </w:tr>
    </w:tbl>
    <w:p>
      <w:pPr>
        <w:pBdr>
          <w:bottom w:val="single" w:color="C8A96E" w:sz="4" w:space="1"/>
        </w:pBdr>
        <w:spacing w:after="240" w:before="240"/>
      </w:pPr>
    </w:p>
    <w:p>
      <w:pPr>
        <w:pStyle w:val="Heading2"/>
        <w:spacing w:after="80" w:before="360"/>
      </w:pPr>
      <w:r>
        <w:rPr>
          <w:rFonts w:ascii="Georgia" w:cs="Georgia" w:eastAsia="Georgia" w:hAnsi="Georgia"/>
          <w:b/>
          <w:bCs/>
          <w:color w:val="8B6914"/>
          <w:sz w:val="24"/>
          <w:szCs w:val="24"/>
        </w:rPr>
        <w:t xml:space="preserve">Mode 4 — Intellectual</w:t>
      </w:r>
    </w:p>
    <w:p>
      <w:pPr>
        <w:spacing w:after="60" w:before="60"/>
      </w:pPr>
      <w:r>
        <w:rPr>
          <w:rFonts w:ascii="Georgia" w:cs="Georgia" w:eastAsia="Georgia" w:hAnsi="Georgia"/>
          <w:i w:val="false"/>
          <w:iCs w:val="false"/>
          <w:color w:val="1A1A2E"/>
          <w:sz w:val="20"/>
          <w:szCs w:val="20"/>
        </w:rPr>
        <w:t xml:space="preserve">Researches, synthesises, frames, teaches.</w:t>
      </w:r>
    </w:p>
    <w:p>
      <w:pPr>
        <w:spacing w:after="0" w:before="80"/>
      </w:pPr>
    </w:p>
    <w:p>
      <w:pPr>
        <w:spacing w:after="60" w:before="60"/>
      </w:pPr>
      <w:r>
        <w:rPr>
          <w:rFonts w:ascii="Georgia" w:cs="Georgia" w:eastAsia="Georgia" w:hAnsi="Georgia"/>
          <w:i/>
          <w:iCs/>
          <w:color w:val="1A1A2E"/>
          <w:sz w:val="20"/>
          <w:szCs w:val="20"/>
        </w:rPr>
        <w:t xml:space="preserve">Intellectual contributors build the conceptual infrastructure that others act from. Before a policy can change, someone has to frame the problem differently. Before a movement can cohere, someone has to synthesise what it knows. Intellectual work is the lever that multiplies everything else.</w:t>
      </w:r>
    </w:p>
    <w:p>
      <w:pPr>
        <w:spacing w:after="0" w:before="120"/>
      </w:pPr>
    </w:p>
    <w:p>
      <w:pPr>
        <w:spacing w:after="60" w:before="200"/>
      </w:pPr>
      <w:r>
        <w:rPr>
          <w:rFonts w:ascii="Georgia" w:cs="Georgia" w:eastAsia="Georgia" w:hAnsi="Georgia"/>
          <w:b/>
          <w:bCs/>
          <w:color w:val="1A1A2E"/>
          <w:sz w:val="20"/>
          <w:szCs w:val="20"/>
        </w:rPr>
        <w:t xml:space="preserve">Who this includes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Role / Title</w:t>
            </w:r>
          </w:p>
        </w:tc>
        <w:tc>
          <w:tcPr>
            <w:tcW w:type="dxa" w:w="656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What they bring</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Academic researcher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Generates peer-reviewed knowledge. Primary research, literature synthesis, methodological rigour.</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Scientist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Produces empirical evidence. Natural sciences, social sciences, interdisciplinary work at the edges.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Epistemologist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Studies how we know what we know. Critical for any field trying to build credible foundations.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Philosopher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Examines fundamental questions about reality, ethics, knowledge, and meaning. Often the first to name what others sense.</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Ethicist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Brings structured moral reasoning to difficult decisions. Essential in technology, medicine, policy, and AI.</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Theologian</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Works at the intersection of meaning, tradition, and the sacred. Often the carrier of long-view thinking.</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Systems thinker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Sees the structure beneath the surface. Feedback loops, leverage points, unintended consequences.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Complexity theorist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Works with non-linear, emergent, adaptive systems. Essential for understanding civilisational-scale change.</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Speechwriter (intellectual)</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Translates complex intellectual positions into language that can move audiences. Dual-mode: Intellectual and Expressive.</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Framing specialist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Studies and applies how language shapes perception. The cognitive scientist of communication.</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Public intellectual</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Brings rigorous thinking to public discourse. Makes complex ideas accessible without dumbing them down.</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Educator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Transmits knowledge, skills, and ways of thinking across generations. The original network node.</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Curriculum designer</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Builds the systems through which knowledge is transmitted. What gets taught shapes what gets done.</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Teacher (primary / secondary)</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Works at the most foundational level of intellectual formation. The relationship that shapes how people think.</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Archivist / librarian</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Preserves and makes accessible the knowledge of the past. Memory infrastructure for civilisation.</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Historian</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Understands where we came from. Essential for understanding where we are and where we might go.</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Futurist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Maps plausible trajectories. Helps organisations and movements anticipate rather than react.</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Foresight practitioner</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Builds systematic futures-thinking capacity. Scenario planning, signal detection, long-view strategy.</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Policy analyst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Translates evidence and values into policy proposals. The bridge between research and governance.</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Legal theorist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Works at the level of jurisprudence and constitutional design. The conceptual architecture of rights and governance.</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Economist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Models how resources are allocated. Particularly powerful when working with alternative economic frameworks.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Epidemiologist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Studies the distribution and determinants of health. Essential for any work touching public health and systems.</w:t>
            </w:r>
          </w:p>
        </w:tc>
      </w:tr>
      <w:tr>
        <w:tc>
          <w:tcPr>
            <w:tcW w:type="dxa" w:w="28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b/>
                <w:bCs/>
                <w:color w:val="1A1A2E"/>
                <w:sz w:val="18"/>
                <w:szCs w:val="18"/>
              </w:rPr>
              <w:t xml:space="preserve">Anthropologist</w:t>
            </w:r>
          </w:p>
        </w:tc>
        <w:tc>
          <w:tcPr>
            <w:tcW w:type="dxa" w:w="65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Studies human cultures, practices, and meaning-making. Brings ethnographic depth to complex social questions.</w:t>
            </w:r>
          </w:p>
        </w:tc>
      </w:tr>
      <w:tr>
        <w:tc>
          <w:tcPr>
            <w:tcW w:type="dxa" w:w="28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b/>
                <w:bCs/>
                <w:color w:val="1A1A2E"/>
                <w:sz w:val="18"/>
                <w:szCs w:val="18"/>
              </w:rPr>
              <w:t xml:space="preserve">Sociologist</w:t>
            </w:r>
          </w:p>
        </w:tc>
        <w:tc>
          <w:tcPr>
            <w:tcW w:type="dxa" w:w="65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Studies social structures, institutions, and patterns. Essential for understanding how change actually happens.</w:t>
            </w:r>
          </w:p>
        </w:tc>
      </w:tr>
    </w:tbl>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2 — Archetype to Mode Mapping</w:t>
      </w:r>
    </w:p>
    <w:p>
      <w:pPr>
        <w:spacing w:after="60" w:before="60"/>
      </w:pPr>
      <w:r>
        <w:rPr>
          <w:rFonts w:ascii="Georgia" w:cs="Georgia" w:eastAsia="Georgia" w:hAnsi="Georgia"/>
          <w:i w:val="false"/>
          <w:iCs w:val="false"/>
          <w:color w:val="1A1A2E"/>
          <w:sz w:val="20"/>
          <w:szCs w:val="20"/>
        </w:rPr>
        <w:t xml:space="preserve">The nine Purpose Piece archetypes map onto contribution modes with natural affinities. These are suggested orientations, not fixed assignments. The user confirms or adjusts when creating their contributor offer.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Archetype</w:t>
            </w:r>
          </w:p>
        </w:tc>
        <w:tc>
          <w:tcPr>
            <w:tcW w:type="dxa" w:w="220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Primary mode</w:t>
            </w:r>
          </w:p>
        </w:tc>
        <w:tc>
          <w:tcPr>
            <w:tcW w:type="dxa" w:w="220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Secondary mode</w:t>
            </w:r>
          </w:p>
        </w:tc>
        <w:tc>
          <w:tcPr>
            <w:tcW w:type="dxa" w:w="2960"/>
            <w:tcBorders>
              <w:top w:val="single" w:color="D4B483" w:sz="1"/>
              <w:left w:val="single" w:color="D4B483" w:sz="1"/>
              <w:bottom w:val="single" w:color="D4B483" w:sz="1"/>
              <w:right w:val="single" w:color="D4B483" w:sz="1"/>
            </w:tcBorders>
            <w:shd w:fill="8B6914" w:val="clear"/>
            <w:tcMar>
              <w:top w:type="dxa" w:w="80"/>
              <w:left w:type="dxa" w:w="140"/>
              <w:bottom w:type="dxa" w:w="80"/>
              <w:right w:type="dxa" w:w="140"/>
            </w:tcMar>
          </w:tcPr>
          <w:p>
            <w:r>
              <w:rPr>
                <w:rFonts w:ascii="Georgia" w:cs="Georgia" w:eastAsia="Georgia" w:hAnsi="Georgia"/>
                <w:b/>
                <w:bCs/>
                <w:color w:val="FFFFFF"/>
                <w:sz w:val="18"/>
                <w:szCs w:val="18"/>
              </w:rPr>
              <w:t xml:space="preserve">Notes</w:t>
            </w:r>
          </w:p>
        </w:tc>
      </w:tr>
      <w:tr>
        <w:tc>
          <w:tcPr>
            <w:tcW w:type="dxa" w:w="20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Steward</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Relational</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Functional</w:t>
            </w:r>
          </w:p>
        </w:tc>
        <w:tc>
          <w:tcPr>
            <w:tcW w:type="dxa" w:w="29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Stewards hold and sustain. Their contribution is often in the care and maintenance of what exists — including people.</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Maker</w:t>
            </w:r>
          </w:p>
        </w:tc>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Expressive</w:t>
            </w:r>
          </w:p>
        </w:tc>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Functional</w:t>
            </w:r>
          </w:p>
        </w:tc>
        <w:tc>
          <w:tcPr>
            <w:tcW w:type="dxa" w:w="29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Makers build and create. Functional when building systems; Expressive when making art, tools, or cultural objects.</w:t>
            </w:r>
          </w:p>
        </w:tc>
      </w:tr>
      <w:tr>
        <w:tc>
          <w:tcPr>
            <w:tcW w:type="dxa" w:w="20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Architect</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Intellectual</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Functional</w:t>
            </w:r>
          </w:p>
        </w:tc>
        <w:tc>
          <w:tcPr>
            <w:tcW w:type="dxa" w:w="29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Architects design systems and structures. The intellectual work precedes and enables the functional build.</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Connector</w:t>
            </w:r>
          </w:p>
        </w:tc>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Relational</w:t>
            </w:r>
          </w:p>
        </w:tc>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Functional</w:t>
            </w:r>
          </w:p>
        </w:tc>
        <w:tc>
          <w:tcPr>
            <w:tcW w:type="dxa" w:w="29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Connectors bring people together. The relational depth is what makes connections meaningful rather than transactional.</w:t>
            </w:r>
          </w:p>
        </w:tc>
      </w:tr>
      <w:tr>
        <w:tc>
          <w:tcPr>
            <w:tcW w:type="dxa" w:w="20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Guardian</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Functional</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Relational</w:t>
            </w:r>
          </w:p>
        </w:tc>
        <w:tc>
          <w:tcPr>
            <w:tcW w:type="dxa" w:w="29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Guardians protect and defend. Their functional capacity is grounded in relational commitment to what they protect.</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Explorer</w:t>
            </w:r>
          </w:p>
        </w:tc>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Intellectual</w:t>
            </w:r>
          </w:p>
        </w:tc>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Expressive</w:t>
            </w:r>
          </w:p>
        </w:tc>
        <w:tc>
          <w:tcPr>
            <w:tcW w:type="dxa" w:w="29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Explorers seek and discover. The intellectual investigation often becomes expressive in how it is shared.</w:t>
            </w:r>
          </w:p>
        </w:tc>
      </w:tr>
      <w:tr>
        <w:tc>
          <w:tcPr>
            <w:tcW w:type="dxa" w:w="20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Sage</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Intellectual</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Relational</w:t>
            </w:r>
          </w:p>
        </w:tc>
        <w:tc>
          <w:tcPr>
            <w:tcW w:type="dxa" w:w="29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Sages hold wisdom. The intellectual frame is delivered through relational presence — teaching, mentoring, guiding.</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Mirror</w:t>
            </w:r>
          </w:p>
        </w:tc>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Relational</w:t>
            </w:r>
          </w:p>
        </w:tc>
        <w:tc>
          <w:tcPr>
            <w:tcW w:type="dxa" w:w="220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Expressive</w:t>
            </w:r>
          </w:p>
        </w:tc>
        <w:tc>
          <w:tcPr>
            <w:tcW w:type="dxa" w:w="2960"/>
            <w:tcBorders>
              <w:top w:val="single" w:color="D4B483" w:sz="1"/>
              <w:left w:val="single" w:color="D4B483" w:sz="1"/>
              <w:bottom w:val="single" w:color="D4B483" w:sz="1"/>
              <w:right w:val="single" w:color="D4B483" w:sz="1"/>
            </w:tcBorders>
            <w:shd w:fill="FFFFFF" w:val="clear"/>
            <w:tcMar>
              <w:top w:type="dxa" w:w="80"/>
              <w:left w:type="dxa" w:w="140"/>
              <w:bottom w:type="dxa" w:w="80"/>
              <w:right w:type="dxa" w:w="140"/>
            </w:tcMar>
          </w:tcPr>
          <w:p>
            <w:r>
              <w:rPr>
                <w:rFonts w:ascii="Georgia" w:cs="Georgia" w:eastAsia="Georgia" w:hAnsi="Georgia"/>
                <w:color w:val="1A1A2E"/>
                <w:sz w:val="18"/>
                <w:szCs w:val="18"/>
              </w:rPr>
              <w:t xml:space="preserve">Mirrors reflect truth. Deeply relational in mode; often expressive in medium (art, writing, performance as witnessing).</w:t>
            </w:r>
          </w:p>
        </w:tc>
      </w:tr>
      <w:tr>
        <w:tc>
          <w:tcPr>
            <w:tcW w:type="dxa" w:w="20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Exemplar</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Expressive</w:t>
            </w:r>
          </w:p>
        </w:tc>
        <w:tc>
          <w:tcPr>
            <w:tcW w:type="dxa" w:w="220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Functional</w:t>
            </w:r>
          </w:p>
        </w:tc>
        <w:tc>
          <w:tcPr>
            <w:tcW w:type="dxa" w:w="2960"/>
            <w:tcBorders>
              <w:top w:val="single" w:color="D4B483" w:sz="1"/>
              <w:left w:val="single" w:color="D4B483" w:sz="1"/>
              <w:bottom w:val="single" w:color="D4B483" w:sz="1"/>
              <w:right w:val="single" w:color="D4B483" w:sz="1"/>
            </w:tcBorders>
            <w:shd w:fill="F5EDD6" w:val="clear"/>
            <w:tcMar>
              <w:top w:type="dxa" w:w="80"/>
              <w:left w:type="dxa" w:w="140"/>
              <w:bottom w:type="dxa" w:w="80"/>
              <w:right w:type="dxa" w:w="140"/>
            </w:tcMar>
          </w:tcPr>
          <w:p>
            <w:r>
              <w:rPr>
                <w:rFonts w:ascii="Georgia" w:cs="Georgia" w:eastAsia="Georgia" w:hAnsi="Georgia"/>
                <w:color w:val="1A1A2E"/>
                <w:sz w:val="18"/>
                <w:szCs w:val="18"/>
              </w:rPr>
              <w:t xml:space="preserve">Exemplars embody and demonstrate. Their contribution is visible living — the expressive act of being what they believe.</w:t>
            </w:r>
          </w:p>
        </w:tc>
      </w:tr>
    </w:tbl>
    <w:p>
      <w:pPr>
        <w:spacing w:after="0" w:before="160"/>
      </w:pPr>
    </w:p>
    <w:p>
      <w:pPr>
        <w:pBdr>
          <w:left w:val="single" w:color="C8A96E" w:sz="6" w:space="8"/>
        </w:pBdr>
        <w:spacing w:after="80" w:before="80"/>
        <w:ind w:left="720"/>
      </w:pPr>
      <w:r>
        <w:rPr>
          <w:rFonts w:ascii="Georgia" w:cs="Georgia" w:eastAsia="Georgia" w:hAnsi="Georgia"/>
          <w:i/>
          <w:iCs/>
          <w:color w:val="5A4A1A"/>
          <w:sz w:val="18"/>
          <w:szCs w:val="18"/>
        </w:rPr>
        <w:t xml:space="preserve">When an archetype maps to Mixed, the contributor should select Mixed as their mode and describe specifically how the two modes operate in their work. The platform will surface them to both mode-specific and Mixed filters in the matching engine.</w:t>
      </w:r>
    </w:p>
    <w:p>
      <w:pPr>
        <w:pBdr>
          <w:bottom w:val="single" w:color="C8A96E" w:sz="4" w:space="1"/>
        </w:pBdr>
        <w:spacing w:after="240" w:before="240"/>
      </w:pPr>
    </w:p>
    <w:p>
      <w:pPr>
        <w:pStyle w:val="Heading1"/>
        <w:spacing w:after="120" w:before="480"/>
      </w:pPr>
      <w:r>
        <w:rPr>
          <w:rFonts w:ascii="Georgia" w:cs="Georgia" w:eastAsia="Georgia" w:hAnsi="Georgia"/>
          <w:b/>
          <w:bCs/>
          <w:color w:val="C8A96E"/>
          <w:sz w:val="28"/>
          <w:szCs w:val="28"/>
        </w:rPr>
        <w:t xml:space="preserve">Section 3 — Platform Implementation</w:t>
      </w:r>
    </w:p>
    <w:p>
      <w:pPr>
        <w:spacing w:after="60" w:before="200"/>
      </w:pPr>
      <w:r>
        <w:rPr>
          <w:rFonts w:ascii="Georgia" w:cs="Georgia" w:eastAsia="Georgia" w:hAnsi="Georgia"/>
          <w:b/>
          <w:bCs/>
          <w:color w:val="1A1A2E"/>
          <w:sz w:val="20"/>
          <w:szCs w:val="20"/>
        </w:rPr>
        <w:t xml:space="preserve">Contribution mode field — values</w:t>
      </w:r>
    </w:p>
    <w:p>
      <w:pPr>
        <w:spacing w:after="60" w:before="60"/>
      </w:pPr>
      <w:r>
        <w:rPr>
          <w:rFonts w:ascii="Georgia" w:cs="Georgia" w:eastAsia="Georgia" w:hAnsi="Georgia"/>
          <w:i w:val="false"/>
          <w:iCs w:val="false"/>
          <w:color w:val="1A1A2E"/>
          <w:sz w:val="20"/>
          <w:szCs w:val="20"/>
        </w:rPr>
        <w:t xml:space="preserve">The contribution_mode field accepts these exact string values on both nextus_actor_offerings and nextus_contributor_offers:</w:t>
      </w:r>
    </w:p>
    <w:p>
      <w:pPr>
        <w:pStyle w:val="ListParagraph"/>
        <w:numPr>
          <w:ilvl w:val="0"/>
          <w:numId w:val="2"/>
        </w:numPr>
        <w:spacing w:after="40" w:before="40"/>
      </w:pPr>
      <w:r>
        <w:rPr>
          <w:rFonts w:ascii="Georgia" w:cs="Georgia" w:eastAsia="Georgia" w:hAnsi="Georgia"/>
          <w:color w:val="1A1A2E"/>
          <w:sz w:val="20"/>
          <w:szCs w:val="20"/>
        </w:rPr>
        <w:t xml:space="preserve">'functional'</w:t>
      </w:r>
    </w:p>
    <w:p>
      <w:pPr>
        <w:pStyle w:val="ListParagraph"/>
        <w:numPr>
          <w:ilvl w:val="0"/>
          <w:numId w:val="2"/>
        </w:numPr>
        <w:spacing w:after="40" w:before="40"/>
      </w:pPr>
      <w:r>
        <w:rPr>
          <w:rFonts w:ascii="Georgia" w:cs="Georgia" w:eastAsia="Georgia" w:hAnsi="Georgia"/>
          <w:color w:val="1A1A2E"/>
          <w:sz w:val="20"/>
          <w:szCs w:val="20"/>
        </w:rPr>
        <w:t xml:space="preserve">'expressive'</w:t>
      </w:r>
    </w:p>
    <w:p>
      <w:pPr>
        <w:pStyle w:val="ListParagraph"/>
        <w:numPr>
          <w:ilvl w:val="0"/>
          <w:numId w:val="2"/>
        </w:numPr>
        <w:spacing w:after="40" w:before="40"/>
      </w:pPr>
      <w:r>
        <w:rPr>
          <w:rFonts w:ascii="Georgia" w:cs="Georgia" w:eastAsia="Georgia" w:hAnsi="Georgia"/>
          <w:color w:val="1A1A2E"/>
          <w:sz w:val="20"/>
          <w:szCs w:val="20"/>
        </w:rPr>
        <w:t xml:space="preserve">'relational'</w:t>
      </w:r>
    </w:p>
    <w:p>
      <w:pPr>
        <w:pStyle w:val="ListParagraph"/>
        <w:numPr>
          <w:ilvl w:val="0"/>
          <w:numId w:val="2"/>
        </w:numPr>
        <w:spacing w:after="40" w:before="40"/>
      </w:pPr>
      <w:r>
        <w:rPr>
          <w:rFonts w:ascii="Georgia" w:cs="Georgia" w:eastAsia="Georgia" w:hAnsi="Georgia"/>
          <w:color w:val="1A1A2E"/>
          <w:sz w:val="20"/>
          <w:szCs w:val="20"/>
        </w:rPr>
        <w:t xml:space="preserve">'intellectual'</w:t>
      </w:r>
    </w:p>
    <w:p>
      <w:pPr>
        <w:pStyle w:val="ListParagraph"/>
        <w:numPr>
          <w:ilvl w:val="0"/>
          <w:numId w:val="2"/>
        </w:numPr>
        <w:spacing w:after="40" w:before="40"/>
      </w:pPr>
      <w:r>
        <w:rPr>
          <w:rFonts w:ascii="Georgia" w:cs="Georgia" w:eastAsia="Georgia" w:hAnsi="Georgia"/>
          <w:color w:val="1A1A2E"/>
          <w:sz w:val="20"/>
          <w:szCs w:val="20"/>
        </w:rPr>
        <w:t xml:space="preserve">'mixed'</w:t>
      </w:r>
    </w:p>
    <w:p>
      <w:pPr>
        <w:spacing w:after="0" w:before="120"/>
      </w:pPr>
    </w:p>
    <w:p>
      <w:pPr>
        <w:spacing w:after="60" w:before="200"/>
      </w:pPr>
      <w:r>
        <w:rPr>
          <w:rFonts w:ascii="Georgia" w:cs="Georgia" w:eastAsia="Georgia" w:hAnsi="Georgia"/>
          <w:b/>
          <w:bCs/>
          <w:color w:val="1A1A2E"/>
          <w:sz w:val="20"/>
          <w:szCs w:val="20"/>
        </w:rPr>
        <w:t xml:space="preserve">UI display labels</w:t>
      </w:r>
    </w:p>
    <w:p>
      <w:pPr>
        <w:pStyle w:val="ListParagraph"/>
        <w:numPr>
          <w:ilvl w:val="0"/>
          <w:numId w:val="2"/>
        </w:numPr>
        <w:spacing w:after="40" w:before="40"/>
      </w:pPr>
      <w:r>
        <w:rPr>
          <w:rFonts w:ascii="Georgia" w:cs="Georgia" w:eastAsia="Georgia" w:hAnsi="Georgia"/>
          <w:color w:val="1A1A2E"/>
          <w:sz w:val="20"/>
          <w:szCs w:val="20"/>
        </w:rPr>
        <w:t xml:space="preserve">functional → Functional · Builds, organises, funds, connects</w:t>
      </w:r>
    </w:p>
    <w:p>
      <w:pPr>
        <w:pStyle w:val="ListParagraph"/>
        <w:numPr>
          <w:ilvl w:val="0"/>
          <w:numId w:val="2"/>
        </w:numPr>
        <w:spacing w:after="40" w:before="40"/>
      </w:pPr>
      <w:r>
        <w:rPr>
          <w:rFonts w:ascii="Georgia" w:cs="Georgia" w:eastAsia="Georgia" w:hAnsi="Georgia"/>
          <w:color w:val="1A1A2E"/>
          <w:sz w:val="20"/>
          <w:szCs w:val="20"/>
        </w:rPr>
        <w:t xml:space="preserve">expressive → Expressive · Makes, performs, creates, transmits</w:t>
      </w:r>
    </w:p>
    <w:p>
      <w:pPr>
        <w:pStyle w:val="ListParagraph"/>
        <w:numPr>
          <w:ilvl w:val="0"/>
          <w:numId w:val="2"/>
        </w:numPr>
        <w:spacing w:after="40" w:before="40"/>
      </w:pPr>
      <w:r>
        <w:rPr>
          <w:rFonts w:ascii="Georgia" w:cs="Georgia" w:eastAsia="Georgia" w:hAnsi="Georgia"/>
          <w:color w:val="1A1A2E"/>
          <w:sz w:val="20"/>
          <w:szCs w:val="20"/>
        </w:rPr>
        <w:t xml:space="preserve">relational → Relational · Heals, holds, facilitates, witnesses</w:t>
      </w:r>
    </w:p>
    <w:p>
      <w:pPr>
        <w:pStyle w:val="ListParagraph"/>
        <w:numPr>
          <w:ilvl w:val="0"/>
          <w:numId w:val="2"/>
        </w:numPr>
        <w:spacing w:after="40" w:before="40"/>
      </w:pPr>
      <w:r>
        <w:rPr>
          <w:rFonts w:ascii="Georgia" w:cs="Georgia" w:eastAsia="Georgia" w:hAnsi="Georgia"/>
          <w:color w:val="1A1A2E"/>
          <w:sz w:val="20"/>
          <w:szCs w:val="20"/>
        </w:rPr>
        <w:t xml:space="preserve">intellectual → Intellectual · Researches, synthesises, frames, teaches</w:t>
      </w:r>
    </w:p>
    <w:p>
      <w:pPr>
        <w:pStyle w:val="ListParagraph"/>
        <w:numPr>
          <w:ilvl w:val="0"/>
          <w:numId w:val="2"/>
        </w:numPr>
        <w:spacing w:after="40" w:before="40"/>
      </w:pPr>
      <w:r>
        <w:rPr>
          <w:rFonts w:ascii="Georgia" w:cs="Georgia" w:eastAsia="Georgia" w:hAnsi="Georgia"/>
          <w:color w:val="1A1A2E"/>
          <w:sz w:val="20"/>
          <w:szCs w:val="20"/>
        </w:rPr>
        <w:t xml:space="preserve">mixed → Mixed · Crosses more than one mode</w:t>
      </w:r>
    </w:p>
    <w:p>
      <w:pPr>
        <w:spacing w:after="0" w:before="120"/>
      </w:pPr>
    </w:p>
    <w:p>
      <w:pPr>
        <w:spacing w:after="60" w:before="200"/>
      </w:pPr>
      <w:r>
        <w:rPr>
          <w:rFonts w:ascii="Georgia" w:cs="Georgia" w:eastAsia="Georgia" w:hAnsi="Georgia"/>
          <w:b/>
          <w:bCs/>
          <w:color w:val="1A1A2E"/>
          <w:sz w:val="20"/>
          <w:szCs w:val="20"/>
        </w:rPr>
        <w:t xml:space="preserve">Matching engine affinity</w:t>
      </w:r>
    </w:p>
    <w:p>
      <w:pPr>
        <w:spacing w:after="60" w:before="60"/>
      </w:pPr>
      <w:r>
        <w:rPr>
          <w:rFonts w:ascii="Georgia" w:cs="Georgia" w:eastAsia="Georgia" w:hAnsi="Georgia"/>
          <w:i w:val="false"/>
          <w:iCs w:val="false"/>
          <w:color w:val="1A1A2E"/>
          <w:sz w:val="20"/>
          <w:szCs w:val="20"/>
        </w:rPr>
        <w:t xml:space="preserve">The matching engine treats mode as a secondary scoring dimension (after domain). Direct mode matches score +1. Adjacent modes are defined as:</w:t>
      </w:r>
    </w:p>
    <w:p>
      <w:pPr>
        <w:pStyle w:val="ListParagraph"/>
        <w:numPr>
          <w:ilvl w:val="0"/>
          <w:numId w:val="2"/>
        </w:numPr>
        <w:spacing w:after="40" w:before="40"/>
      </w:pPr>
      <w:r>
        <w:rPr>
          <w:rFonts w:ascii="Georgia" w:cs="Georgia" w:eastAsia="Georgia" w:hAnsi="Georgia"/>
          <w:color w:val="1A1A2E"/>
          <w:sz w:val="20"/>
          <w:szCs w:val="20"/>
        </w:rPr>
        <w:t xml:space="preserve">Expressive ↔ Relational (both work through embodied, felt experience)</w:t>
      </w:r>
    </w:p>
    <w:p>
      <w:pPr>
        <w:pStyle w:val="ListParagraph"/>
        <w:numPr>
          <w:ilvl w:val="0"/>
          <w:numId w:val="2"/>
        </w:numPr>
        <w:spacing w:after="40" w:before="40"/>
      </w:pPr>
      <w:r>
        <w:rPr>
          <w:rFonts w:ascii="Georgia" w:cs="Georgia" w:eastAsia="Georgia" w:hAnsi="Georgia"/>
          <w:color w:val="1A1A2E"/>
          <w:sz w:val="20"/>
          <w:szCs w:val="20"/>
        </w:rPr>
        <w:t xml:space="preserve">Intellectual ↔ Functional (both produce outputs that others act on)</w:t>
      </w:r>
    </w:p>
    <w:p>
      <w:pPr>
        <w:pStyle w:val="ListParagraph"/>
        <w:numPr>
          <w:ilvl w:val="0"/>
          <w:numId w:val="2"/>
        </w:numPr>
        <w:spacing w:after="40" w:before="40"/>
      </w:pPr>
      <w:r>
        <w:rPr>
          <w:rFonts w:ascii="Georgia" w:cs="Georgia" w:eastAsia="Georgia" w:hAnsi="Georgia"/>
          <w:color w:val="1A1A2E"/>
          <w:sz w:val="20"/>
          <w:szCs w:val="20"/>
        </w:rPr>
        <w:t xml:space="preserve">Mixed matches any mode — it is the universal adjacent</w:t>
      </w:r>
    </w:p>
    <w:p>
      <w:pPr>
        <w:spacing w:after="0" w:before="80"/>
      </w:pPr>
    </w:p>
    <w:p>
      <w:pPr>
        <w:spacing w:after="60" w:before="60"/>
      </w:pPr>
      <w:r>
        <w:rPr>
          <w:rFonts w:ascii="Georgia" w:cs="Georgia" w:eastAsia="Georgia" w:hAnsi="Georgia"/>
          <w:i w:val="false"/>
          <w:iCs w:val="false"/>
          <w:color w:val="1A1A2E"/>
          <w:sz w:val="20"/>
          <w:szCs w:val="20"/>
        </w:rPr>
        <w:t xml:space="preserve">Future versions may weight mode affinity more heavily as contributor and org profiles become richer.</w:t>
      </w:r>
    </w:p>
    <w:p>
      <w:pPr>
        <w:spacing w:after="0" w:before="120"/>
      </w:pPr>
    </w:p>
    <w:p>
      <w:pPr>
        <w:spacing w:after="60" w:before="200"/>
      </w:pPr>
      <w:r>
        <w:rPr>
          <w:rFonts w:ascii="Georgia" w:cs="Georgia" w:eastAsia="Georgia" w:hAnsi="Georgia"/>
          <w:b/>
          <w:bCs/>
          <w:color w:val="1A1A2E"/>
          <w:sz w:val="20"/>
          <w:szCs w:val="20"/>
        </w:rPr>
        <w:t xml:space="preserve">Contributor landing page surface area</w:t>
      </w:r>
    </w:p>
    <w:p>
      <w:pPr>
        <w:spacing w:after="60" w:before="60"/>
      </w:pPr>
      <w:r>
        <w:rPr>
          <w:rFonts w:ascii="Georgia" w:cs="Georgia" w:eastAsia="Georgia" w:hAnsi="Georgia"/>
          <w:i w:val="false"/>
          <w:iCs w:val="false"/>
          <w:color w:val="1A1A2E"/>
          <w:sz w:val="20"/>
          <w:szCs w:val="20"/>
        </w:rPr>
        <w:t xml:space="preserve">The contributor landing page (/nextus/contributors) uses the four modes as its primary organisational framework — showing visitors that the platform welcomes the full breadth of contribution before they reach the offer form. The four mode cards with example roles are drawn directly from this taxonomy.</w:t>
      </w:r>
    </w:p>
    <w:p>
      <w:pPr>
        <w:pBdr>
          <w:bottom w:val="single" w:color="C8A96E" w:sz="4" w:space="1"/>
        </w:pBdr>
        <w:spacing w:after="240" w:before="240"/>
      </w:pPr>
    </w:p>
    <w:p>
      <w:pPr>
        <w:spacing w:after="0" w:before="480"/>
        <w:jc w:val="center"/>
      </w:pPr>
      <w:r>
        <w:rPr>
          <w:rFonts w:ascii="Georgia" w:cs="Georgia" w:eastAsia="Georgia" w:hAnsi="Georgia"/>
          <w:color w:val="C8A96E"/>
          <w:sz w:val="18"/>
          <w:szCs w:val="18"/>
        </w:rPr>
        <w:t xml:space="preserve">NextUs · nextus.world</w:t>
      </w:r>
    </w:p>
    <w:p>
      <w:pPr>
        <w:spacing w:after="0" w:before="80"/>
        <w:jc w:val="center"/>
      </w:pPr>
      <w:r>
        <w:rPr>
          <w:rFonts w:ascii="Georgia" w:cs="Georgia" w:eastAsia="Georgia" w:hAnsi="Georgia"/>
          <w:i/>
          <w:iCs/>
          <w:color w:val="AAAAAA"/>
          <w:sz w:val="18"/>
          <w:szCs w:val="18"/>
        </w:rPr>
        <w:t xml:space="preserve">A life worth living. A future worth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color w:val="C8A96E"/>
      <w:sz w:val="28"/>
      <w:szCs w:val="28"/>
    </w:rPr>
  </w:style>
  <w:style w:type="paragraph" w:styleId="Heading2">
    <w:name w:val="Heading 2"/>
    <w:basedOn w:val="Normal"/>
    <w:next w:val="Normal"/>
    <w:qFormat/>
    <w:pPr>
      <w:spacing w:after="80" w:before="360"/>
      <w:outlineLvl w:val="1"/>
    </w:pPr>
    <w:rPr>
      <w:rFonts w:ascii="Georgia" w:cs="Georgia" w:eastAsia="Georgia" w:hAnsi="Georgia"/>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2026-04-12T05:25:24.307Z</dcterms:created>
  <dcterms:modified xsi:type="dcterms:W3CDTF">2026-04-12T05:25:24.308Z</dcterms:modified>
</cp:coreProperties>
</file>

<file path=docProps/custom.xml><?xml version="1.0" encoding="utf-8"?>
<Properties xmlns="http://schemas.openxmlformats.org/officeDocument/2006/custom-properties" xmlns:vt="http://schemas.openxmlformats.org/officeDocument/2006/docPropsVTypes"/>
</file>