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Georgia" w:cs="Georgia" w:eastAsia="Georgia" w:hAnsi="Georgia"/>
          <w:b/>
          <w:bCs/>
          <w:color w:val="C8A96E"/>
          <w:sz w:val="52"/>
          <w:szCs w:val="52"/>
        </w:rPr>
        <w:t xml:space="preserve">NextUs</w:t>
      </w:r>
    </w:p>
    <w:p>
      <w:pPr>
        <w:spacing w:after="80"/>
      </w:pPr>
      <w:r>
        <w:rPr>
          <w:rFonts w:ascii="Georgia" w:cs="Georgia" w:eastAsia="Georgia" w:hAnsi="Georgia"/>
          <w:color w:val="1A1A1A"/>
          <w:sz w:val="34"/>
          <w:szCs w:val="34"/>
        </w:rPr>
        <w:t xml:space="preserve">Legal Protection Brief</w:t>
      </w:r>
    </w:p>
    <w:p>
      <w:pPr>
        <w:spacing w:after="80"/>
      </w:pPr>
      <w:r>
        <w:rPr>
          <w:rFonts w:ascii="Georgia" w:cs="Georgia" w:eastAsia="Georgia" w:hAnsi="Georgia"/>
          <w:i/>
          <w:iCs/>
          <w:color w:val="888888"/>
          <w:sz w:val="22"/>
          <w:szCs w:val="22"/>
        </w:rPr>
        <w:t xml:space="preserve">NextUs Self — Practitioner Platform</w:t>
      </w:r>
    </w:p>
    <w:p>
      <w:pPr>
        <w:spacing w:after="80"/>
      </w:pPr>
      <w:r>
        <w:rPr>
          <w:rFonts w:ascii="Georgia" w:cs="Georgia" w:eastAsia="Georgia" w:hAnsi="Georgia"/>
          <w:color w:val="888888"/>
          <w:sz w:val="22"/>
          <w:szCs w:val="22"/>
        </w:rPr>
        <w:t xml:space="preserve">Thread brief for Claude — April 2026</w:t>
      </w:r>
    </w:p>
    <w:p>
      <w:pPr>
        <w:pBdr>
          <w:bottom w:val="single" w:color="C8A96E" w:sz="6" w:space="1"/>
        </w:pBdr>
        <w:spacing w:after="200"/>
      </w:pPr>
    </w:p>
    <w:p>
      <w:pPr>
        <w:pBdr>
          <w:left w:val="single" w:color="C8A96E" w:sz="12" w:space="12"/>
        </w:pBdr>
        <w:spacing w:after="180"/>
        <w:ind w:left="720"/>
      </w:pPr>
      <w:r>
        <w:rPr>
          <w:rFonts w:ascii="Georgia" w:cs="Georgia" w:eastAsia="Georgia" w:hAnsi="Georgia"/>
          <w:i/>
          <w:iCs/>
          <w:color w:val="4A4A4A"/>
          <w:sz w:val="22"/>
          <w:szCs w:val="22"/>
        </w:rPr>
        <w:t xml:space="preserve">Goal: maximum protection given current circumstances. No funds for a lawyer right now. Build the honest, defensible foundation. Upgrade as revenue arrives.</w:t>
      </w:r>
    </w:p>
    <w:p>
      <w:pPr>
        <w:spacing w:after="120"/>
      </w:pPr>
    </w:p>
    <w:p>
      <w:pPr>
        <w:spacing w:after="140" w:before="440"/>
      </w:pPr>
      <w:r>
        <w:rPr>
          <w:rFonts w:ascii="Georgia" w:cs="Georgia" w:eastAsia="Georgia" w:hAnsi="Georgia"/>
          <w:b/>
          <w:bCs/>
          <w:color w:val="C8A96E"/>
          <w:sz w:val="34"/>
          <w:szCs w:val="34"/>
        </w:rPr>
        <w:t xml:space="preserve">Section 0 — </w:t>
      </w:r>
      <w:r>
        <w:rPr>
          <w:rFonts w:ascii="Georgia" w:cs="Georgia" w:eastAsia="Georgia" w:hAnsi="Georgia"/>
          <w:b/>
          <w:bCs/>
          <w:color w:val="C8A96E"/>
          <w:sz w:val="34"/>
          <w:szCs w:val="34"/>
        </w:rPr>
        <w:t xml:space="preserve">Context</w:t>
      </w:r>
    </w:p>
    <w:p>
      <w:pPr>
        <w:pBdr>
          <w:bottom w:val="single" w:color="C8A96E" w:sz="6" w:space="1"/>
        </w:pBdr>
        <w:spacing w:after="200"/>
      </w:pPr>
    </w:p>
    <w:p>
      <w:pPr>
        <w:spacing w:after="140"/>
      </w:pPr>
      <w:r>
        <w:rPr>
          <w:rFonts w:ascii="Georgia" w:cs="Georgia" w:eastAsia="Georgia" w:hAnsi="Georgia"/>
          <w:color w:val="1A1A1A"/>
          <w:sz w:val="22"/>
          <w:szCs w:val="22"/>
        </w:rPr>
        <w:t xml:space="preserve">Nik Wood is the founder of NextUs and the primary practitioner on the NextUs Self platform. He is a personal development coach and framework developer. He does not hold current clinical licenses or therapy credentials. He is not a therapist, psychologist, or licensed mental health professional.</w:t>
      </w:r>
    </w:p>
    <w:p>
      <w:pPr>
        <w:spacing w:after="80"/>
      </w:pPr>
    </w:p>
    <w:p>
      <w:pPr>
        <w:spacing w:after="140"/>
      </w:pPr>
      <w:r>
        <w:rPr>
          <w:rFonts w:ascii="Georgia" w:cs="Georgia" w:eastAsia="Georgia" w:hAnsi="Georgia"/>
          <w:color w:val="1A1A1A"/>
          <w:sz w:val="22"/>
          <w:szCs w:val="22"/>
        </w:rPr>
        <w:t xml:space="preserve">NextUs Self is a personal development platform. It contains self-directed assessment tools (The Map, Foundation, Purpose Piece, Target Goals), and will open to third-party practitioners when the legal architecture is in place.</w:t>
      </w:r>
    </w:p>
    <w:p>
      <w:pPr>
        <w:spacing w:after="80"/>
      </w:pPr>
    </w:p>
    <w:p>
      <w:pPr>
        <w:spacing w:after="140"/>
      </w:pPr>
      <w:r>
        <w:rPr>
          <w:rFonts w:ascii="Georgia" w:cs="Georgia" w:eastAsia="Georgia" w:hAnsi="Georgia"/>
          <w:color w:val="1A1A1A"/>
          <w:sz w:val="22"/>
          <w:szCs w:val="22"/>
        </w:rPr>
        <w:t xml:space="preserve">This brief is for a new Claude thread. The goal is to produce, in that thread, all the legal protection language and documents that can be done without a lawyer — and a clear upgrade path for when funds allow.</w:t>
      </w:r>
    </w:p>
    <w:p>
      <w:pPr>
        <w:spacing w:after="120"/>
      </w:pPr>
    </w:p>
    <w:p>
      <w:pPr>
        <w:spacing w:after="140" w:before="440"/>
      </w:pPr>
      <w:r>
        <w:rPr>
          <w:rFonts w:ascii="Georgia" w:cs="Georgia" w:eastAsia="Georgia" w:hAnsi="Georgia"/>
          <w:b/>
          <w:bCs/>
          <w:color w:val="C8A96E"/>
          <w:sz w:val="34"/>
          <w:szCs w:val="34"/>
        </w:rPr>
        <w:t xml:space="preserve">Section 1 — </w:t>
      </w:r>
      <w:r>
        <w:rPr>
          <w:rFonts w:ascii="Georgia" w:cs="Georgia" w:eastAsia="Georgia" w:hAnsi="Georgia"/>
          <w:b/>
          <w:bCs/>
          <w:color w:val="C8A96E"/>
          <w:sz w:val="34"/>
          <w:szCs w:val="34"/>
        </w:rPr>
        <w:t xml:space="preserve">What Needs to Be Built</w:t>
      </w:r>
    </w:p>
    <w:p>
      <w:pPr>
        <w:pBdr>
          <w:bottom w:val="single" w:color="C8A96E" w:sz="6" w:space="1"/>
        </w:pBdr>
        <w:spacing w:after="200"/>
      </w:pPr>
    </w:p>
    <w:p>
      <w:pPr>
        <w:spacing w:after="100" w:before="320"/>
      </w:pPr>
      <w:r>
        <w:rPr>
          <w:rFonts w:ascii="Georgia" w:cs="Georgia" w:eastAsia="Georgia" w:hAnsi="Georgia"/>
          <w:b/>
          <w:bCs/>
          <w:color w:val="C8A96E"/>
          <w:sz w:val="26"/>
          <w:szCs w:val="26"/>
        </w:rPr>
        <w:t xml:space="preserve">1. Platform disclaimer language</w:t>
      </w:r>
    </w:p>
    <w:p>
      <w:pPr>
        <w:spacing w:after="140"/>
      </w:pPr>
      <w:r>
        <w:rPr>
          <w:rFonts w:ascii="Georgia" w:cs="Georgia" w:eastAsia="Georgia" w:hAnsi="Georgia"/>
          <w:color w:val="1A1A1A"/>
          <w:sz w:val="22"/>
          <w:szCs w:val="22"/>
        </w:rPr>
        <w:t xml:space="preserve">Short, honest, human. Appears in multiple places on the platform. Establishes what NextUs Self is and is not. Must be clear and conspicuous — not buried.</w:t>
      </w:r>
    </w:p>
    <w:p>
      <w:pPr>
        <w:spacing w:after="80"/>
      </w:pPr>
    </w:p>
    <w:p>
      <w:pPr>
        <w:spacing w:after="100" w:before="320"/>
      </w:pPr>
      <w:r>
        <w:rPr>
          <w:rFonts w:ascii="Georgia" w:cs="Georgia" w:eastAsia="Georgia" w:hAnsi="Georgia"/>
          <w:b/>
          <w:bCs/>
          <w:color w:val="C8A96E"/>
          <w:sz w:val="26"/>
          <w:szCs w:val="26"/>
        </w:rPr>
        <w:t xml:space="preserve">2. Terms of Service</w:t>
      </w:r>
    </w:p>
    <w:p>
      <w:pPr>
        <w:spacing w:after="140"/>
      </w:pPr>
      <w:r>
        <w:rPr>
          <w:rFonts w:ascii="Georgia" w:cs="Georgia" w:eastAsia="Georgia" w:hAnsi="Georgia"/>
          <w:color w:val="1A1A1A"/>
          <w:sz w:val="22"/>
          <w:szCs w:val="22"/>
        </w:rPr>
        <w:t xml:space="preserve">Free generator (Termly, GetTerms, or iubenda) as the starting point. Needs to be customised with NextUs-specific language. Governing law clause — Ontario or British Columbia recommended. Establishes platform as directory/matching service, not clinical provider.</w:t>
      </w:r>
    </w:p>
    <w:p>
      <w:pPr>
        <w:spacing w:after="80"/>
      </w:pPr>
    </w:p>
    <w:p>
      <w:pPr>
        <w:spacing w:after="100" w:before="320"/>
      </w:pPr>
      <w:r>
        <w:rPr>
          <w:rFonts w:ascii="Georgia" w:cs="Georgia" w:eastAsia="Georgia" w:hAnsi="Georgia"/>
          <w:b/>
          <w:bCs/>
          <w:color w:val="C8A96E"/>
          <w:sz w:val="26"/>
          <w:szCs w:val="26"/>
        </w:rPr>
        <w:t xml:space="preserve">3. Privacy Policy</w:t>
      </w:r>
    </w:p>
    <w:p>
      <w:pPr>
        <w:spacing w:after="140"/>
      </w:pPr>
      <w:r>
        <w:rPr>
          <w:rFonts w:ascii="Georgia" w:cs="Georgia" w:eastAsia="Georgia" w:hAnsi="Georgia"/>
          <w:color w:val="1A1A1A"/>
          <w:sz w:val="22"/>
          <w:szCs w:val="22"/>
        </w:rPr>
        <w:t xml:space="preserve">Free generator as starting point. Must address: what developmental data is held, how it is used, who can see it (including practitioners), how users can delete it. GDPR-adjacent even if not strictly required — best practice and protective.</w:t>
      </w:r>
    </w:p>
    <w:p>
      <w:pPr>
        <w:spacing w:after="80"/>
      </w:pPr>
    </w:p>
    <w:p>
      <w:pPr>
        <w:spacing w:after="100" w:before="320"/>
      </w:pPr>
      <w:r>
        <w:rPr>
          <w:rFonts w:ascii="Georgia" w:cs="Georgia" w:eastAsia="Georgia" w:hAnsi="Georgia"/>
          <w:b/>
          <w:bCs/>
          <w:color w:val="C8A96E"/>
          <w:sz w:val="26"/>
          <w:szCs w:val="26"/>
        </w:rPr>
        <w:t xml:space="preserve">4. Coaching agreement template</w:t>
      </w:r>
    </w:p>
    <w:p>
      <w:pPr>
        <w:spacing w:after="140"/>
      </w:pPr>
      <w:r>
        <w:rPr>
          <w:rFonts w:ascii="Georgia" w:cs="Georgia" w:eastAsia="Georgia" w:hAnsi="Georgia"/>
          <w:color w:val="1A1A1A"/>
          <w:sz w:val="22"/>
          <w:szCs w:val="22"/>
        </w:rPr>
        <w:t xml:space="preserve">One page. Plain language. For Nik’s direct work with users. Establishes coaching relationship, not clinical. Clarifies scope. Free ICF template as starting point, adapted to NextUs language. Users sign before direct engagement with Nik.</w:t>
      </w:r>
    </w:p>
    <w:p>
      <w:pPr>
        <w:spacing w:after="80"/>
      </w:pPr>
    </w:p>
    <w:p>
      <w:pPr>
        <w:spacing w:after="100" w:before="320"/>
      </w:pPr>
      <w:r>
        <w:rPr>
          <w:rFonts w:ascii="Georgia" w:cs="Georgia" w:eastAsia="Georgia" w:hAnsi="Georgia"/>
          <w:b/>
          <w:bCs/>
          <w:color w:val="C8A96E"/>
          <w:sz w:val="26"/>
          <w:szCs w:val="26"/>
        </w:rPr>
        <w:t xml:space="preserve">5. Score-aware crisis gating</w:t>
      </w:r>
    </w:p>
    <w:p>
      <w:pPr>
        <w:spacing w:after="140"/>
      </w:pPr>
      <w:r>
        <w:rPr>
          <w:rFonts w:ascii="Georgia" w:cs="Georgia" w:eastAsia="Georgia" w:hAnsi="Georgia"/>
          <w:color w:val="1A1A1A"/>
          <w:sz w:val="22"/>
          <w:szCs w:val="22"/>
        </w:rPr>
        <w:t xml:space="preserve">Platform behaviour: users scoring 2 or below in any domain see a specific message and crisis resources rather than practitioner matching. This is ethical design and legal protection simultaneously. Needs to be built into the matching flow.</w:t>
      </w:r>
    </w:p>
    <w:p>
      <w:pPr>
        <w:spacing w:after="80"/>
      </w:pPr>
    </w:p>
    <w:p>
      <w:pPr>
        <w:spacing w:after="100" w:before="320"/>
      </w:pPr>
      <w:r>
        <w:rPr>
          <w:rFonts w:ascii="Georgia" w:cs="Georgia" w:eastAsia="Georgia" w:hAnsi="Georgia"/>
          <w:b/>
          <w:bCs/>
          <w:color w:val="C8A96E"/>
          <w:sz w:val="26"/>
          <w:szCs w:val="26"/>
        </w:rPr>
        <w:t xml:space="preserve">6. Practitioner terms (draft for later)</w:t>
      </w:r>
    </w:p>
    <w:p>
      <w:pPr>
        <w:spacing w:after="140"/>
      </w:pPr>
      <w:r>
        <w:rPr>
          <w:rFonts w:ascii="Georgia" w:cs="Georgia" w:eastAsia="Georgia" w:hAnsi="Georgia"/>
          <w:color w:val="1A1A1A"/>
          <w:sz w:val="22"/>
          <w:szCs w:val="22"/>
        </w:rPr>
        <w:t xml:space="preserve">Not needed until practitioners list. But worth drafting now so it’s ready. Practitioners warrant their own scope, credentials, and insurance. They are independent contractors, not agents of NextUs. NextUs is not liable for their work.</w:t>
      </w:r>
    </w:p>
    <w:p>
      <w:pPr>
        <w:spacing w:after="120"/>
      </w:pPr>
    </w:p>
    <w:p>
      <w:pPr>
        <w:spacing w:after="140" w:before="440"/>
      </w:pPr>
      <w:r>
        <w:rPr>
          <w:rFonts w:ascii="Georgia" w:cs="Georgia" w:eastAsia="Georgia" w:hAnsi="Georgia"/>
          <w:b/>
          <w:bCs/>
          <w:color w:val="C8A96E"/>
          <w:sz w:val="34"/>
          <w:szCs w:val="34"/>
        </w:rPr>
        <w:t xml:space="preserve">Section 2 — </w:t>
      </w:r>
      <w:r>
        <w:rPr>
          <w:rFonts w:ascii="Georgia" w:cs="Georgia" w:eastAsia="Georgia" w:hAnsi="Georgia"/>
          <w:b/>
          <w:bCs/>
          <w:color w:val="C8A96E"/>
          <w:sz w:val="34"/>
          <w:szCs w:val="34"/>
        </w:rPr>
        <w:t xml:space="preserve">Defining What Nik Is</w:t>
      </w:r>
    </w:p>
    <w:p>
      <w:pPr>
        <w:pBdr>
          <w:bottom w:val="single" w:color="C8A96E" w:sz="6" w:space="1"/>
        </w:pBdr>
        <w:spacing w:after="200"/>
      </w:pPr>
    </w:p>
    <w:p>
      <w:pPr>
        <w:spacing w:after="140"/>
      </w:pPr>
      <w:r>
        <w:rPr>
          <w:rFonts w:ascii="Georgia" w:cs="Georgia" w:eastAsia="Georgia" w:hAnsi="Georgia"/>
          <w:color w:val="1A1A1A"/>
          <w:sz w:val="22"/>
          <w:szCs w:val="22"/>
        </w:rPr>
        <w:t xml:space="preserve">This is the foundation of the whole legal position. It must be consistent everywhere.</w:t>
      </w:r>
    </w:p>
    <w:p>
      <w:pPr>
        <w:spacing w:after="80"/>
      </w:pPr>
    </w:p>
    <w:p>
      <w:pPr>
        <w:spacing w:after="120"/>
      </w:pPr>
      <w:r>
        <w:rPr>
          <w:rFonts w:ascii="Georgia" w:cs="Georgia" w:eastAsia="Georgia" w:hAnsi="Georgia"/>
          <w:b/>
          <w:bCs/>
          <w:color w:val="C8A96E"/>
          <w:sz w:val="22"/>
          <w:szCs w:val="22"/>
        </w:rPr>
        <w:t xml:space="preserve">What he is: </w:t>
      </w:r>
      <w:r>
        <w:rPr>
          <w:rFonts w:ascii="Georgia" w:cs="Georgia" w:eastAsia="Georgia" w:hAnsi="Georgia"/>
          <w:color w:val="1A1A1A"/>
          <w:sz w:val="22"/>
          <w:szCs w:val="22"/>
        </w:rPr>
        <w:t xml:space="preserve">Personal development coach. Framework developer. Practitioner of self-directed growth methodologies.</w:t>
      </w:r>
    </w:p>
    <w:p>
      <w:pPr>
        <w:spacing w:after="120"/>
      </w:pPr>
      <w:r>
        <w:rPr>
          <w:rFonts w:ascii="Georgia" w:cs="Georgia" w:eastAsia="Georgia" w:hAnsi="Georgia"/>
          <w:b/>
          <w:bCs/>
          <w:color w:val="C8A96E"/>
          <w:sz w:val="22"/>
          <w:szCs w:val="22"/>
        </w:rPr>
        <w:t xml:space="preserve">What he is not: </w:t>
      </w:r>
      <w:r>
        <w:rPr>
          <w:rFonts w:ascii="Georgia" w:cs="Georgia" w:eastAsia="Georgia" w:hAnsi="Georgia"/>
          <w:color w:val="1A1A1A"/>
          <w:sz w:val="22"/>
          <w:szCs w:val="22"/>
        </w:rPr>
        <w:t xml:space="preserve">Therapist. Psychologist. Licensed counsellor. Medical professional. Clinical mental health provider.</w:t>
      </w:r>
    </w:p>
    <w:p>
      <w:pPr>
        <w:spacing w:after="120"/>
      </w:pPr>
      <w:r>
        <w:rPr>
          <w:rFonts w:ascii="Georgia" w:cs="Georgia" w:eastAsia="Georgia" w:hAnsi="Georgia"/>
          <w:b/>
          <w:bCs/>
          <w:color w:val="C8A96E"/>
          <w:sz w:val="22"/>
          <w:szCs w:val="22"/>
        </w:rPr>
        <w:t xml:space="preserve">What the tools do: </w:t>
      </w:r>
      <w:r>
        <w:rPr>
          <w:rFonts w:ascii="Georgia" w:cs="Georgia" w:eastAsia="Georgia" w:hAnsi="Georgia"/>
          <w:color w:val="1A1A1A"/>
          <w:sz w:val="22"/>
          <w:szCs w:val="22"/>
        </w:rPr>
        <w:t xml:space="preserve">Support self-awareness, self-assessment, goal-setting, and personal development practices.</w:t>
      </w:r>
    </w:p>
    <w:p>
      <w:pPr>
        <w:spacing w:after="120"/>
      </w:pPr>
      <w:r>
        <w:rPr>
          <w:rFonts w:ascii="Georgia" w:cs="Georgia" w:eastAsia="Georgia" w:hAnsi="Georgia"/>
          <w:b/>
          <w:bCs/>
          <w:color w:val="C8A96E"/>
          <w:sz w:val="22"/>
          <w:szCs w:val="22"/>
        </w:rPr>
        <w:t xml:space="preserve">What the tools do not do: </w:t>
      </w:r>
      <w:r>
        <w:rPr>
          <w:rFonts w:ascii="Georgia" w:cs="Georgia" w:eastAsia="Georgia" w:hAnsi="Georgia"/>
          <w:color w:val="1A1A1A"/>
          <w:sz w:val="22"/>
          <w:szCs w:val="22"/>
        </w:rPr>
        <w:t xml:space="preserve">Diagnose. Treat. Prescribe. Replace professional clinical care.</w:t>
      </w:r>
    </w:p>
    <w:p>
      <w:pPr>
        <w:spacing w:after="80"/>
      </w:pPr>
    </w:p>
    <w:p>
      <w:pPr>
        <w:spacing w:after="140"/>
      </w:pPr>
      <w:r>
        <w:rPr>
          <w:rFonts w:ascii="Georgia" w:cs="Georgia" w:eastAsia="Georgia" w:hAnsi="Georgia"/>
          <w:i w:val="false"/>
          <w:iCs w:val="false"/>
          <w:color w:val="1A1A1A"/>
          <w:sz w:val="22"/>
          <w:szCs w:val="22"/>
        </w:rPr>
        <w:t xml:space="preserve">This distinction is legally solid. Coaching is unregulated in Canada, the US, Mexico, and most jurisdictions. No license is required. The boundary that matters is not claiming clinical capability that isn’t there — which Nik doesn’t.</w:t>
      </w:r>
    </w:p>
    <w:p>
      <w:pPr>
        <w:spacing w:after="120"/>
      </w:pPr>
    </w:p>
    <w:p>
      <w:pPr>
        <w:spacing w:after="140" w:before="440"/>
      </w:pPr>
      <w:r>
        <w:rPr>
          <w:rFonts w:ascii="Georgia" w:cs="Georgia" w:eastAsia="Georgia" w:hAnsi="Georgia"/>
          <w:b/>
          <w:bCs/>
          <w:color w:val="C8A96E"/>
          <w:sz w:val="34"/>
          <w:szCs w:val="34"/>
        </w:rPr>
        <w:t xml:space="preserve">Section 3 — </w:t>
      </w:r>
      <w:r>
        <w:rPr>
          <w:rFonts w:ascii="Georgia" w:cs="Georgia" w:eastAsia="Georgia" w:hAnsi="Georgia"/>
          <w:b/>
          <w:bCs/>
          <w:color w:val="C8A96E"/>
          <w:sz w:val="34"/>
          <w:szCs w:val="34"/>
        </w:rPr>
        <w:t xml:space="preserve">The Disclaimer Layer</w:t>
      </w:r>
    </w:p>
    <w:p>
      <w:pPr>
        <w:pBdr>
          <w:bottom w:val="single" w:color="C8A96E" w:sz="6" w:space="1"/>
        </w:pBdr>
        <w:spacing w:after="200"/>
      </w:pPr>
    </w:p>
    <w:p>
      <w:pPr>
        <w:spacing w:after="140"/>
      </w:pPr>
      <w:r>
        <w:rPr>
          <w:rFonts w:ascii="Georgia" w:cs="Georgia" w:eastAsia="Georgia" w:hAnsi="Georgia"/>
          <w:color w:val="1A1A1A"/>
          <w:sz w:val="22"/>
          <w:szCs w:val="22"/>
        </w:rPr>
        <w:t xml:space="preserve">Five places disclaimers must appear. Claude should draft language for each in the new thread.</w:t>
      </w:r>
    </w:p>
    <w:p>
      <w:pPr>
        <w:spacing w:after="80"/>
      </w:pPr>
    </w:p>
    <w:p>
      <w:pPr>
        <w:spacing w:after="80" w:before="200"/>
      </w:pPr>
      <w:r>
        <w:rPr>
          <w:rFonts w:ascii="Georgia" w:cs="Georgia" w:eastAsia="Georgia" w:hAnsi="Georgia"/>
          <w:b/>
          <w:bCs/>
          <w:color w:val="4A4A4A"/>
          <w:sz w:val="22"/>
          <w:szCs w:val="22"/>
        </w:rPr>
        <w:t xml:space="preserve">1. Platform entry (NextUs Self landing page)</w:t>
      </w:r>
    </w:p>
    <w:p>
      <w:pPr>
        <w:spacing w:after="140"/>
      </w:pPr>
      <w:r>
        <w:rPr>
          <w:rFonts w:ascii="Georgia" w:cs="Georgia" w:eastAsia="Georgia" w:hAnsi="Georgia"/>
          <w:color w:val="1A1A1A"/>
          <w:sz w:val="22"/>
          <w:szCs w:val="22"/>
        </w:rPr>
        <w:t xml:space="preserve">One clear sentence before the user engages with any tool. Something like: "NextUs Self is a personal development platform. It is not a medical service, therapy, or clinical mental health support."</w:t>
      </w:r>
    </w:p>
    <w:p>
      <w:pPr>
        <w:spacing w:after="80"/>
      </w:pPr>
    </w:p>
    <w:p>
      <w:pPr>
        <w:spacing w:after="80" w:before="200"/>
      </w:pPr>
      <w:r>
        <w:rPr>
          <w:rFonts w:ascii="Georgia" w:cs="Georgia" w:eastAsia="Georgia" w:hAnsi="Georgia"/>
          <w:b/>
          <w:bCs/>
          <w:color w:val="4A4A4A"/>
          <w:sz w:val="22"/>
          <w:szCs w:val="22"/>
        </w:rPr>
        <w:t xml:space="preserve">2. User onboarding flow</w:t>
      </w:r>
    </w:p>
    <w:p>
      <w:pPr>
        <w:spacing w:after="140"/>
      </w:pPr>
      <w:r>
        <w:rPr>
          <w:rFonts w:ascii="Georgia" w:cs="Georgia" w:eastAsia="Georgia" w:hAnsi="Georgia"/>
          <w:color w:val="1A1A1A"/>
          <w:sz w:val="22"/>
          <w:szCs w:val="22"/>
        </w:rPr>
        <w:t xml:space="preserve">Three statements the user actively acknowledges before their first session. Not a wall of text. Three clear lines with checkboxes.</w:t>
      </w:r>
    </w:p>
    <w:p>
      <w:pPr>
        <w:spacing w:after="80"/>
      </w:pPr>
    </w:p>
    <w:p>
      <w:pPr>
        <w:spacing w:after="80" w:before="200"/>
      </w:pPr>
      <w:r>
        <w:rPr>
          <w:rFonts w:ascii="Georgia" w:cs="Georgia" w:eastAsia="Georgia" w:hAnsi="Georgia"/>
          <w:b/>
          <w:bCs/>
          <w:color w:val="4A4A4A"/>
          <w:sz w:val="22"/>
          <w:szCs w:val="22"/>
        </w:rPr>
        <w:t xml:space="preserve">3. Tool introductions</w:t>
      </w:r>
    </w:p>
    <w:p>
      <w:pPr>
        <w:spacing w:after="140"/>
      </w:pPr>
      <w:r>
        <w:rPr>
          <w:rFonts w:ascii="Georgia" w:cs="Georgia" w:eastAsia="Georgia" w:hAnsi="Georgia"/>
          <w:color w:val="1A1A1A"/>
          <w:sz w:val="22"/>
          <w:szCs w:val="22"/>
        </w:rPr>
        <w:t xml:space="preserve">Each tool (Map, Foundation, Purpose Piece) has a brief scope statement at the start. One or two sentences. What it is, what it isn’t.</w:t>
      </w:r>
    </w:p>
    <w:p>
      <w:pPr>
        <w:spacing w:after="80"/>
      </w:pPr>
    </w:p>
    <w:p>
      <w:pPr>
        <w:spacing w:after="80" w:before="200"/>
      </w:pPr>
      <w:r>
        <w:rPr>
          <w:rFonts w:ascii="Georgia" w:cs="Georgia" w:eastAsia="Georgia" w:hAnsi="Georgia"/>
          <w:b/>
          <w:bCs/>
          <w:color w:val="4A4A4A"/>
          <w:sz w:val="22"/>
          <w:szCs w:val="22"/>
        </w:rPr>
        <w:t xml:space="preserve">4. Practitioner matching</w:t>
      </w:r>
    </w:p>
    <w:p>
      <w:pPr>
        <w:spacing w:after="140"/>
      </w:pPr>
      <w:r>
        <w:rPr>
          <w:rFonts w:ascii="Georgia" w:cs="Georgia" w:eastAsia="Georgia" w:hAnsi="Georgia"/>
          <w:color w:val="1A1A1A"/>
          <w:sz w:val="22"/>
          <w:szCs w:val="22"/>
        </w:rPr>
        <w:t xml:space="preserve">At the point a user is matched with a practitioner: clear statement that practitioners are independent professionals, not employees of NextUs, and that NextUs does not warrant their credentials beyond their self-declaration.</w:t>
      </w:r>
    </w:p>
    <w:p>
      <w:pPr>
        <w:spacing w:after="80"/>
      </w:pPr>
    </w:p>
    <w:p>
      <w:pPr>
        <w:spacing w:after="80" w:before="200"/>
      </w:pPr>
      <w:r>
        <w:rPr>
          <w:rFonts w:ascii="Georgia" w:cs="Georgia" w:eastAsia="Georgia" w:hAnsi="Georgia"/>
          <w:b/>
          <w:bCs/>
          <w:color w:val="4A4A4A"/>
          <w:sz w:val="22"/>
          <w:szCs w:val="22"/>
        </w:rPr>
        <w:t xml:space="preserve">5. Score-based trigger</w:t>
      </w:r>
    </w:p>
    <w:p>
      <w:pPr>
        <w:spacing w:after="140"/>
      </w:pPr>
      <w:r>
        <w:rPr>
          <w:rFonts w:ascii="Georgia" w:cs="Georgia" w:eastAsia="Georgia" w:hAnsi="Georgia"/>
          <w:color w:val="1A1A1A"/>
          <w:sz w:val="22"/>
          <w:szCs w:val="22"/>
        </w:rPr>
        <w:t xml:space="preserve">When a user scores 2 or below in any domain: "Your score in [domain] suggests you may be going through something significant. The tools here work best with some stability under you. If you’re in crisis, please reach out to a qualified professional." Followed by jurisdiction-aware crisis resources.</w:t>
      </w:r>
    </w:p>
    <w:p>
      <w:pPr>
        <w:spacing w:after="120"/>
      </w:pPr>
    </w:p>
    <w:p>
      <w:pPr>
        <w:spacing w:after="140" w:before="440"/>
      </w:pPr>
      <w:r>
        <w:rPr>
          <w:rFonts w:ascii="Georgia" w:cs="Georgia" w:eastAsia="Georgia" w:hAnsi="Georgia"/>
          <w:b/>
          <w:bCs/>
          <w:color w:val="C8A96E"/>
          <w:sz w:val="34"/>
          <w:szCs w:val="34"/>
        </w:rPr>
        <w:t xml:space="preserve">Section 4 — </w:t>
      </w:r>
      <w:r>
        <w:rPr>
          <w:rFonts w:ascii="Georgia" w:cs="Georgia" w:eastAsia="Georgia" w:hAnsi="Georgia"/>
          <w:b/>
          <w:bCs/>
          <w:color w:val="C8A96E"/>
          <w:sz w:val="34"/>
          <w:szCs w:val="34"/>
        </w:rPr>
        <w:t xml:space="preserve">Free Tools and Resources</w:t>
      </w:r>
    </w:p>
    <w:p>
      <w:pPr>
        <w:pBdr>
          <w:bottom w:val="single" w:color="C8A96E" w:sz="6" w:space="1"/>
        </w:pBdr>
        <w:spacing w:after="200"/>
      </w:pPr>
    </w:p>
    <w:p>
      <w:pPr>
        <w:spacing w:after="100" w:before="320"/>
      </w:pPr>
      <w:r>
        <w:rPr>
          <w:rFonts w:ascii="Georgia" w:cs="Georgia" w:eastAsia="Georgia" w:hAnsi="Georgia"/>
          <w:b/>
          <w:bCs/>
          <w:color w:val="C8A96E"/>
          <w:sz w:val="26"/>
          <w:szCs w:val="26"/>
        </w:rPr>
        <w:t xml:space="preserve">Terms of Service generators</w:t>
      </w:r>
    </w:p>
    <w:p>
      <w:pPr>
        <w:pStyle w:val="ListParagraph"/>
        <w:numPr>
          <w:ilvl w:val="0"/>
          <w:numId w:val="2"/>
        </w:numPr>
        <w:spacing w:after="80"/>
      </w:pPr>
      <w:r>
        <w:rPr>
          <w:rFonts w:ascii="Georgia" w:cs="Georgia" w:eastAsia="Georgia" w:hAnsi="Georgia"/>
          <w:color w:val="1A1A1A"/>
          <w:sz w:val="22"/>
          <w:szCs w:val="22"/>
        </w:rPr>
        <w:t xml:space="preserve">Termly (termly.io) — free tier, reasonable output</w:t>
      </w:r>
    </w:p>
    <w:p>
      <w:pPr>
        <w:pStyle w:val="ListParagraph"/>
        <w:numPr>
          <w:ilvl w:val="0"/>
          <w:numId w:val="2"/>
        </w:numPr>
        <w:spacing w:after="80"/>
      </w:pPr>
      <w:r>
        <w:rPr>
          <w:rFonts w:ascii="Georgia" w:cs="Georgia" w:eastAsia="Georgia" w:hAnsi="Georgia"/>
          <w:color w:val="1A1A1A"/>
          <w:sz w:val="22"/>
          <w:szCs w:val="22"/>
        </w:rPr>
        <w:t xml:space="preserve">GetTerms (getterms.io) — simple and clean</w:t>
      </w:r>
    </w:p>
    <w:p>
      <w:pPr>
        <w:pStyle w:val="ListParagraph"/>
        <w:numPr>
          <w:ilvl w:val="0"/>
          <w:numId w:val="2"/>
        </w:numPr>
        <w:spacing w:after="80"/>
      </w:pPr>
      <w:r>
        <w:rPr>
          <w:rFonts w:ascii="Georgia" w:cs="Georgia" w:eastAsia="Georgia" w:hAnsi="Georgia"/>
          <w:color w:val="1A1A1A"/>
          <w:sz w:val="22"/>
          <w:szCs w:val="22"/>
        </w:rPr>
        <w:t xml:space="preserve">iubenda — more comprehensive, free tier available</w:t>
      </w:r>
    </w:p>
    <w:p>
      <w:pPr>
        <w:spacing w:after="80"/>
      </w:pPr>
    </w:p>
    <w:p>
      <w:pPr>
        <w:spacing w:after="100" w:before="320"/>
      </w:pPr>
      <w:r>
        <w:rPr>
          <w:rFonts w:ascii="Georgia" w:cs="Georgia" w:eastAsia="Georgia" w:hAnsi="Georgia"/>
          <w:b/>
          <w:bCs/>
          <w:color w:val="C8A96E"/>
          <w:sz w:val="26"/>
          <w:szCs w:val="26"/>
        </w:rPr>
        <w:t xml:space="preserve">Privacy Policy generators</w:t>
      </w:r>
    </w:p>
    <w:p>
      <w:pPr>
        <w:pStyle w:val="ListParagraph"/>
        <w:numPr>
          <w:ilvl w:val="0"/>
          <w:numId w:val="2"/>
        </w:numPr>
        <w:spacing w:after="80"/>
      </w:pPr>
      <w:r>
        <w:rPr>
          <w:rFonts w:ascii="Georgia" w:cs="Georgia" w:eastAsia="Georgia" w:hAnsi="Georgia"/>
          <w:color w:val="1A1A1A"/>
          <w:sz w:val="22"/>
          <w:szCs w:val="22"/>
        </w:rPr>
        <w:t xml:space="preserve">Same generators above — most include privacy policy</w:t>
      </w:r>
    </w:p>
    <w:p>
      <w:pPr>
        <w:pStyle w:val="ListParagraph"/>
        <w:numPr>
          <w:ilvl w:val="0"/>
          <w:numId w:val="2"/>
        </w:numPr>
        <w:spacing w:after="80"/>
      </w:pPr>
      <w:r>
        <w:rPr>
          <w:rFonts w:ascii="Georgia" w:cs="Georgia" w:eastAsia="Georgia" w:hAnsi="Georgia"/>
          <w:color w:val="1A1A1A"/>
          <w:sz w:val="22"/>
          <w:szCs w:val="22"/>
        </w:rPr>
        <w:t xml:space="preserve">Privacy Policy Generator (privacypolicygenerator.info) — free</w:t>
      </w:r>
    </w:p>
    <w:p>
      <w:pPr>
        <w:spacing w:after="80"/>
      </w:pPr>
    </w:p>
    <w:p>
      <w:pPr>
        <w:spacing w:after="100" w:before="320"/>
      </w:pPr>
      <w:r>
        <w:rPr>
          <w:rFonts w:ascii="Georgia" w:cs="Georgia" w:eastAsia="Georgia" w:hAnsi="Georgia"/>
          <w:b/>
          <w:bCs/>
          <w:color w:val="C8A96E"/>
          <w:sz w:val="26"/>
          <w:szCs w:val="26"/>
        </w:rPr>
        <w:t xml:space="preserve">Coaching agreement templates</w:t>
      </w:r>
    </w:p>
    <w:p>
      <w:pPr>
        <w:pStyle w:val="ListParagraph"/>
        <w:numPr>
          <w:ilvl w:val="0"/>
          <w:numId w:val="2"/>
        </w:numPr>
        <w:spacing w:after="80"/>
      </w:pPr>
      <w:r>
        <w:rPr>
          <w:rFonts w:ascii="Georgia" w:cs="Georgia" w:eastAsia="Georgia" w:hAnsi="Georgia"/>
          <w:color w:val="1A1A1A"/>
          <w:sz w:val="22"/>
          <w:szCs w:val="22"/>
        </w:rPr>
        <w:t xml:space="preserve">ICF (coachingfederation.org) — free sample agreements</w:t>
      </w:r>
    </w:p>
    <w:p>
      <w:pPr>
        <w:pStyle w:val="ListParagraph"/>
        <w:numPr>
          <w:ilvl w:val="0"/>
          <w:numId w:val="2"/>
        </w:numPr>
        <w:spacing w:after="80"/>
      </w:pPr>
      <w:r>
        <w:rPr>
          <w:rFonts w:ascii="Georgia" w:cs="Georgia" w:eastAsia="Georgia" w:hAnsi="Georgia"/>
          <w:color w:val="1A1A1A"/>
          <w:sz w:val="22"/>
          <w:szCs w:val="22"/>
        </w:rPr>
        <w:t xml:space="preserve">Coach Federation sample contracts — Google search yields several free versions</w:t>
      </w:r>
    </w:p>
    <w:p>
      <w:pPr>
        <w:pStyle w:val="ListParagraph"/>
        <w:numPr>
          <w:ilvl w:val="0"/>
          <w:numId w:val="2"/>
        </w:numPr>
        <w:spacing w:after="80"/>
      </w:pPr>
      <w:r>
        <w:rPr>
          <w:rFonts w:ascii="Georgia" w:cs="Georgia" w:eastAsia="Georgia" w:hAnsi="Georgia"/>
          <w:color w:val="1A1A1A"/>
          <w:sz w:val="22"/>
          <w:szCs w:val="22"/>
        </w:rPr>
        <w:t xml:space="preserve">Simply adapt to NextUs language and tone</w:t>
      </w:r>
    </w:p>
    <w:p>
      <w:pPr>
        <w:spacing w:after="80"/>
      </w:pPr>
    </w:p>
    <w:p>
      <w:pPr>
        <w:spacing w:after="100" w:before="320"/>
      </w:pPr>
      <w:r>
        <w:rPr>
          <w:rFonts w:ascii="Georgia" w:cs="Georgia" w:eastAsia="Georgia" w:hAnsi="Georgia"/>
          <w:b/>
          <w:bCs/>
          <w:color w:val="C8A96E"/>
          <w:sz w:val="26"/>
          <w:szCs w:val="26"/>
        </w:rPr>
        <w:t xml:space="preserve">Crisis resources to include (jurisdiction-aware)</w:t>
      </w:r>
    </w:p>
    <w:p>
      <w:pPr>
        <w:pStyle w:val="ListParagraph"/>
        <w:numPr>
          <w:ilvl w:val="0"/>
          <w:numId w:val="2"/>
        </w:numPr>
        <w:spacing w:after="80"/>
      </w:pPr>
      <w:r>
        <w:rPr>
          <w:rFonts w:ascii="Georgia" w:cs="Georgia" w:eastAsia="Georgia" w:hAnsi="Georgia"/>
          <w:color w:val="1A1A1A"/>
          <w:sz w:val="22"/>
          <w:szCs w:val="22"/>
        </w:rPr>
        <w:t xml:space="preserve">Canada: Crisis Services Canada — 1-833-456-4566</w:t>
      </w:r>
    </w:p>
    <w:p>
      <w:pPr>
        <w:pStyle w:val="ListParagraph"/>
        <w:numPr>
          <w:ilvl w:val="0"/>
          <w:numId w:val="2"/>
        </w:numPr>
        <w:spacing w:after="80"/>
      </w:pPr>
      <w:r>
        <w:rPr>
          <w:rFonts w:ascii="Georgia" w:cs="Georgia" w:eastAsia="Georgia" w:hAnsi="Georgia"/>
          <w:color w:val="1A1A1A"/>
          <w:sz w:val="22"/>
          <w:szCs w:val="22"/>
        </w:rPr>
        <w:t xml:space="preserve">Mexico: SAPTEL — 55 5259-8121</w:t>
      </w:r>
    </w:p>
    <w:p>
      <w:pPr>
        <w:pStyle w:val="ListParagraph"/>
        <w:numPr>
          <w:ilvl w:val="0"/>
          <w:numId w:val="2"/>
        </w:numPr>
        <w:spacing w:after="80"/>
      </w:pPr>
      <w:r>
        <w:rPr>
          <w:rFonts w:ascii="Georgia" w:cs="Georgia" w:eastAsia="Georgia" w:hAnsi="Georgia"/>
          <w:color w:val="1A1A1A"/>
          <w:sz w:val="22"/>
          <w:szCs w:val="22"/>
        </w:rPr>
        <w:t xml:space="preserve">US: 988 Suicide and Crisis Lifeline — call or text 988</w:t>
      </w:r>
    </w:p>
    <w:p>
      <w:pPr>
        <w:pStyle w:val="ListParagraph"/>
        <w:numPr>
          <w:ilvl w:val="0"/>
          <w:numId w:val="2"/>
        </w:numPr>
        <w:spacing w:after="80"/>
      </w:pPr>
      <w:r>
        <w:rPr>
          <w:rFonts w:ascii="Georgia" w:cs="Georgia" w:eastAsia="Georgia" w:hAnsi="Georgia"/>
          <w:color w:val="1A1A1A"/>
          <w:sz w:val="22"/>
          <w:szCs w:val="22"/>
        </w:rPr>
        <w:t xml:space="preserve">International: befrienders.org — global directory</w:t>
      </w:r>
    </w:p>
    <w:p>
      <w:pPr>
        <w:spacing w:after="120"/>
      </w:pPr>
    </w:p>
    <w:p>
      <w:pPr>
        <w:spacing w:after="140" w:before="440"/>
      </w:pPr>
      <w:r>
        <w:rPr>
          <w:rFonts w:ascii="Georgia" w:cs="Georgia" w:eastAsia="Georgia" w:hAnsi="Georgia"/>
          <w:b/>
          <w:bCs/>
          <w:color w:val="C8A96E"/>
          <w:sz w:val="34"/>
          <w:szCs w:val="34"/>
        </w:rPr>
        <w:t xml:space="preserve">Section 5 — </w:t>
      </w:r>
      <w:r>
        <w:rPr>
          <w:rFonts w:ascii="Georgia" w:cs="Georgia" w:eastAsia="Georgia" w:hAnsi="Georgia"/>
          <w:b/>
          <w:bCs/>
          <w:color w:val="C8A96E"/>
          <w:sz w:val="34"/>
          <w:szCs w:val="34"/>
        </w:rPr>
        <w:t xml:space="preserve">Upgrade Path as Revenue Arrives</w:t>
      </w:r>
    </w:p>
    <w:p>
      <w:pPr>
        <w:pBdr>
          <w:bottom w:val="single" w:color="C8A96E" w:sz="6" w:space="1"/>
        </w:pBdr>
        <w:spacing w:after="200"/>
      </w:pPr>
    </w:p>
    <w:p>
      <w:pPr>
        <w:spacing w:after="140"/>
      </w:pPr>
      <w:r>
        <w:rPr>
          <w:rFonts w:ascii="Georgia" w:cs="Georgia" w:eastAsia="Georgia" w:hAnsi="Georgia"/>
          <w:color w:val="1A1A1A"/>
          <w:sz w:val="22"/>
          <w:szCs w:val="22"/>
        </w:rPr>
        <w:t xml:space="preserve">Nothing built now is wasted. Every layer built for free can be upgraded. The sequence:</w:t>
      </w:r>
    </w:p>
    <w:p>
      <w:pPr>
        <w:spacing w:after="80"/>
      </w:pPr>
    </w:p>
    <w:p>
      <w:pPr>
        <w:spacing w:after="120"/>
      </w:pPr>
      <w:r>
        <w:rPr>
          <w:rFonts w:ascii="Georgia" w:cs="Georgia" w:eastAsia="Georgia" w:hAnsi="Georgia"/>
          <w:b/>
          <w:bCs/>
          <w:color w:val="C8A96E"/>
          <w:sz w:val="22"/>
          <w:szCs w:val="22"/>
        </w:rPr>
        <w:t xml:space="preserve">Now — free: </w:t>
      </w:r>
      <w:r>
        <w:rPr>
          <w:rFonts w:ascii="Georgia" w:cs="Georgia" w:eastAsia="Georgia" w:hAnsi="Georgia"/>
          <w:color w:val="1A1A1A"/>
          <w:sz w:val="22"/>
          <w:szCs w:val="22"/>
        </w:rPr>
        <w:t xml:space="preserve">Disclaimer language, ToS from generator, privacy policy from generator, coaching agreement from template, score-aware gating built into platform.</w:t>
      </w:r>
    </w:p>
    <w:p>
      <w:pPr>
        <w:spacing w:after="120"/>
      </w:pPr>
      <w:r>
        <w:rPr>
          <w:rFonts w:ascii="Georgia" w:cs="Georgia" w:eastAsia="Georgia" w:hAnsi="Georgia"/>
          <w:b/>
          <w:bCs/>
          <w:color w:val="C8A96E"/>
          <w:sz w:val="22"/>
          <w:szCs w:val="22"/>
        </w:rPr>
        <w:t xml:space="preserve">First revenue: </w:t>
      </w:r>
      <w:r>
        <w:rPr>
          <w:rFonts w:ascii="Georgia" w:cs="Georgia" w:eastAsia="Georgia" w:hAnsi="Georgia"/>
          <w:color w:val="1A1A1A"/>
          <w:sz w:val="22"/>
          <w:szCs w:val="22"/>
        </w:rPr>
        <w:t xml:space="preserve">Lawyer reviews ToS and privacy policy. Practitioner terms drafted properly. Coaching agreement reviewed.</w:t>
      </w:r>
    </w:p>
    <w:p>
      <w:pPr>
        <w:spacing w:after="120"/>
      </w:pPr>
      <w:r>
        <w:rPr>
          <w:rFonts w:ascii="Georgia" w:cs="Georgia" w:eastAsia="Georgia" w:hAnsi="Georgia"/>
          <w:b/>
          <w:bCs/>
          <w:color w:val="C8A96E"/>
          <w:sz w:val="22"/>
          <w:szCs w:val="22"/>
        </w:rPr>
        <w:t xml:space="preserve">Practitioners listing: </w:t>
      </w:r>
      <w:r>
        <w:rPr>
          <w:rFonts w:ascii="Georgia" w:cs="Georgia" w:eastAsia="Georgia" w:hAnsi="Georgia"/>
          <w:color w:val="1A1A1A"/>
          <w:sz w:val="22"/>
          <w:szCs w:val="22"/>
        </w:rPr>
        <w:t xml:space="preserve">Practitioner insurance requirement added. Formal onboarding queue. Code of conduct with removal criteria.</w:t>
      </w:r>
    </w:p>
    <w:p>
      <w:pPr>
        <w:spacing w:after="120"/>
      </w:pPr>
      <w:r>
        <w:rPr>
          <w:rFonts w:ascii="Georgia" w:cs="Georgia" w:eastAsia="Georgia" w:hAnsi="Georgia"/>
          <w:b/>
          <w:bCs/>
          <w:color w:val="C8A96E"/>
          <w:sz w:val="22"/>
          <w:szCs w:val="22"/>
        </w:rPr>
        <w:t xml:space="preserve">Scale: </w:t>
      </w:r>
      <w:r>
        <w:rPr>
          <w:rFonts w:ascii="Georgia" w:cs="Georgia" w:eastAsia="Georgia" w:hAnsi="Georgia"/>
          <w:color w:val="1A1A1A"/>
          <w:sz w:val="22"/>
          <w:szCs w:val="22"/>
        </w:rPr>
        <w:t xml:space="preserve">Jurisdiction-specific legal review. GDPR compliance audit if significant EU users. Formal data processing agreements with practitioners.</w:t>
      </w:r>
    </w:p>
    <w:p>
      <w:pPr>
        <w:spacing w:after="80"/>
      </w:pPr>
    </w:p>
    <w:p>
      <w:pPr>
        <w:spacing w:after="140"/>
      </w:pPr>
      <w:r>
        <w:rPr>
          <w:rFonts w:ascii="Georgia" w:cs="Georgia" w:eastAsia="Georgia" w:hAnsi="Georgia"/>
          <w:color w:val="1A1A1A"/>
          <w:sz w:val="22"/>
          <w:szCs w:val="22"/>
        </w:rPr>
        <w:t xml:space="preserve">The honest plain-language version built now is genuinely protective at current scale. Legal risk is proportional to reach. By the time you need the full architecture, the platform should be generating the revenue to fund it.</w:t>
      </w:r>
    </w:p>
    <w:p>
      <w:pPr>
        <w:spacing w:after="120"/>
      </w:pPr>
    </w:p>
    <w:p>
      <w:pPr>
        <w:spacing w:after="140" w:before="440"/>
      </w:pPr>
      <w:r>
        <w:rPr>
          <w:rFonts w:ascii="Georgia" w:cs="Georgia" w:eastAsia="Georgia" w:hAnsi="Georgia"/>
          <w:b/>
          <w:bCs/>
          <w:color w:val="C8A96E"/>
          <w:sz w:val="34"/>
          <w:szCs w:val="34"/>
        </w:rPr>
        <w:t xml:space="preserve">Section 6 — </w:t>
      </w:r>
      <w:r>
        <w:rPr>
          <w:rFonts w:ascii="Georgia" w:cs="Georgia" w:eastAsia="Georgia" w:hAnsi="Georgia"/>
          <w:b/>
          <w:bCs/>
          <w:color w:val="C8A96E"/>
          <w:sz w:val="34"/>
          <w:szCs w:val="34"/>
        </w:rPr>
        <w:t xml:space="preserve">What the New Thread Should Produce</w:t>
      </w:r>
    </w:p>
    <w:p>
      <w:pPr>
        <w:pBdr>
          <w:bottom w:val="single" w:color="C8A96E" w:sz="6" w:space="1"/>
        </w:pBdr>
        <w:spacing w:after="200"/>
      </w:pPr>
    </w:p>
    <w:p>
      <w:pPr>
        <w:spacing w:after="140"/>
      </w:pPr>
      <w:r>
        <w:rPr>
          <w:rFonts w:ascii="Georgia" w:cs="Georgia" w:eastAsia="Georgia" w:hAnsi="Georgia"/>
          <w:color w:val="1A1A1A"/>
          <w:sz w:val="22"/>
          <w:szCs w:val="22"/>
        </w:rPr>
        <w:t xml:space="preserve">Hand this brief to Claude in a new thread. Ask for the following deliverables, one at a time:</w:t>
      </w:r>
    </w:p>
    <w:p>
      <w:pPr>
        <w:spacing w:after="80"/>
      </w:pPr>
    </w:p>
    <w:p>
      <w:pPr>
        <w:pStyle w:val="ListParagraph"/>
        <w:numPr>
          <w:ilvl w:val="0"/>
          <w:numId w:val="2"/>
        </w:numPr>
        <w:spacing w:after="80"/>
      </w:pPr>
      <w:r>
        <w:rPr>
          <w:rFonts w:ascii="Georgia" w:cs="Georgia" w:eastAsia="Georgia" w:hAnsi="Georgia"/>
          <w:color w:val="1A1A1A"/>
          <w:sz w:val="22"/>
          <w:szCs w:val="22"/>
        </w:rPr>
        <w:t xml:space="preserve">Platform disclaimer — the short honest statement for the NextUs Self landing page</w:t>
      </w:r>
    </w:p>
    <w:p>
      <w:pPr>
        <w:pStyle w:val="ListParagraph"/>
        <w:numPr>
          <w:ilvl w:val="0"/>
          <w:numId w:val="2"/>
        </w:numPr>
        <w:spacing w:after="80"/>
      </w:pPr>
      <w:r>
        <w:rPr>
          <w:rFonts w:ascii="Georgia" w:cs="Georgia" w:eastAsia="Georgia" w:hAnsi="Georgia"/>
          <w:color w:val="1A1A1A"/>
          <w:sz w:val="22"/>
          <w:szCs w:val="22"/>
        </w:rPr>
        <w:t xml:space="preserve">User onboarding consent flow — three clear statements with checkbox language</w:t>
      </w:r>
    </w:p>
    <w:p>
      <w:pPr>
        <w:pStyle w:val="ListParagraph"/>
        <w:numPr>
          <w:ilvl w:val="0"/>
          <w:numId w:val="2"/>
        </w:numPr>
        <w:spacing w:after="80"/>
      </w:pPr>
      <w:r>
        <w:rPr>
          <w:rFonts w:ascii="Georgia" w:cs="Georgia" w:eastAsia="Georgia" w:hAnsi="Georgia"/>
          <w:color w:val="1A1A1A"/>
          <w:sz w:val="22"/>
          <w:szCs w:val="22"/>
        </w:rPr>
        <w:t xml:space="preserve">Tool scope statements — one or two sentences for Map, Foundation, Purpose Piece, Target Goals</w:t>
      </w:r>
    </w:p>
    <w:p>
      <w:pPr>
        <w:pStyle w:val="ListParagraph"/>
        <w:numPr>
          <w:ilvl w:val="0"/>
          <w:numId w:val="2"/>
        </w:numPr>
        <w:spacing w:after="80"/>
      </w:pPr>
      <w:r>
        <w:rPr>
          <w:rFonts w:ascii="Georgia" w:cs="Georgia" w:eastAsia="Georgia" w:hAnsi="Georgia"/>
          <w:color w:val="1A1A1A"/>
          <w:sz w:val="22"/>
          <w:szCs w:val="22"/>
        </w:rPr>
        <w:t xml:space="preserve">Practitioner matching disclaimer — the independent contractor statement</w:t>
      </w:r>
    </w:p>
    <w:p>
      <w:pPr>
        <w:pStyle w:val="ListParagraph"/>
        <w:numPr>
          <w:ilvl w:val="0"/>
          <w:numId w:val="2"/>
        </w:numPr>
        <w:spacing w:after="80"/>
      </w:pPr>
      <w:r>
        <w:rPr>
          <w:rFonts w:ascii="Georgia" w:cs="Georgia" w:eastAsia="Georgia" w:hAnsi="Georgia"/>
          <w:color w:val="1A1A1A"/>
          <w:sz w:val="22"/>
          <w:szCs w:val="22"/>
        </w:rPr>
        <w:t xml:space="preserve">Score-based crisis message — human, honest, not alarming</w:t>
      </w:r>
    </w:p>
    <w:p>
      <w:pPr>
        <w:pStyle w:val="ListParagraph"/>
        <w:numPr>
          <w:ilvl w:val="0"/>
          <w:numId w:val="2"/>
        </w:numPr>
        <w:spacing w:after="80"/>
      </w:pPr>
      <w:r>
        <w:rPr>
          <w:rFonts w:ascii="Georgia" w:cs="Georgia" w:eastAsia="Georgia" w:hAnsi="Georgia"/>
          <w:color w:val="1A1A1A"/>
          <w:sz w:val="22"/>
          <w:szCs w:val="22"/>
        </w:rPr>
        <w:t xml:space="preserve">Terms of Service — starting from a free generator, customised with NextUs language</w:t>
      </w:r>
    </w:p>
    <w:p>
      <w:pPr>
        <w:pStyle w:val="ListParagraph"/>
        <w:numPr>
          <w:ilvl w:val="0"/>
          <w:numId w:val="2"/>
        </w:numPr>
        <w:spacing w:after="80"/>
      </w:pPr>
      <w:r>
        <w:rPr>
          <w:rFonts w:ascii="Georgia" w:cs="Georgia" w:eastAsia="Georgia" w:hAnsi="Georgia"/>
          <w:color w:val="1A1A1A"/>
          <w:sz w:val="22"/>
          <w:szCs w:val="22"/>
        </w:rPr>
        <w:t xml:space="preserve">Privacy Policy — same approach</w:t>
      </w:r>
    </w:p>
    <w:p>
      <w:pPr>
        <w:pStyle w:val="ListParagraph"/>
        <w:numPr>
          <w:ilvl w:val="0"/>
          <w:numId w:val="2"/>
        </w:numPr>
        <w:spacing w:after="80"/>
      </w:pPr>
      <w:r>
        <w:rPr>
          <w:rFonts w:ascii="Georgia" w:cs="Georgia" w:eastAsia="Georgia" w:hAnsi="Georgia"/>
          <w:color w:val="1A1A1A"/>
          <w:sz w:val="22"/>
          <w:szCs w:val="22"/>
        </w:rPr>
        <w:t xml:space="preserve">Coaching agreement — one page, starting from ICF template, adapted to NextUs voice</w:t>
      </w:r>
    </w:p>
    <w:p>
      <w:pPr>
        <w:pStyle w:val="ListParagraph"/>
        <w:numPr>
          <w:ilvl w:val="0"/>
          <w:numId w:val="2"/>
        </w:numPr>
        <w:spacing w:after="80"/>
      </w:pPr>
      <w:r>
        <w:rPr>
          <w:rFonts w:ascii="Georgia" w:cs="Georgia" w:eastAsia="Georgia" w:hAnsi="Georgia"/>
          <w:color w:val="1A1A1A"/>
          <w:sz w:val="22"/>
          <w:szCs w:val="22"/>
        </w:rPr>
        <w:t xml:space="preserve">Practitioner terms draft — for when practitioners list, ready to go</w:t>
      </w:r>
    </w:p>
    <w:p>
      <w:pPr>
        <w:spacing w:after="80"/>
      </w:pPr>
    </w:p>
    <w:p>
      <w:pPr>
        <w:spacing w:after="140"/>
      </w:pPr>
      <w:r>
        <w:rPr>
          <w:rFonts w:ascii="Georgia" w:cs="Georgia" w:eastAsia="Georgia" w:hAnsi="Georgia"/>
          <w:color w:val="1A1A1A"/>
          <w:sz w:val="22"/>
          <w:szCs w:val="22"/>
        </w:rPr>
        <w:t xml:space="preserve">All of this should match the NextUs voice — no softening, no brutality, honest without being cruel. Legal language does not have to be cold. It can be clear and human and still be protective.</w:t>
      </w:r>
    </w:p>
    <w:p>
      <w:pPr>
        <w:spacing w:after="80"/>
      </w:pPr>
    </w:p>
    <w:p>
      <w:pPr>
        <w:pBdr>
          <w:left w:val="single" w:color="C8A96E" w:sz="12" w:space="12"/>
        </w:pBdr>
        <w:spacing w:after="180"/>
        <w:ind w:left="720"/>
      </w:pPr>
      <w:r>
        <w:rPr>
          <w:rFonts w:ascii="Georgia" w:cs="Georgia" w:eastAsia="Georgia" w:hAnsi="Georgia"/>
          <w:i/>
          <w:iCs/>
          <w:color w:val="4A4A4A"/>
          <w:sz w:val="22"/>
          <w:szCs w:val="22"/>
        </w:rPr>
        <w:t xml:space="preserve">The goal is not to hide behind legal text. The goal is to be so clear about what this is and what it isn’t that there is nothing to hide from.</w:t>
      </w:r>
    </w:p>
    <w:p>
      <w:pPr>
        <w:spacing w:after="240"/>
      </w:pPr>
    </w:p>
    <w:p>
      <w:pPr>
        <w:pBdr>
          <w:bottom w:val="single" w:color="C8A96E" w:sz="6" w:space="1"/>
        </w:pBdr>
        <w:spacing w:after="200"/>
      </w:pPr>
    </w:p>
    <w:p>
      <w:pPr>
        <w:spacing w:before="160"/>
        <w:jc w:val="center"/>
      </w:pPr>
      <w:r>
        <w:rPr>
          <w:rFonts w:ascii="Georgia" w:cs="Georgia" w:eastAsia="Georgia" w:hAnsi="Georgia"/>
          <w:i/>
          <w:iCs/>
          <w:color w:val="888888"/>
          <w:sz w:val="20"/>
          <w:szCs w:val="20"/>
        </w:rPr>
        <w:t xml:space="preserve">nextus.world — A life worth living, a future worth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2026-04-12T23:53:51.082Z</dcterms:created>
  <dcterms:modified xsi:type="dcterms:W3CDTF">2026-04-12T23:53:51.083Z</dcterms:modified>
</cp:coreProperties>
</file>

<file path=docProps/custom.xml><?xml version="1.0" encoding="utf-8"?>
<Properties xmlns="http://schemas.openxmlformats.org/officeDocument/2006/custom-properties" xmlns:vt="http://schemas.openxmlformats.org/officeDocument/2006/docPropsVTypes"/>
</file>