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Microsoft YaHei"/>
          <w:b w:val="0"/>
          <w:color w:val="0B2545"/>
          <w:sz w:val="52"/>
        </w:rPr>
        <w:t>今日外贸雷达</w:t>
      </w:r>
    </w:p>
    <w:p>
      <w:pPr>
        <w:spacing w:after="160"/>
      </w:pPr>
      <w:r>
        <w:rPr>
          <w:rFonts w:ascii="Calibri" w:hAnsi="Calibri" w:eastAsia="Microsoft YaHei"/>
          <w:color w:val="555555"/>
          <w:sz w:val="20"/>
        </w:rPr>
        <w:t>2026-07-16｜基于 2026-07-13 首日基线去重；中文、官方来源、行动建议版</w:t>
      </w:r>
    </w:p>
    <w:p>
      <w:pPr>
        <w:pStyle w:val="BodyText"/>
      </w:pPr>
      <w:r>
        <w:rPr>
          <w:rFonts w:ascii="Calibri" w:hAnsi="Calibri" w:eastAsia="Microsoft YaHei"/>
          <w:b/>
        </w:rPr>
        <w:t>今日判断：</w:t>
      </w:r>
      <w:r>
        <w:rPr>
          <w:rFonts w:ascii="Calibri" w:hAnsi="Calibri" w:eastAsia="Microsoft YaHei"/>
        </w:rPr>
        <w:t>没有新增需要账号登录才能确认的事项；本版保留两条临近执行的基线提醒，并新增/更新 5 条官方可核验的合规节点。优先处理“会立刻拦截出货或改写 listing”的事项。</w:t>
      </w:r>
    </w:p>
    <w:p>
      <w:pPr>
        <w:pStyle w:val="Heading1"/>
      </w:pPr>
      <w:r>
        <w:t>一页总览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w="120" w:type="dxa"/>
        <w:tblLayout w:type="fixed"/>
      </w:tblPr>
      <w:tblGrid>
        <w:gridCol w:w="760"/>
        <w:gridCol w:w="2020"/>
        <w:gridCol w:w="2560"/>
        <w:gridCol w:w="2920"/>
        <w:gridCol w:w="1100"/>
      </w:tblGrid>
      <w:tr>
        <w:tc>
          <w:tcPr>
            <w:tcW w:type="dxa" w:w="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3A5F"/>
                <w:sz w:val="18"/>
              </w:rPr>
              <w:t>级别</w:t>
            </w:r>
          </w:p>
        </w:tc>
        <w:tc>
          <w:tcPr>
            <w:tcW w:type="dxa" w:w="2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3A5F"/>
                <w:sz w:val="18"/>
              </w:rPr>
              <w:t>事件</w:t>
            </w:r>
          </w:p>
        </w:tc>
        <w:tc>
          <w:tcPr>
            <w:tcW w:type="dxa" w:w="2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3A5F"/>
                <w:sz w:val="18"/>
              </w:rPr>
              <w:t>影响</w:t>
            </w:r>
          </w:p>
        </w:tc>
        <w:tc>
          <w:tcPr>
            <w:tcW w:type="dxa" w:w="29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3A5F"/>
                <w:sz w:val="18"/>
              </w:rPr>
              <w:t>今天动作</w:t>
            </w:r>
          </w:p>
        </w:tc>
        <w:tc>
          <w:tcPr>
            <w:tcW w:type="dxa" w:w="1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3A5F"/>
                <w:sz w:val="18"/>
              </w:rPr>
              <w:t>来源</w:t>
            </w:r>
          </w:p>
        </w:tc>
      </w:tr>
      <w:tr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sz w:val="17"/>
              </w:rPr>
              <w:t>高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17"/>
              </w:rPr>
              <w:t>氦气出口临时禁止仍为硬性红线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17"/>
              </w:rPr>
              <w:t>涉及海关商品编号 2804290010 的氦气出口订单、样品、转口安排均需暂停复核。</w:t>
            </w:r>
          </w:p>
        </w:tc>
        <w:tc>
          <w:tcPr>
            <w:tcW w:type="dxa" w:w="29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16"/>
              </w:rPr>
              <w:t>今天继续拦截含氦气的询盘和已排船订单；销售、单证、报关三处同步加“禁止出口”提示。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商务部、海关总署公告2026年第29号</w:t>
            </w:r>
          </w:p>
        </w:tc>
      </w:tr>
      <w:tr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sz w:val="17"/>
              </w:rPr>
              <w:t>高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17"/>
              </w:rPr>
              <w:t>Amazon 非媒体类标题 75 字符规则进入倒计时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17"/>
              </w:rPr>
              <w:t>2026-07-27 起，非媒体类商品标题须不超过 75 个字符，超长标题将逐步被 AI 推荐内容替换。</w:t>
            </w:r>
          </w:p>
        </w:tc>
        <w:tc>
          <w:tcPr>
            <w:tcW w:type="dxa" w:w="29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16"/>
              </w:rPr>
              <w:t>今天导出 Amazon 在售 SKU，先处理主力 ASIN：标题压缩到 75 字符以内，卖点转入 Item Highlights。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Amazon Seller Forums 公告</w:t>
            </w:r>
          </w:p>
        </w:tc>
      </w:tr>
      <w:tr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sz w:val="17"/>
              </w:rPr>
              <w:t>高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17"/>
              </w:rPr>
              <w:t>欧盟 CBAM 2026 正式期已运行，Q2 证书价格已发布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17"/>
              </w:rPr>
              <w:t>钢铁、铝、水泥、化肥、电力、氢等 CBAM 货物，欧盟进口商需成为授权申报人并购买/交回证书。</w:t>
            </w:r>
          </w:p>
        </w:tc>
        <w:tc>
          <w:tcPr>
            <w:tcW w:type="dxa" w:w="29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16"/>
              </w:rPr>
              <w:t>对欧报价单新增“CBAM 数据包”字段：CN code、吨数、嵌入排放、生产路线、第三国已付碳价证明。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European Commission CBAM 页面</w:t>
            </w:r>
          </w:p>
        </w:tc>
      </w:tr>
      <w:tr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sz w:val="17"/>
              </w:rPr>
              <w:t>中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17"/>
              </w:rPr>
              <w:t>欧盟 EUDR 适用日期已明确后移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17"/>
              </w:rPr>
              <w:t>大中型经营者 2026-12-30 适用；微型和小型经营者 2027-06-30 适用，木材旧规覆盖的小微企业例外。</w:t>
            </w:r>
          </w:p>
        </w:tc>
        <w:tc>
          <w:tcPr>
            <w:tcW w:type="dxa" w:w="29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16"/>
              </w:rPr>
              <w:t>木材、咖啡、可可、橡胶、牛/皮革、大豆、棕榈油相关产品，先建立地块/供应商/批次三件套。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European Commission EUDR 页面</w:t>
            </w:r>
          </w:p>
        </w:tc>
      </w:tr>
      <w:tr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sz w:val="17"/>
              </w:rPr>
              <w:t>中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17"/>
              </w:rPr>
              <w:t>美国 FDA 食品追溯规则执法窗口延后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17"/>
              </w:rPr>
              <w:t>FDA 页面显示原合规日期为 2026-01-20，并说明拟延至 2028-07-20 且国会要求此前不执行。</w:t>
            </w:r>
          </w:p>
        </w:tc>
        <w:tc>
          <w:tcPr>
            <w:tcW w:type="dxa" w:w="29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16"/>
              </w:rPr>
              <w:t>出口美国的生鲜、海产、软奶酪等 FTL 食品不要停项目；把 KDE/CTE 字段嵌入 ERP 和供应商出货模板。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FDA FSMA Food Traceability Rule</w:t>
            </w:r>
          </w:p>
        </w:tc>
      </w:tr>
      <w:tr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sz w:val="17"/>
              </w:rPr>
              <w:t>中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17"/>
              </w:rPr>
              <w:t>欧盟电池法规尽调与电池护照节点逼近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17"/>
              </w:rPr>
              <w:t>电池原料尽调义务自 2025-08-18 起适用；LMT、电动汽车和&gt;2kWh工业电池 2027-02-18 起需电池护照。</w:t>
            </w:r>
          </w:p>
        </w:tc>
        <w:tc>
          <w:tcPr>
            <w:tcW w:type="dxa" w:w="29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16"/>
              </w:rPr>
              <w:t>电动工具、储能、两轮车、带电产品供应商今天开始补钴/锂/镍/天然石墨来源和第三方验证资料。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EUR-Lex Regulation (EU) 2023/1542</w:t>
            </w:r>
          </w:p>
        </w:tc>
      </w:tr>
      <w:tr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sz w:val="17"/>
              </w:rPr>
              <w:t>中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17"/>
              </w:rPr>
              <w:t>欧盟一般产品安全仍是跨境电商基础门槛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17"/>
              </w:rPr>
              <w:t>GPSR 已适用于欧盟消费品，在线销售需展示制造商/欧盟联系人、产品识别和警示信息。</w:t>
            </w:r>
          </w:p>
        </w:tc>
        <w:tc>
          <w:tcPr>
            <w:tcW w:type="dxa" w:w="29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b w:val="0"/>
                <w:sz w:val="16"/>
              </w:rPr>
              <w:t>复查欧盟站 listing：主图/详情页/包装/说明书四处信息一致；无欧盟责任主体的 SKU 暂不推流。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7"/>
              </w:rPr>
              <w:t>EUR-Lex Regulation (EU) 2023/988</w:t>
            </w:r>
          </w:p>
        </w:tc>
      </w:tr>
    </w:tbl>
    <w:p>
      <w:pPr>
        <w:pStyle w:val="Heading1"/>
      </w:pPr>
      <w:r>
        <w:t>优先处理顺序</w:t>
      </w:r>
    </w:p>
    <w:p>
      <w:pPr>
        <w:pStyle w:val="ListNumber"/>
        <w:ind w:left="540" w:hanging="271"/>
      </w:pPr>
      <w:r>
        <w:rPr>
          <w:rFonts w:ascii="Calibri" w:hAnsi="Calibri" w:eastAsia="Microsoft YaHei"/>
        </w:rPr>
        <w:t>今天下班前：拦截氦气相关询盘、订单、报关资料，避免误接单或误申报。</w:t>
      </w:r>
    </w:p>
    <w:p>
      <w:pPr>
        <w:pStyle w:val="ListNumber"/>
        <w:ind w:left="540" w:hanging="271"/>
      </w:pPr>
      <w:r>
        <w:rPr>
          <w:rFonts w:ascii="Calibri" w:hAnsi="Calibri" w:eastAsia="Microsoft YaHei"/>
        </w:rPr>
        <w:t>7月22日前：完成 Amazon 主力 ASIN 标题压缩和 Item Highlights 补写，留出 5 天观察系统推荐。</w:t>
      </w:r>
    </w:p>
    <w:p>
      <w:pPr>
        <w:pStyle w:val="ListNumber"/>
        <w:ind w:left="540" w:hanging="271"/>
      </w:pPr>
      <w:r>
        <w:rPr>
          <w:rFonts w:ascii="Calibri" w:hAnsi="Calibri" w:eastAsia="Microsoft YaHei"/>
        </w:rPr>
        <w:t>本周内：给欧盟 CBAM 客户补“排放数据包”模板，先覆盖钢铁、铝、紧固件、型材、化肥相关 SKU。</w:t>
      </w:r>
    </w:p>
    <w:p>
      <w:pPr>
        <w:pStyle w:val="ListNumber"/>
        <w:ind w:left="540" w:hanging="271"/>
      </w:pPr>
      <w:r>
        <w:rPr>
          <w:rFonts w:ascii="Calibri" w:hAnsi="Calibri" w:eastAsia="Microsoft YaHei"/>
        </w:rPr>
        <w:t>本月内：把 EUDR、FDA 追溯、电池法规按品类建清单，不急着一次合规完，但要先锁定责任人和资料缺口。</w:t>
      </w:r>
    </w:p>
    <w:p>
      <w:pPr>
        <w:pStyle w:val="Heading1"/>
      </w:pPr>
      <w:r>
        <w:t>去重说明</w:t>
      </w:r>
    </w:p>
    <w:p>
      <w:pPr>
        <w:pStyle w:val="BodyText"/>
      </w:pPr>
      <w:r>
        <w:rPr>
          <w:rFonts w:ascii="Calibri" w:hAnsi="Calibri" w:eastAsia="Microsoft YaHei"/>
          <w:b/>
        </w:rPr>
        <w:t>与 2026-07-13 基线重复的事项：</w:t>
      </w:r>
      <w:r>
        <w:rPr>
          <w:rFonts w:ascii="Calibri" w:hAnsi="Calibri" w:eastAsia="Microsoft YaHei"/>
        </w:rPr>
        <w:t>氦气临时禁止出口、Amazon 标题 75 字符规则已在首日记录，本版不作为新增事件计数，但因影响高且日期临近，继续列入“高优先级行动”。</w:t>
      </w:r>
    </w:p>
    <w:p>
      <w:pPr>
        <w:pStyle w:val="Heading1"/>
      </w:pPr>
      <w:r>
        <w:t>官方来源</w:t>
      </w:r>
    </w:p>
    <w:p>
      <w:pPr>
        <w:pStyle w:val="BodyText"/>
      </w:pPr>
      <w:r>
        <w:rPr>
          <w:rFonts w:ascii="Calibri" w:hAnsi="Calibri" w:eastAsia="Microsoft YaHei"/>
          <w:color w:val="555555"/>
          <w:sz w:val="18"/>
        </w:rPr>
        <w:t xml:space="preserve">S1：商务部、海关总署公告2026年第29号 </w:t>
      </w:r>
      <w:hyperlink r:id="rId9">
        <w:r>
          <w:rPr>
            <w:color w:val="0563C1"/>
            <w:u w:val="single"/>
          </w:rPr>
          <w:t>打开来源</w:t>
        </w:r>
      </w:hyperlink>
    </w:p>
    <w:p>
      <w:pPr>
        <w:pStyle w:val="BodyText"/>
      </w:pPr>
      <w:r>
        <w:rPr>
          <w:rFonts w:ascii="Calibri" w:hAnsi="Calibri" w:eastAsia="Microsoft YaHei"/>
          <w:color w:val="555555"/>
          <w:sz w:val="18"/>
        </w:rPr>
        <w:t xml:space="preserve">S2：Amazon Seller Forums 公告 </w:t>
      </w:r>
      <w:hyperlink r:id="rId10">
        <w:r>
          <w:rPr>
            <w:color w:val="0563C1"/>
            <w:u w:val="single"/>
          </w:rPr>
          <w:t>打开来源</w:t>
        </w:r>
      </w:hyperlink>
    </w:p>
    <w:p>
      <w:pPr>
        <w:pStyle w:val="BodyText"/>
      </w:pPr>
      <w:r>
        <w:rPr>
          <w:rFonts w:ascii="Calibri" w:hAnsi="Calibri" w:eastAsia="Microsoft YaHei"/>
          <w:color w:val="555555"/>
          <w:sz w:val="18"/>
        </w:rPr>
        <w:t xml:space="preserve">S3：European Commission CBAM 页面 </w:t>
      </w:r>
      <w:hyperlink r:id="rId11">
        <w:r>
          <w:rPr>
            <w:color w:val="0563C1"/>
            <w:u w:val="single"/>
          </w:rPr>
          <w:t>打开来源</w:t>
        </w:r>
      </w:hyperlink>
    </w:p>
    <w:p>
      <w:pPr>
        <w:pStyle w:val="BodyText"/>
      </w:pPr>
      <w:r>
        <w:rPr>
          <w:rFonts w:ascii="Calibri" w:hAnsi="Calibri" w:eastAsia="Microsoft YaHei"/>
          <w:color w:val="555555"/>
          <w:sz w:val="18"/>
        </w:rPr>
        <w:t xml:space="preserve">S4：European Commission EUDR 页面 </w:t>
      </w:r>
      <w:hyperlink r:id="rId12">
        <w:r>
          <w:rPr>
            <w:color w:val="0563C1"/>
            <w:u w:val="single"/>
          </w:rPr>
          <w:t>打开来源</w:t>
        </w:r>
      </w:hyperlink>
    </w:p>
    <w:p>
      <w:pPr>
        <w:pStyle w:val="BodyText"/>
      </w:pPr>
      <w:r>
        <w:rPr>
          <w:rFonts w:ascii="Calibri" w:hAnsi="Calibri" w:eastAsia="Microsoft YaHei"/>
          <w:color w:val="555555"/>
          <w:sz w:val="18"/>
        </w:rPr>
        <w:t xml:space="preserve">S5：FDA FSMA Food Traceability Rule </w:t>
      </w:r>
      <w:hyperlink r:id="rId13">
        <w:r>
          <w:rPr>
            <w:color w:val="0563C1"/>
            <w:u w:val="single"/>
          </w:rPr>
          <w:t>打开来源</w:t>
        </w:r>
      </w:hyperlink>
    </w:p>
    <w:p>
      <w:pPr>
        <w:pStyle w:val="BodyText"/>
      </w:pPr>
      <w:r>
        <w:rPr>
          <w:rFonts w:ascii="Calibri" w:hAnsi="Calibri" w:eastAsia="Microsoft YaHei"/>
          <w:color w:val="555555"/>
          <w:sz w:val="18"/>
        </w:rPr>
        <w:t xml:space="preserve">S6：EUR-Lex Regulation (EU) 2023/1542 </w:t>
      </w:r>
      <w:hyperlink r:id="rId14">
        <w:r>
          <w:rPr>
            <w:color w:val="0563C1"/>
            <w:u w:val="single"/>
          </w:rPr>
          <w:t>打开来源</w:t>
        </w:r>
      </w:hyperlink>
    </w:p>
    <w:p>
      <w:pPr>
        <w:pStyle w:val="BodyText"/>
      </w:pPr>
      <w:r>
        <w:rPr>
          <w:rFonts w:ascii="Calibri" w:hAnsi="Calibri" w:eastAsia="Microsoft YaHei"/>
          <w:color w:val="555555"/>
          <w:sz w:val="18"/>
        </w:rPr>
        <w:t xml:space="preserve">S7：EUR-Lex Regulation (EU) 2023/988 </w:t>
      </w:r>
      <w:hyperlink r:id="rId15">
        <w:r>
          <w:rPr>
            <w:color w:val="0563C1"/>
            <w:u w:val="single"/>
          </w:rPr>
          <w:t>打开来源</w:t>
        </w:r>
      </w:hyperlink>
    </w:p>
    <w:p>
      <w:pPr>
        <w:pStyle w:val="Heading1"/>
      </w:pPr>
      <w:r>
        <w:t>明日观察</w:t>
      </w:r>
    </w:p>
    <w:p>
      <w:pPr>
        <w:pStyle w:val="ListBullet"/>
        <w:ind w:left="540" w:hanging="271"/>
      </w:pPr>
      <w:r>
        <w:rPr>
          <w:rFonts w:ascii="Calibri" w:hAnsi="Calibri" w:eastAsia="Microsoft YaHei"/>
        </w:rPr>
        <w:t>商务部/海关总署是否继续发布出口管制或临时禁限类公告。</w:t>
      </w:r>
    </w:p>
    <w:p>
      <w:pPr>
        <w:pStyle w:val="ListBullet"/>
        <w:ind w:left="540" w:hanging="271"/>
      </w:pPr>
      <w:r>
        <w:rPr>
          <w:rFonts w:ascii="Calibri" w:hAnsi="Calibri" w:eastAsia="Microsoft YaHei"/>
        </w:rPr>
        <w:t>Amazon 是否补充标题规则的类目例外、AI 改写节奏或 FBA 旺季费用官方说明。</w:t>
      </w:r>
    </w:p>
    <w:p>
      <w:pPr>
        <w:pStyle w:val="ListBullet"/>
        <w:ind w:left="540" w:hanging="271"/>
      </w:pPr>
      <w:r>
        <w:rPr>
          <w:rFonts w:ascii="Calibri" w:hAnsi="Calibri" w:eastAsia="Microsoft YaHei"/>
        </w:rPr>
        <w:t>欧盟 CBAM、EUDR、GPSR 是否有新的 FAQ 或执行细则更新。</w:t>
      </w:r>
    </w:p>
    <w:sectPr>
      <w:footerReference w:type="default" r:id="rId1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555555"/>
        <w:sz w:val="18"/>
      </w:rPr>
      <w:t>今日外贸雷达｜2026-07-16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ms.mofcom.gov.cn/zcfb/wmgl/art/2026/art_2a795a0d55df4cada91c9fbd2a2cc13a.html" TargetMode="External"/><Relationship Id="rId10" Type="http://schemas.openxmlformats.org/officeDocument/2006/relationships/hyperlink" Target="https://sellercentral.amazon.com/seller-forums/discussions/t/145b6d0f-999c-4555-896c-c694bda2e470" TargetMode="External"/><Relationship Id="rId11" Type="http://schemas.openxmlformats.org/officeDocument/2006/relationships/hyperlink" Target="https://taxation-customs.ec.europa.eu/carbon-border-adjustment-mechanism_en" TargetMode="External"/><Relationship Id="rId12" Type="http://schemas.openxmlformats.org/officeDocument/2006/relationships/hyperlink" Target="https://environment.ec.europa.eu/topics/forests/deforestation/regulation-deforestation-free-products_en" TargetMode="External"/><Relationship Id="rId13" Type="http://schemas.openxmlformats.org/officeDocument/2006/relationships/hyperlink" Target="https://www.fda.gov/food/food-safety-modernization-act-fsma/fsma-final-rule-requirements-additional-traceability-records-certain-foods" TargetMode="External"/><Relationship Id="rId14" Type="http://schemas.openxmlformats.org/officeDocument/2006/relationships/hyperlink" Target="https://eur-lex.europa.eu/eli/reg/2023/1542/oj" TargetMode="External"/><Relationship Id="rId15" Type="http://schemas.openxmlformats.org/officeDocument/2006/relationships/hyperlink" Target="https://data.europa.eu/eli/reg/2023/988/oj" TargetMode="Externa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今日外贸雷达-2026-07-16</dc:title>
  <dc:subject>外贸政策、平台规则与合规行动提醒</dc:subject>
  <dc:creator/>
  <cp:keywords>外贸, 合规, CBAM, EUDR, Amazon, FDA, 电池法规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