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Microsoft YaHei"/>
          <w:b/>
          <w:color w:val="1F4D78"/>
          <w:sz w:val="48"/>
        </w:rPr>
        <w:t>每日外贸雷达</w:t>
      </w:r>
    </w:p>
    <w:p>
      <w:pPr>
        <w:spacing w:after="240"/>
      </w:pPr>
      <w:r>
        <w:rPr>
          <w:rFonts w:ascii="Calibri" w:hAnsi="Calibri" w:eastAsia="Microsoft YaHei"/>
          <w:color w:val="596069"/>
          <w:sz w:val="24"/>
        </w:rPr>
        <w:t>外贸政策与跨境平台行动简报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 xml:space="preserve">报告日期: </w:t>
      </w:r>
      <w:r>
        <w:rPr>
          <w:rFonts w:ascii="Calibri" w:hAnsi="Calibri" w:eastAsia="Microsoft YaHei"/>
          <w:sz w:val="21"/>
        </w:rPr>
        <w:t>2026-07-21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 xml:space="preserve">时区: </w:t>
      </w:r>
      <w:r>
        <w:rPr>
          <w:rFonts w:ascii="Calibri" w:hAnsi="Calibri" w:eastAsia="Microsoft YaHei"/>
          <w:sz w:val="21"/>
        </w:rPr>
        <w:t>Asia/Singapore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 xml:space="preserve">检索截止: </w:t>
      </w:r>
      <w:r>
        <w:rPr>
          <w:rFonts w:ascii="Calibri" w:hAnsi="Calibri" w:eastAsia="Microsoft YaHei"/>
          <w:sz w:val="21"/>
        </w:rPr>
        <w:t>2026-07-21T17:00:00+08:00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 xml:space="preserve">覆盖范围: </w:t>
      </w:r>
      <w:r>
        <w:rPr>
          <w:rFonts w:ascii="Calibri" w:hAnsi="Calibri" w:eastAsia="Microsoft YaHei"/>
          <w:sz w:val="21"/>
        </w:rPr>
        <w:t>EU、Amazon</w:t>
      </w:r>
    </w:p>
    <w:p>
      <w:pPr>
        <w:spacing w:before="140" w:after="160"/>
        <w:pBdr>
          <w:bottom w:val="single" w:sz="10" w:color="2E74B5"/>
        </w:pBdr>
      </w:pPr>
    </w:p>
    <w:p>
      <w:pPr>
        <w:pStyle w:val="Heading1"/>
      </w:pPr>
      <w:r>
        <w:t>今日判断</w:t>
      </w:r>
    </w:p>
    <w:p>
      <w:r>
        <w:t>发现经过核验的今日新增事项，请优先执行下列高风险和紧迫行动。</w:t>
      </w:r>
    </w:p>
    <w:p>
      <w:pPr>
        <w:pStyle w:val="Heading1"/>
      </w:pPr>
      <w:r>
        <w:t>一页雷达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350"/>
        <w:gridCol w:w="2700"/>
        <w:gridCol w:w="4410"/>
      </w:tblGrid>
      <w:tr>
        <w:trPr>
          <w:tblHeader w:val="true"/>
        </w:trPr>
        <w:tc>
          <w:tcPr>
            <w:tcW w:type="dxa" w:w="9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级别</w:t>
            </w:r>
          </w:p>
        </w:tc>
        <w:tc>
          <w:tcPr>
            <w:tcW w:type="dxa" w:w="135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7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事件</w:t>
            </w:r>
          </w:p>
        </w:tc>
        <w:tc>
          <w:tcPr>
            <w:tcW w:type="dxa" w:w="441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关键影响</w:t>
            </w:r>
          </w:p>
        </w:tc>
      </w:tr>
      <w:tr>
        <w:tc>
          <w:tcPr>
            <w:tcW w:type="dxa" w:w="900"/>
            <w:vAlign w:val="center"/>
            <w:shd w:fill="FDE8E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高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今日新增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示例欧盟产品规则更新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缺少资料的商品可能延迟清关。</w:t>
            </w:r>
          </w:p>
        </w:tc>
      </w:tr>
      <w:tr>
        <w:tc>
          <w:tcPr>
            <w:tcW w:type="dxa" w:w="900"/>
            <w:vAlign w:val="center"/>
            <w:shd w:fill="FFF1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中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持续关注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示例平台标题规则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商品标题需要复核。</w:t>
            </w:r>
          </w:p>
        </w:tc>
      </w:tr>
    </w:tbl>
    <w:p>
      <w:pPr>
        <w:pStyle w:val="Heading1"/>
      </w:pPr>
      <w:r>
        <w:t>优先行动</w:t>
      </w:r>
    </w:p>
    <w:p>
      <w:pPr>
        <w:pStyle w:val="ListNumber"/>
      </w:pPr>
      <w:r>
        <w:rPr>
          <w:rFonts w:ascii="Calibri" w:hAnsi="Calibri" w:eastAsia="Microsoft YaHei"/>
          <w:b/>
        </w:rPr>
        <w:t xml:space="preserve">示例欧盟产品规则更新: </w:t>
      </w:r>
      <w:r>
        <w:t>合规团队在 2026-07-24 前核对主力 SKU 并保存完整资料清单。</w:t>
      </w:r>
    </w:p>
    <w:p>
      <w:pPr>
        <w:pStyle w:val="ListNumber"/>
      </w:pPr>
      <w:r>
        <w:rPr>
          <w:rFonts w:ascii="Calibri" w:hAnsi="Calibri" w:eastAsia="Microsoft YaHei"/>
          <w:b/>
        </w:rPr>
        <w:t xml:space="preserve">示例平台标题规则: </w:t>
      </w:r>
      <w:r>
        <w:t>平台运营在本周内导出主力商品并完成标题检查。</w:t>
      </w:r>
    </w:p>
    <w:p>
      <w:pPr>
        <w:pStyle w:val="Heading1"/>
      </w:pPr>
      <w:r>
        <w:t>去重说明</w:t>
      </w:r>
    </w:p>
    <w:p>
      <w:r>
        <w:t>与上一期比较后移除 0 条无实质变化的重复事项；人工复核后保留 0 条实质更新事项；另有 0 条仍待复核。</w:t>
      </w:r>
    </w:p>
    <w:p>
      <w:pPr>
        <w:pStyle w:val="Heading1"/>
      </w:pPr>
      <w:r>
        <w:t>事件详情与官方来源</w:t>
      </w:r>
    </w:p>
    <w:p>
      <w:pPr>
        <w:pStyle w:val="Heading2"/>
      </w:pPr>
      <w:r>
        <w:t>S1 | 示例欧盟产品规则更新</w:t>
      </w:r>
    </w:p>
    <w:p>
      <w:r>
        <w:rPr>
          <w:rFonts w:ascii="Calibri" w:hAnsi="Calibri" w:eastAsia="Microsoft YaHei"/>
          <w:b/>
        </w:rPr>
        <w:t xml:space="preserve">司法辖区: </w:t>
      </w:r>
      <w:r>
        <w:t>EU</w:t>
      </w:r>
    </w:p>
    <w:p>
      <w:r>
        <w:rPr>
          <w:rFonts w:ascii="Calibri" w:hAnsi="Calibri" w:eastAsia="Microsoft YaHei"/>
          <w:b/>
        </w:rPr>
        <w:t xml:space="preserve">主管机构: </w:t>
      </w:r>
      <w:r>
        <w:t>Example EU Authority</w:t>
      </w:r>
    </w:p>
    <w:p>
      <w:r>
        <w:rPr>
          <w:rFonts w:ascii="Calibri" w:hAnsi="Calibri" w:eastAsia="Microsoft YaHei"/>
          <w:b/>
        </w:rPr>
        <w:t xml:space="preserve">发布日期: </w:t>
      </w:r>
      <w:r>
        <w:t>2026-07-21</w:t>
      </w:r>
    </w:p>
    <w:p>
      <w:r>
        <w:rPr>
          <w:rFonts w:ascii="Calibri" w:hAnsi="Calibri" w:eastAsia="Microsoft YaHei"/>
          <w:b/>
        </w:rPr>
        <w:t xml:space="preserve">生效日期: </w:t>
      </w:r>
      <w:r>
        <w:t>2026-07-28</w:t>
      </w:r>
    </w:p>
    <w:p>
      <w:r>
        <w:rPr>
          <w:rFonts w:ascii="Calibri" w:hAnsi="Calibri" w:eastAsia="Microsoft YaHei"/>
          <w:b/>
        </w:rPr>
        <w:t xml:space="preserve">摘要: </w:t>
      </w:r>
      <w:r>
        <w:t>示例规则要求出口商补充产品合规资料。</w:t>
      </w:r>
    </w:p>
    <w:p>
      <w:r>
        <w:rPr>
          <w:rFonts w:ascii="Calibri" w:hAnsi="Calibri" w:eastAsia="Microsoft YaHei"/>
          <w:b/>
        </w:rPr>
        <w:t xml:space="preserve">行动: </w:t>
      </w:r>
      <w:r>
        <w:t>合规团队在 2026-07-24 前核对主力 SKU 并保存完整资料清单。</w:t>
      </w:r>
    </w:p>
    <w:p>
      <w:r>
        <w:rPr>
          <w:rFonts w:ascii="Calibri" w:hAnsi="Calibri" w:eastAsia="Microsoft YaHei"/>
          <w:b/>
        </w:rPr>
        <w:t>官方来源：</w:t>
      </w:r>
      <w:hyperlink r:id="rId11">
        <w:r>
          <w:rPr>
            <w:color w:val="2E74B5"/>
            <w:u w:val="single"/>
          </w:rPr>
          <w:t>Example EU official rule</w:t>
        </w:r>
      </w:hyperlink>
      <w:r>
        <w:t>，检索于 2026-07-21。</w:t>
      </w:r>
    </w:p>
    <w:p>
      <w:pPr>
        <w:pStyle w:val="Heading2"/>
      </w:pPr>
      <w:r>
        <w:t>S2 | 示例平台标题规则</w:t>
      </w:r>
    </w:p>
    <w:p>
      <w:r>
        <w:rPr>
          <w:rFonts w:ascii="Calibri" w:hAnsi="Calibri" w:eastAsia="Microsoft YaHei"/>
          <w:b/>
        </w:rPr>
        <w:t xml:space="preserve">司法辖区: </w:t>
      </w:r>
      <w:r>
        <w:t>Global</w:t>
      </w:r>
    </w:p>
    <w:p>
      <w:r>
        <w:rPr>
          <w:rFonts w:ascii="Calibri" w:hAnsi="Calibri" w:eastAsia="Microsoft YaHei"/>
          <w:b/>
        </w:rPr>
        <w:t xml:space="preserve">主管机构: </w:t>
      </w:r>
      <w:r>
        <w:t>Example Marketplace</w:t>
      </w:r>
    </w:p>
    <w:p>
      <w:r>
        <w:rPr>
          <w:rFonts w:ascii="Calibri" w:hAnsi="Calibri" w:eastAsia="Microsoft YaHei"/>
          <w:b/>
        </w:rPr>
        <w:t xml:space="preserve">发布日期: </w:t>
      </w:r>
      <w:r>
        <w:t>2026-07-01</w:t>
      </w:r>
    </w:p>
    <w:p>
      <w:r>
        <w:rPr>
          <w:rFonts w:ascii="Calibri" w:hAnsi="Calibri" w:eastAsia="Microsoft YaHei"/>
          <w:b/>
        </w:rPr>
        <w:t xml:space="preserve">生效日期: </w:t>
      </w:r>
      <w:r>
        <w:t>2026-08-01</w:t>
      </w:r>
    </w:p>
    <w:p>
      <w:r>
        <w:rPr>
          <w:rFonts w:ascii="Calibri" w:hAnsi="Calibri" w:eastAsia="Microsoft YaHei"/>
          <w:b/>
        </w:rPr>
        <w:t xml:space="preserve">截止日期: </w:t>
      </w:r>
      <w:r>
        <w:t>2026-08-01</w:t>
      </w:r>
    </w:p>
    <w:p>
      <w:r>
        <w:rPr>
          <w:rFonts w:ascii="Calibri" w:hAnsi="Calibri" w:eastAsia="Microsoft YaHei"/>
          <w:b/>
        </w:rPr>
        <w:t xml:space="preserve">摘要: </w:t>
      </w:r>
      <w:r>
        <w:t>示例平台将调整商品标题规则。</w:t>
      </w:r>
    </w:p>
    <w:p>
      <w:r>
        <w:rPr>
          <w:rFonts w:ascii="Calibri" w:hAnsi="Calibri" w:eastAsia="Microsoft YaHei"/>
          <w:b/>
        </w:rPr>
        <w:t xml:space="preserve">行动: </w:t>
      </w:r>
      <w:r>
        <w:t>平台运营在本周内导出主力商品并完成标题检查。</w:t>
      </w:r>
    </w:p>
    <w:p>
      <w:r>
        <w:rPr>
          <w:rFonts w:ascii="Calibri" w:hAnsi="Calibri" w:eastAsia="Microsoft YaHei"/>
          <w:b/>
        </w:rPr>
        <w:t>官方来源：</w:t>
      </w:r>
      <w:hyperlink r:id="rId12">
        <w:r>
          <w:rPr>
            <w:color w:val="2E74B5"/>
            <w:u w:val="single"/>
          </w:rPr>
          <w:t>Example official announcement</w:t>
        </w:r>
      </w:hyperlink>
      <w:r>
        <w:t>，检索于 2026-07-21。</w:t>
      </w:r>
    </w:p>
    <w:p>
      <w:pPr>
        <w:pStyle w:val="Heading1"/>
      </w:pPr>
      <w:r>
        <w:t>待核实观察</w:t>
      </w:r>
    </w:p>
    <w:p>
      <w:r>
        <w:t>无。</w:t>
      </w:r>
    </w:p>
    <w:p>
      <w:pPr>
        <w:pStyle w:val="Heading1"/>
      </w:pPr>
      <w:r>
        <w:t>覆盖缺口</w:t>
      </w:r>
    </w:p>
    <w:p>
      <w:pPr>
        <w:pStyle w:val="ListBullet"/>
      </w:pPr>
      <w:r>
        <w:t>示例数据仅用于离线测试，不代表真实政策信息</w:t>
      </w:r>
    </w:p>
    <w:p>
      <w:pPr>
        <w:keepLines/>
        <w:spacing w:before="240"/>
      </w:pPr>
      <w:r>
        <w:rPr>
          <w:rFonts w:ascii="Calibri" w:hAnsi="Calibri" w:eastAsia="Microsoft YaHei"/>
          <w:b/>
          <w:color w:val="596069"/>
          <w:sz w:val="18"/>
        </w:rPr>
        <w:t>重要提示：</w:t>
      </w:r>
      <w:r>
        <w:rPr>
          <w:rFonts w:ascii="Calibri" w:hAnsi="Calibri" w:eastAsia="Microsoft YaHei"/>
          <w:color w:val="596069"/>
          <w:sz w:val="18"/>
        </w:rPr>
        <w:t>本报告用于业务研究辅助，不构成法律、税务、海关或制裁专业意见。</w:t>
      </w:r>
    </w:p>
    <w:sectPr>
      <w:headerReference w:type="default" r:id="rId9"/>
      <w:footerReference w:type="default" r:id="rId10"/>
      <w:pgSz w:w="12240" w:h="15840"/>
      <w:pgMar w:top="1080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96069"/>
        <w:sz w:val="17"/>
      </w:rPr>
      <w:t>每日外贸雷达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xample.eu/official-rule" TargetMode="External"/><Relationship Id="rId12" Type="http://schemas.openxmlformats.org/officeDocument/2006/relationships/hyperlink" Target="https://example.com/official-announc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每日外贸雷达</dc:title>
  <dc:subject>Actionable foreign-trade intelligence</dc:subject>
  <dc:creator/>
  <cp:keywords>trade, customs, compliance, marketplace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