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8" w:color="2E6FFF"/>
              <w:left w:val="single" w:sz="8" w:color="2E6FFF"/>
              <w:bottom w:val="single" w:sz="8" w:color="F5A623"/>
              <w:right w:val="single" w:sz="8" w:color="2E6FFF"/>
            </w:tcBorders>
            <w:shd w:val="clear" w:color="auto" w:fill="0D2E6E"/>
            <w:tcW w:type="dxa" w:w="9072"/>
          </w:tcPr>
          <w:p>
            <w:pPr>
              <w:spacing w:before="720"/>
              <w:jc w:val="center"/>
            </w:pPr>
            <w:r>
              <w:rPr>
                <w:rFonts w:ascii="Calibri Light" w:hAnsi="Calibri Light"/>
                <w:b/>
                <w:color w:val="FFFFFF"/>
                <w:sz w:val="80"/>
              </w:rPr>
              <w:t>DeFi</w:t>
            </w:r>
            <w:r>
              <w:rPr>
                <w:rFonts w:ascii="Calibri Light" w:hAnsi="Calibri Light"/>
                <w:b/>
                <w:color w:val="3B7BFF"/>
                <w:sz w:val="80"/>
              </w:rPr>
              <w:t>Tracker</w:t>
            </w:r>
          </w:p>
          <w:p>
            <w:pPr>
              <w:jc w:val="center"/>
            </w:pPr>
            <w:r>
              <w:rPr>
                <w:rFonts w:ascii="Calibri Light" w:hAnsi="Calibri Light"/>
                <w:b/>
                <w:caps/>
                <w:color w:val="F5A623"/>
                <w:sz w:val="28"/>
              </w:rPr>
              <w:t>PRODUCT REQUIREMENTS DOCUMENT</w:t>
            </w:r>
          </w:p>
          <w:p>
            <w:pPr>
              <w:jc w:val="center"/>
            </w:pPr>
            <w:r>
              <w:rPr>
                <w:rFonts w:ascii="Calibri" w:hAnsi="Calibri"/>
                <w:color w:val="9AB0C8"/>
                <w:sz w:val="22"/>
              </w:rPr>
              <w:t>On-Chain Tax Intelligence SaaS — Vollständige Produktanforderungen</w:t>
            </w:r>
          </w:p>
          <w:p>
            <w:pPr>
              <w:spacing w:after="400"/>
              <w:jc w:val="center"/>
            </w:pPr>
            <w:r>
              <w:rPr>
                <w:rFonts w:ascii="Calibri" w:hAnsi="Calibri"/>
                <w:color w:val="5A7A9E"/>
                <w:sz w:val="19"/>
              </w:rPr>
              <w:t>Version 2.0  ·  NextGen IT Solutions GmbH, Stuttgart  ·  März 2026  ·  Vertraulich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Borders>
              <w:top w:val="single" w:sz="2" w:color="C8D8E8"/>
              <w:left w:val="single" w:sz="2" w:color="C8D8E8"/>
              <w:bottom w:val="single" w:sz="2" w:color="C8D8E8"/>
              <w:right w:val="single" w:sz="2" w:color="C8D8E8"/>
            </w:tcBorders>
            <w:shd w:val="clear" w:color="auto" w:fill="E8EEF5"/>
            <w:tcW w:type="dxa" w:w="2268"/>
          </w:tcPr>
          <w:p>
            <w:pPr>
              <w:spacing w:before="80" w:after="40"/>
            </w:pPr>
            <w:r>
              <w:rPr>
                <w:rFonts w:ascii="Calibri" w:hAnsi="Calibri"/>
                <w:color w:val="5A7A9E"/>
                <w:sz w:val="17"/>
              </w:rPr>
              <w:t xml:space="preserve">Produktname  </w:t>
            </w:r>
            <w:r>
              <w:rPr>
                <w:rFonts w:ascii="Calibri" w:hAnsi="Calibri"/>
                <w:b/>
                <w:color w:val="0D2E6E"/>
                <w:sz w:val="19"/>
              </w:rPr>
              <w:t>DeFi Tracker SaaS</w:t>
            </w:r>
          </w:p>
          <w:p>
            <w:pPr>
              <w:spacing w:after="80"/>
            </w:pPr>
          </w:p>
        </w:tc>
        <w:tc>
          <w:tcPr>
            <w:tcBorders>
              <w:top w:val="single" w:sz="2" w:color="C8D8E8"/>
              <w:left w:val="single" w:sz="2" w:color="C8D8E8"/>
              <w:bottom w:val="single" w:sz="2" w:color="C8D8E8"/>
              <w:right w:val="single" w:sz="2" w:color="C8D8E8"/>
            </w:tcBorders>
            <w:shd w:val="clear" w:color="auto" w:fill="E8EEF5"/>
            <w:tcW w:type="dxa" w:w="2268"/>
          </w:tcPr>
          <w:p>
            <w:pPr>
              <w:spacing w:before="80" w:after="40"/>
            </w:pPr>
            <w:r>
              <w:rPr>
                <w:rFonts w:ascii="Calibri" w:hAnsi="Calibri"/>
                <w:color w:val="5A7A9E"/>
                <w:sz w:val="17"/>
              </w:rPr>
              <w:t xml:space="preserve">Version  </w:t>
            </w:r>
            <w:r>
              <w:rPr>
                <w:rFonts w:ascii="Calibri" w:hAnsi="Calibri"/>
                <w:b/>
                <w:color w:val="0D2E6E"/>
                <w:sz w:val="19"/>
              </w:rPr>
              <w:t>2.0</w:t>
            </w:r>
          </w:p>
          <w:p>
            <w:pPr>
              <w:spacing w:after="80"/>
            </w:pPr>
          </w:p>
        </w:tc>
        <w:tc>
          <w:tcPr>
            <w:tcBorders>
              <w:top w:val="single" w:sz="2" w:color="C8D8E8"/>
              <w:left w:val="single" w:sz="2" w:color="C8D8E8"/>
              <w:bottom w:val="single" w:sz="2" w:color="C8D8E8"/>
              <w:right w:val="single" w:sz="2" w:color="C8D8E8"/>
            </w:tcBorders>
            <w:shd w:val="clear" w:color="auto" w:fill="E8EEF5"/>
            <w:tcW w:type="dxa" w:w="2268"/>
          </w:tcPr>
          <w:p>
            <w:pPr>
              <w:spacing w:before="80" w:after="40"/>
            </w:pPr>
            <w:r>
              <w:rPr>
                <w:rFonts w:ascii="Calibri" w:hAnsi="Calibri"/>
                <w:color w:val="5A7A9E"/>
                <w:sz w:val="17"/>
              </w:rPr>
              <w:t xml:space="preserve">Datum  </w:t>
            </w:r>
            <w:r>
              <w:rPr>
                <w:rFonts w:ascii="Calibri" w:hAnsi="Calibri"/>
                <w:b/>
                <w:color w:val="0D2E6E"/>
                <w:sz w:val="19"/>
              </w:rPr>
              <w:t>März 2026</w:t>
            </w:r>
          </w:p>
          <w:p>
            <w:pPr>
              <w:spacing w:after="80"/>
            </w:pPr>
          </w:p>
        </w:tc>
        <w:tc>
          <w:tcPr>
            <w:tcBorders>
              <w:top w:val="single" w:sz="2" w:color="C8D8E8"/>
              <w:left w:val="single" w:sz="2" w:color="C8D8E8"/>
              <w:bottom w:val="single" w:sz="2" w:color="C8D8E8"/>
              <w:right w:val="single" w:sz="2" w:color="C8D8E8"/>
            </w:tcBorders>
            <w:shd w:val="clear" w:color="auto" w:fill="E8EEF5"/>
            <w:tcW w:type="dxa" w:w="2268"/>
          </w:tcPr>
          <w:p>
            <w:pPr>
              <w:spacing w:before="80" w:after="40"/>
            </w:pPr>
            <w:r>
              <w:rPr>
                <w:rFonts w:ascii="Calibri" w:hAnsi="Calibri"/>
                <w:color w:val="5A7A9E"/>
                <w:sz w:val="17"/>
              </w:rPr>
              <w:t xml:space="preserve">Status  </w:t>
            </w:r>
            <w:r>
              <w:rPr>
                <w:rFonts w:ascii="Calibri" w:hAnsi="Calibri"/>
                <w:b/>
                <w:color w:val="0D2E6E"/>
                <w:sz w:val="19"/>
              </w:rPr>
              <w:t>Freigegeben</w:t>
            </w:r>
          </w:p>
          <w:p>
            <w:pPr>
              <w:spacing w:after="80"/>
            </w:pPr>
          </w:p>
        </w:tc>
      </w:tr>
      <w:tr>
        <w:tc>
          <w:tcPr>
            <w:tcBorders>
              <w:top w:val="single" w:sz="2" w:color="C8D8E8"/>
              <w:left w:val="single" w:sz="2" w:color="C8D8E8"/>
              <w:bottom w:val="single" w:sz="2" w:color="C8D8E8"/>
              <w:right w:val="single" w:sz="2" w:color="C8D8E8"/>
            </w:tcBorders>
            <w:shd w:val="clear" w:color="auto" w:fill="E8EEF5"/>
            <w:tcW w:type="dxa" w:w="2268"/>
          </w:tcPr>
          <w:p>
            <w:pPr>
              <w:spacing w:before="80" w:after="40"/>
            </w:pPr>
            <w:r>
              <w:rPr>
                <w:rFonts w:ascii="Calibri" w:hAnsi="Calibri"/>
                <w:color w:val="5A7A9E"/>
                <w:sz w:val="17"/>
              </w:rPr>
              <w:t xml:space="preserve">Auftraggeber  </w:t>
            </w:r>
            <w:r>
              <w:rPr>
                <w:rFonts w:ascii="Calibri" w:hAnsi="Calibri"/>
                <w:b/>
                <w:color w:val="0D2E6E"/>
                <w:sz w:val="19"/>
              </w:rPr>
              <w:t>NextGen IT Solutions GmbH</w:t>
            </w:r>
          </w:p>
          <w:p>
            <w:pPr>
              <w:spacing w:after="80"/>
            </w:pPr>
          </w:p>
        </w:tc>
        <w:tc>
          <w:tcPr>
            <w:tcBorders>
              <w:top w:val="single" w:sz="2" w:color="C8D8E8"/>
              <w:left w:val="single" w:sz="2" w:color="C8D8E8"/>
              <w:bottom w:val="single" w:sz="2" w:color="C8D8E8"/>
              <w:right w:val="single" w:sz="2" w:color="C8D8E8"/>
            </w:tcBorders>
            <w:shd w:val="clear" w:color="auto" w:fill="E8EEF5"/>
            <w:tcW w:type="dxa" w:w="2268"/>
          </w:tcPr>
          <w:p>
            <w:pPr>
              <w:spacing w:before="80" w:after="40"/>
            </w:pPr>
            <w:r>
              <w:rPr>
                <w:rFonts w:ascii="Calibri" w:hAnsi="Calibri"/>
                <w:color w:val="5A7A9E"/>
                <w:sz w:val="17"/>
              </w:rPr>
              <w:t xml:space="preserve">Autor  </w:t>
            </w:r>
            <w:r>
              <w:rPr>
                <w:rFonts w:ascii="Calibri" w:hAnsi="Calibri"/>
                <w:b/>
                <w:color w:val="0D2E6E"/>
                <w:sz w:val="19"/>
              </w:rPr>
              <w:t>Product Team</w:t>
            </w:r>
          </w:p>
          <w:p>
            <w:pPr>
              <w:spacing w:after="80"/>
            </w:pPr>
          </w:p>
        </w:tc>
        <w:tc>
          <w:tcPr>
            <w:tcBorders>
              <w:top w:val="single" w:sz="2" w:color="C8D8E8"/>
              <w:left w:val="single" w:sz="2" w:color="C8D8E8"/>
              <w:bottom w:val="single" w:sz="2" w:color="C8D8E8"/>
              <w:right w:val="single" w:sz="2" w:color="C8D8E8"/>
            </w:tcBorders>
            <w:shd w:val="clear" w:color="auto" w:fill="E8EEF5"/>
            <w:tcW w:type="dxa" w:w="2268"/>
          </w:tcPr>
          <w:p>
            <w:pPr>
              <w:spacing w:before="80" w:after="40"/>
            </w:pPr>
            <w:r>
              <w:rPr>
                <w:rFonts w:ascii="Calibri" w:hAnsi="Calibri"/>
                <w:color w:val="5A7A9E"/>
                <w:sz w:val="17"/>
              </w:rPr>
              <w:t xml:space="preserve">Reviewer  </w:t>
            </w:r>
            <w:r>
              <w:rPr>
                <w:rFonts w:ascii="Calibri" w:hAnsi="Calibri"/>
                <w:b/>
                <w:color w:val="0D2E6E"/>
                <w:sz w:val="19"/>
              </w:rPr>
              <w:t>CTO + CEO</w:t>
            </w:r>
          </w:p>
          <w:p>
            <w:pPr>
              <w:spacing w:after="80"/>
            </w:pPr>
          </w:p>
        </w:tc>
        <w:tc>
          <w:tcPr>
            <w:tcBorders>
              <w:top w:val="single" w:sz="2" w:color="C8D8E8"/>
              <w:left w:val="single" w:sz="2" w:color="C8D8E8"/>
              <w:bottom w:val="single" w:sz="2" w:color="C8D8E8"/>
              <w:right w:val="single" w:sz="2" w:color="C8D8E8"/>
            </w:tcBorders>
            <w:shd w:val="clear" w:color="auto" w:fill="E8EEF5"/>
            <w:tcW w:type="dxa" w:w="2268"/>
          </w:tcPr>
          <w:p>
            <w:pPr>
              <w:spacing w:before="80" w:after="40"/>
            </w:pPr>
            <w:r>
              <w:rPr>
                <w:rFonts w:ascii="Calibri" w:hAnsi="Calibri"/>
                <w:color w:val="5A7A9E"/>
                <w:sz w:val="17"/>
              </w:rPr>
              <w:t xml:space="preserve">Gültig bis  </w:t>
            </w:r>
            <w:r>
              <w:rPr>
                <w:rFonts w:ascii="Calibri" w:hAnsi="Calibri"/>
                <w:b/>
                <w:color w:val="0D2E6E"/>
                <w:sz w:val="19"/>
              </w:rPr>
              <w:t>Sept. 2026 MVP</w:t>
            </w:r>
          </w:p>
          <w:p>
            <w:pPr>
              <w:spacing w:after="80"/>
            </w:pP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7880"/>
      </w:tblGrid>
      <w:tr>
        <w:tc>
          <w:tcPr>
            <w:tcBorders>
              <w:top w:val="single" w:sz="6" w:color="0D2E6E"/>
              <w:left w:val="single" w:sz="6" w:color="0D2E6E"/>
              <w:bottom w:val="single" w:sz="6" w:color="0D2E6E"/>
              <w:right w:val="single" w:sz="6" w:color="0D2E6E"/>
            </w:tcBorders>
            <w:shd w:val="clear" w:color="auto" w:fill="0D2E6E"/>
            <w:vAlign w:val="center"/>
            <w:tcW w:type="dxa" w:w="4536"/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36"/>
              </w:rPr>
              <w:t>01</w:t>
            </w:r>
          </w:p>
        </w:tc>
        <w:tc>
          <w:tcPr>
            <w:tcBorders>
              <w:top w:val="single" w:sz="2" w:color="DDE5F0"/>
              <w:left w:val="none" w:sz="0" w:color="auto"/>
              <w:bottom w:val="single" w:sz="2" w:color="DDE5F0"/>
              <w:right w:val="single" w:sz="2" w:color="DDE5F0"/>
            </w:tcBorders>
            <w:shd w:val="clear" w:color="auto" w:fill="F8FAFD"/>
            <w:vAlign w:val="center"/>
            <w:tcW w:type="dxa" w:w="4536"/>
          </w:tcPr>
          <w:p>
            <w:r>
              <w:rPr>
                <w:rFonts w:ascii="Calibri Light" w:hAnsi="Calibri Light"/>
                <w:b/>
                <w:color w:val="0D2E6E"/>
                <w:sz w:val="32"/>
              </w:rPr>
              <w:t>Executive Summary &amp; Product Vision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01.1  Produktvision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2" w:color="1A4FBF"/>
              <w:left w:val="thick" w:sz="16" w:color="1A4FBF"/>
              <w:bottom w:val="single" w:sz="2" w:color="1A4FBF"/>
              <w:right w:val="single" w:sz="2" w:color="1A4FBF"/>
            </w:tcBorders>
            <w:shd w:val="clear" w:color="auto" w:fill="EEF4FF"/>
            <w:tcW w:type="dxa" w:w="9072"/>
          </w:tcPr>
          <w:p>
            <w:pPr>
              <w:spacing w:before="80" w:after="20"/>
            </w:pPr>
            <w:r>
              <w:rPr>
                <w:rFonts w:ascii="Calibri" w:hAnsi="Calibri"/>
                <w:b/>
                <w:color w:val="1A4FBF"/>
                <w:sz w:val="19"/>
              </w:rPr>
              <w:t xml:space="preserve">PRODUCT VISION STATEMENT  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2E4A6E"/>
                <w:sz w:val="19"/>
              </w:rPr>
              <w:t>DeFi Tracker wird die einzige steuerliche Tracking-Lösung für Flare-Network-DeFi-Nutzer, die vollautomatisch, BMF-2025-konform und in unter 5 Minuten einen gerichtsfesten CoinTracking-Export liefert — ohne dass der Nutzer Steuerrecht verstehen muss.</w:t>
            </w:r>
          </w:p>
        </w:tc>
      </w:tr>
    </w:tbl>
    <w:p>
      <w:pPr>
        <w:spacing w:before="120" w:after="0"/>
      </w:pPr>
    </w:p>
    <w:p>
      <w:pPr>
        <w:spacing w:before="280" w:after="100"/>
      </w:pPr>
      <w:r>
        <w:rPr>
          <w:rFonts w:ascii="Calibri" w:hAnsi="Calibri"/>
          <w:b/>
          <w:color w:val="1A4FBF"/>
          <w:sz w:val="27"/>
        </w:rPr>
        <w:t>Strategische Zielsetzung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268"/>
        <w:gridCol w:w="1701"/>
        <w:gridCol w:w="1417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Ziel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Messgröße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Zeithorizont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Marktposition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First Mover im Segment Flare-DeFi-Steuer-Software DE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0 direkte Konkurrenten bei Launch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Sept. 2026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Nutzer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20.000 zahlende Nutzer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MRR ≥ € 30.000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Q2 2027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Compliance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BMF 2025 + DAC8 vollständig umgesetzt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0 bekannte Compliance-Lücken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MVP-Launch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NPS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Produkt empfehlenswert für DeFi-Community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NPS ≥ 50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Q4 2026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Time-to-Value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Aha-Moment in &lt; 5 Minuten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TtV-Median &lt; 5 Min.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MVP</w:t>
            </w:r>
          </w:p>
        </w:tc>
      </w:tr>
    </w:tbl>
    <w:p>
      <w:pPr>
        <w:spacing w:before="100" w:after="0"/>
      </w:pPr>
    </w:p>
    <w:p>
      <w:pPr>
        <w:spacing w:before="280" w:after="100"/>
      </w:pPr>
      <w:r>
        <w:rPr>
          <w:rFonts w:ascii="Calibri" w:hAnsi="Calibri"/>
          <w:b/>
          <w:color w:val="1A4FBF"/>
          <w:sz w:val="27"/>
        </w:rPr>
        <w:t>Produkt-Scope-Überblick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3969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302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Scope-Kategorie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302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In Scope (MVP Phase 1)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302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Out of Scope (Phase 1)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Netzwerke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Flare Network (EVM-kompatibel)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Ethereum Mainnet, Arbitrum, Polygon, Base, Solana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Protokolle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SparkDEX V3+V4, Ēnosys DEX+CDP, Kinetic Market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Stargate Bridge, Aave V3 (erst Phase 4)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Steuerrecht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DE (§ 22, § 23 EStG, BMF 2025)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AT (öEStG), CH (DBG), US (IRS), UK (HMRC)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Export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CoinTracking CSV (15 Spalten), PDF-Steuerreport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ELSTER XML, DATEV, Steuererklärung (Phase 4)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Nutzer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B2C Starter/Pro/Business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B2B Kanzlei-Portal, White-Label (Phase 4)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Bewertungsmethoden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FIFO (Default), LIFO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HIFO (Phase 4 mit explizitem Disclaimer)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Compliance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DSGVO, GoBD, BMF 2025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DAC8-Meldepflicht (Meldung selbst), MiCA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7880"/>
      </w:tblGrid>
      <w:tr>
        <w:tc>
          <w:tcPr>
            <w:tcBorders>
              <w:top w:val="single" w:sz="6" w:color="1A4FBF"/>
              <w:left w:val="single" w:sz="6" w:color="1A4FBF"/>
              <w:bottom w:val="single" w:sz="6" w:color="1A4FBF"/>
              <w:right w:val="single" w:sz="6" w:color="1A4FBF"/>
            </w:tcBorders>
            <w:shd w:val="clear" w:color="auto" w:fill="1A4FBF"/>
            <w:vAlign w:val="center"/>
            <w:tcW w:type="dxa" w:w="4536"/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36"/>
              </w:rPr>
              <w:t>02</w:t>
            </w:r>
          </w:p>
        </w:tc>
        <w:tc>
          <w:tcPr>
            <w:tcBorders>
              <w:top w:val="single" w:sz="2" w:color="DDE5F0"/>
              <w:left w:val="none" w:sz="0" w:color="auto"/>
              <w:bottom w:val="single" w:sz="2" w:color="DDE5F0"/>
              <w:right w:val="single" w:sz="2" w:color="DDE5F0"/>
            </w:tcBorders>
            <w:shd w:val="clear" w:color="auto" w:fill="F8FAFD"/>
            <w:vAlign w:val="center"/>
            <w:tcW w:type="dxa" w:w="4536"/>
          </w:tcPr>
          <w:p>
            <w:r>
              <w:rPr>
                <w:rFonts w:ascii="Calibri Light" w:hAnsi="Calibri Light"/>
                <w:b/>
                <w:color w:val="0D2E6E"/>
                <w:sz w:val="32"/>
              </w:rPr>
              <w:t>Stakeholder-Analyse &amp; User Personas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02.1  Stakeholder-Matrix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417"/>
        <w:gridCol w:w="1134"/>
        <w:gridCol w:w="1134"/>
        <w:gridCol w:w="3402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Stakeholder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Typ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Einfluss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Interesse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Strategie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DeFi-Privatanleger (B2C)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Primär-Nutzer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HOCH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HOCH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Co-Design; Beta-Tester; Community-Ambassadoren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Steuerberatungskanzleien (B2B)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Sekundär-Nutzer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MITTEL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HOCH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Early-Adopter-Programm; Feedback für Kanzlei-Portal-PRD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Flare Network Foundation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Technologie-Partner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MITTEL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MITTEL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Ecosystem-Partnership; Tech-Support bei API-Fragen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CoinTracking.info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Integrations-Partner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NIEDRIG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NIEDRIG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Kompatibilitäts-Tests; ggf. Certified-Partner-Status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NextGen IT Solutions GmbH (intern)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Auftraggeber / Dev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SEHR HOCH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SEHR HOCH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Vollständige Transparenz; wöchentliche Status-Reviews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Steuerrechts-Berater (extern)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Validierungs-Partner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MITTEL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NIEDRIG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Quartalsweise Regelwerk-Review; LP/CDP-Graubereich-Validierung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Hetzner (Hosting)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Infrastruktur-Partner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NIEDRIG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SEHR NIEDRIG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Betrieb sicherstellen; DSGVO-Konformität gewährleisten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02.2  User Personas</w:t>
      </w:r>
    </w:p>
    <w:p>
      <w:pPr>
        <w:spacing w:before="280" w:after="100"/>
      </w:pPr>
      <w:r>
        <w:rPr>
          <w:rFonts w:ascii="Calibri" w:hAnsi="Calibri"/>
          <w:b/>
          <w:color w:val="0D2E6E"/>
          <w:sz w:val="27"/>
        </w:rPr>
        <w:t>Kai Müller</w:t>
      </w:r>
    </w:p>
    <w:p>
      <w:pPr>
        <w:spacing w:before="4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087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453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453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Rolle / Profil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DeFi-Experte, 28, München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Tech-Level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Tech-Level: Experte (MetaMask, DeFi-native, eigener Node)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Hauptschmerzpunkt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3 Tage manuelle CSV-Aufbereitung pro Steuerjahr. CoinTracking erkennt SparkDEX V4 nicht. 847 TX ohne automatische Klassifikation.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Primärziel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Vollautomatischer CoinTracking-Export ohne manuelle Nachbearbeitung. Alle Flare-DeFi-Protokolle korrekt klassifiziert.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JTBD-Statement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Ich will alle meine Flare-TX automatisch in ein BMF-konformes Format exportieren, ohne Steuerrecht zu lernen.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Hiring-Trigger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Steuererklärungsfrist naht; CoinTracking zeigt 'Unbekannte TX'</w:t>
            </w:r>
          </w:p>
        </w:tc>
      </w:tr>
    </w:tbl>
    <w:p>
      <w:pPr>
        <w:spacing w:before="80" w:after="0"/>
      </w:pPr>
    </w:p>
    <w:p>
      <w:pPr>
        <w:spacing w:before="280" w:after="100"/>
      </w:pPr>
      <w:r>
        <w:rPr>
          <w:rFonts w:ascii="Calibri" w:hAnsi="Calibri"/>
          <w:b/>
          <w:color w:val="0D2E6E"/>
          <w:sz w:val="27"/>
        </w:rPr>
        <w:t>Lena Schneider</w:t>
      </w:r>
    </w:p>
    <w:p>
      <w:pPr>
        <w:spacing w:before="4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087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453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453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Rolle / Profil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DeFi-Einsteiger, 34, Hamburg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Tech-Level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Tech-Level: Mittel (Coinbase App, erste DeFi-Schritte)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Hauptschmerzpunkt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Versteht § 22/§ 23 EStG nicht. Angst vor Fehlern beim Finanzamt. 124 TX, davon viele FlareDrops.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Primärziel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Verstehen welche TX steuerpflichtig sind. Einfache Sprache. Kein Juristendeutsch.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JTBD-Statement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Ich will ohne Steuerfachkenntnisse sicher sein, dass ich nichts falsch mache.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Hiring-Trigger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Freundin erzählt von Finanzamtsbrief; DAC8-Meldung in den Nachrichten</w:t>
            </w:r>
          </w:p>
        </w:tc>
      </w:tr>
    </w:tbl>
    <w:p>
      <w:pPr>
        <w:spacing w:before="80" w:after="0"/>
      </w:pPr>
    </w:p>
    <w:p>
      <w:pPr>
        <w:spacing w:before="280" w:after="100"/>
      </w:pPr>
      <w:r>
        <w:rPr>
          <w:rFonts w:ascii="Calibri" w:hAnsi="Calibri"/>
          <w:b/>
          <w:color w:val="0D2E6E"/>
          <w:sz w:val="27"/>
        </w:rPr>
        <w:t>Marcus Heinz</w:t>
      </w:r>
    </w:p>
    <w:p>
      <w:pPr>
        <w:spacing w:before="4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087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453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453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Rolle / Profil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Institutioneller Anleger, 42, Frankfurt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Tech-Level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Tech-Level: Hoch (Bloomberg Terminal, 5 Wallets, 8 Chains)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Hauptschmerzpunkt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5 Wallets auf 8 Chains — kein einheitlicher P&amp;L-Überblick. Steuerberater fordert GoBD-konformen Bericht. 3.219 TX p.a.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Primärziel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Multi-Wallet-Konsolidierung. GoBD-Audit-Log. ELSTER-Export. SLA-Garantie.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JTBD-Statement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Ich will alle meine Wallets konsolidiert sehen mit prüfungsfähigem Audit-Log.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Hiring-Trigger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Steuerberater fordert strukturierten Jahresabschluss; Quartalsbericht-Frist</w:t>
            </w:r>
          </w:p>
        </w:tc>
      </w:tr>
    </w:tbl>
    <w:p>
      <w:pPr>
        <w:spacing w:before="80" w:after="0"/>
      </w:pPr>
    </w:p>
    <w:p>
      <w:pPr>
        <w:spacing w:before="280" w:after="100"/>
      </w:pPr>
      <w:r>
        <w:rPr>
          <w:rFonts w:ascii="Calibri" w:hAnsi="Calibri"/>
          <w:b/>
          <w:color w:val="0D2E6E"/>
          <w:sz w:val="27"/>
        </w:rPr>
        <w:t>Andrea Weber</w:t>
      </w:r>
    </w:p>
    <w:p>
      <w:pPr>
        <w:spacing w:before="4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087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453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453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Rolle / Profil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Steuerberaterin, 39, Stuttgart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Tech-Level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Tech-Level: Mittel (DATEV, kein Web3-Know-how)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Hauptschmerzpunkt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Mandanten bringen unstrukturierte CSV-Exporte — 4–8h manuelle Prüfung pro Mandant. Haftungsrisiko bei falscher DeFi-Klassifikation.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Primärziel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Vorgefertigte, geprüfte DeFi-Steuerberichte. Multi-Mandanten-Portal. Automatische Graubereich-Warnungen.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JTBD-Statement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Ich will DeFi-Mandanten professionell beraten ohne DeFi-Experte zu sein.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Hiring-Trigger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Erster DeFi-Mandant; Kollegin aus Netzwerk empfiehlt Tool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7880"/>
      </w:tblGrid>
      <w:tr>
        <w:tc>
          <w:tcPr>
            <w:tcBorders>
              <w:top w:val="single" w:sz="6" w:color="0A7B8A"/>
              <w:left w:val="single" w:sz="6" w:color="0A7B8A"/>
              <w:bottom w:val="single" w:sz="6" w:color="0A7B8A"/>
              <w:right w:val="single" w:sz="6" w:color="0A7B8A"/>
            </w:tcBorders>
            <w:shd w:val="clear" w:color="auto" w:fill="0A7B8A"/>
            <w:vAlign w:val="center"/>
            <w:tcW w:type="dxa" w:w="4536"/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36"/>
              </w:rPr>
              <w:t>03</w:t>
            </w:r>
          </w:p>
        </w:tc>
        <w:tc>
          <w:tcPr>
            <w:tcBorders>
              <w:top w:val="single" w:sz="2" w:color="DDE5F0"/>
              <w:left w:val="none" w:sz="0" w:color="auto"/>
              <w:bottom w:val="single" w:sz="2" w:color="DDE5F0"/>
              <w:right w:val="single" w:sz="2" w:color="DDE5F0"/>
            </w:tcBorders>
            <w:shd w:val="clear" w:color="auto" w:fill="F8FAFD"/>
            <w:vAlign w:val="center"/>
            <w:tcW w:type="dxa" w:w="4536"/>
          </w:tcPr>
          <w:p>
            <w:r>
              <w:rPr>
                <w:rFonts w:ascii="Calibri Light" w:hAnsi="Calibri Light"/>
                <w:b/>
                <w:color w:val="0D2E6E"/>
                <w:sz w:val="32"/>
              </w:rPr>
              <w:t>Epics &amp; User Stories (MoSCoW-Priorisierung)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03.1  Epic-Übersicht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2268"/>
        <w:gridCol w:w="1417"/>
        <w:gridCol w:w="1417"/>
        <w:gridCol w:w="2835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Epic-ID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Epic-Name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Story Points (gesamt)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Primäre Persona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EP-01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Wallet-Verbindung &amp; Synchronisation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13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MVP Phase 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Kai, Lena, Marcus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EP-02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Protokoll-Indexierung (SparkDEX V3/V4)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34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MVP Phase 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Kai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EP-03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Protokoll-Indexierung (Ēnosys DEX + CDP)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21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MVP Phase 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Kai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EP-04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Protokoll-Indexierung (Kinetic Market)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21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MVP Phase 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Marcus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EP-05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EUR-Kursbewertung (FTSO + Fallback)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13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MVP Phase 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Alle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EP-06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TX-Klassifikations-Engine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34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MVP Phase 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Alle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EP-07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CoinTracking-CSV-Export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13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MVP Phase 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Alle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EP-08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Portfolio-Dashboard &amp; Steuer-KPIs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13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MVP Phase 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Marcus, Kai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EP-09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Graubereich-Ampel &amp; Dual-Szenario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21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MVP Phase 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Alle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EP-10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Manuelle TX-Klassifikation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8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MVP Phase 1 (Should)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Alle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EP-11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FLR-Staking &amp; FlareDrops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8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MVP Phase 1 (Should)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Kai, Lena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EP-12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Steuerberater-Zugang (Read-only)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13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MVP Phase 1 (Should)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Andrea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EP-13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Stargate Cross-Chain-Bridge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34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Phase 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Kai (Power User)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EP-14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Aave V3 Multi-Chain-Integration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55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Phase 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Marcus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EP-15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ELSTER XML Export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21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Phase 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Alle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EP-16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Kanzlei-Portal (Multi-Mandant)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34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Phase 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Andrea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EP-17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White-Label &amp; API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21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Phase 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Andrea, Dev-Team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EP-18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HIFO + Tax-Loss-Harvesting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13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Phase 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Marcus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03.2  Must Have — MVP-Kern (Phase 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6" w:color="B71C1C"/>
              <w:left w:val="none" w:sz="0" w:color="auto"/>
              <w:bottom w:val="none" w:sz="0" w:color="auto"/>
              <w:right w:val="none" w:sz="0" w:color="auto"/>
            </w:tcBorders>
            <w:tcBorders>
              <w:top w:val="none" w:sz="0" w:color="auto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AFBFF"/>
            <w:tcW w:type="dxa" w:w="9072"/>
          </w:tcPr>
          <w:p>
            <w:pPr>
              <w:spacing w:before="100" w:after="80"/>
            </w:pPr>
            <w:r>
              <w:rPr>
                <w:rFonts w:ascii="Calibri" w:hAnsi="Calibri"/>
                <w:b/>
                <w:color w:val="0D2E6E"/>
                <w:sz w:val="21"/>
              </w:rPr>
              <w:t xml:space="preserve">US-001  </w:t>
            </w:r>
            <w:r>
              <w:rPr>
                <w:rFonts w:ascii="Calibri" w:hAnsi="Calibri"/>
                <w:b/>
                <w:color w:val="B71C1C"/>
                <w:sz w:val="19"/>
              </w:rPr>
              <w:t xml:space="preserve">MoSCoW: Must  </w:t>
            </w:r>
            <w:r>
              <w:rPr>
                <w:rFonts w:ascii="Calibri" w:hAnsi="Calibri"/>
                <w:color w:val="5A7A9E"/>
                <w:sz w:val="19"/>
              </w:rPr>
              <w:t xml:space="preserve">  Aufwand: 13 SP</w:t>
            </w:r>
          </w:p>
          <w:p>
            <w:pPr>
              <w:spacing w:before="0" w:after="120"/>
            </w:pPr>
            <w:r>
              <w:rPr>
                <w:rFonts w:ascii="Calibri" w:hAnsi="Calibri"/>
                <w:i/>
                <w:color w:val="1A2E4A"/>
                <w:sz w:val="21"/>
              </w:rPr>
              <w:t>Als DeFi-Anleger möchte ich meine EVM-Wallet-Adresse mit MetaMask oder WalletConnect verbinden und alle historischen Transaktionen automatisch importieren, damit ich keine Transaktionen manuell eingeben muss.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A7B8A"/>
                <w:sz w:val="19"/>
              </w:rPr>
              <w:t>Akzeptanzkriterien: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Wallet-Verbindung via MetaMask / WalletConnect / manuelle Adresseingabe in &lt; 30 Sekunden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Historischer TX-Import ab Wallet-Erstellungsdatum vollständig (keine Lücken)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Fortschrittsanzeige während des Imports: TX-Count + Protokoll + geschätzte Restzeit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Fehlermeldung bei unbekannten TX-Typen mit UI-geführter manueller Kategorisierung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Nur read-only-Zugang — kein Private Key gespeichert, keine Signatur-Request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Multi-Wallet-Support: bis zu 5 Wallets im Pro-Plan gleichzeitig synchronisierbar</w:t>
            </w:r>
          </w:p>
          <w:p>
            <w:pPr>
              <w:spacing w:after="60"/>
            </w:pPr>
          </w:p>
        </w:tc>
      </w:tr>
    </w:tbl>
    <w:p>
      <w:pPr>
        <w:spacing w:before="8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6" w:color="B71C1C"/>
              <w:left w:val="none" w:sz="0" w:color="auto"/>
              <w:bottom w:val="none" w:sz="0" w:color="auto"/>
              <w:right w:val="none" w:sz="0" w:color="auto"/>
            </w:tcBorders>
            <w:tcBorders>
              <w:top w:val="none" w:sz="0" w:color="auto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AFBFF"/>
            <w:tcW w:type="dxa" w:w="9072"/>
          </w:tcPr>
          <w:p>
            <w:pPr>
              <w:spacing w:before="100" w:after="80"/>
            </w:pPr>
            <w:r>
              <w:rPr>
                <w:rFonts w:ascii="Calibri" w:hAnsi="Calibri"/>
                <w:b/>
                <w:color w:val="0D2E6E"/>
                <w:sz w:val="21"/>
              </w:rPr>
              <w:t xml:space="preserve">US-002  </w:t>
            </w:r>
            <w:r>
              <w:rPr>
                <w:rFonts w:ascii="Calibri" w:hAnsi="Calibri"/>
                <w:b/>
                <w:color w:val="B71C1C"/>
                <w:sz w:val="19"/>
              </w:rPr>
              <w:t xml:space="preserve">MoSCoW: Must  </w:t>
            </w:r>
            <w:r>
              <w:rPr>
                <w:rFonts w:ascii="Calibri" w:hAnsi="Calibri"/>
                <w:color w:val="5A7A9E"/>
                <w:sz w:val="19"/>
              </w:rPr>
              <w:t xml:space="preserve">  Aufwand: 21 SP</w:t>
            </w:r>
          </w:p>
          <w:p>
            <w:pPr>
              <w:spacing w:before="0" w:after="120"/>
            </w:pPr>
            <w:r>
              <w:rPr>
                <w:rFonts w:ascii="Calibri" w:hAnsi="Calibri"/>
                <w:i/>
                <w:color w:val="1A2E4A"/>
                <w:sz w:val="21"/>
              </w:rPr>
              <w:t>Als DeFi-Anleger möchte ich alle SparkDEX V3/V4 Swaps automatisch als 'Trade' mit korrektem EUR-Kurs (FTSO) erkennen lassen, damit meine § 23 EStG Gewinn/Verlust-Berechnung automatisch korrekt ist.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A7B8A"/>
                <w:sz w:val="19"/>
              </w:rPr>
              <w:t>Akzeptanzkriterien: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Jeder Swap wird mit FTSO-EUR-Kurs zum exakten Transaktionszeitpunkt (Blockchain-Timestamp) bewertet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SparkDEX V4 Multi-Action-Transaktionen werden korrekt in Einzel-Events aufgeteilt (Gamma-Positionen, Multi-Hop)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CoinTracking-Typ 'Trade' korrekt zugewiesen; kein manueller Eingriff erforderlich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TX-Hash als unveränderlicher Nachweis im GoBD-Audit-Log gespeichert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SPRK-Farming-Rewards als 'LP Rewards' mit EUR-FTSO-Tageskurs erfasst</w:t>
            </w:r>
          </w:p>
          <w:p>
            <w:pPr>
              <w:spacing w:after="60"/>
            </w:pPr>
          </w:p>
        </w:tc>
      </w:tr>
    </w:tbl>
    <w:p>
      <w:pPr>
        <w:spacing w:before="8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6" w:color="B71C1C"/>
              <w:left w:val="none" w:sz="0" w:color="auto"/>
              <w:bottom w:val="none" w:sz="0" w:color="auto"/>
              <w:right w:val="none" w:sz="0" w:color="auto"/>
            </w:tcBorders>
            <w:tcBorders>
              <w:top w:val="none" w:sz="0" w:color="auto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AFBFF"/>
            <w:tcW w:type="dxa" w:w="9072"/>
          </w:tcPr>
          <w:p>
            <w:pPr>
              <w:spacing w:before="100" w:after="80"/>
            </w:pPr>
            <w:r>
              <w:rPr>
                <w:rFonts w:ascii="Calibri" w:hAnsi="Calibri"/>
                <w:b/>
                <w:color w:val="0D2E6E"/>
                <w:sz w:val="21"/>
              </w:rPr>
              <w:t xml:space="preserve">US-003  </w:t>
            </w:r>
            <w:r>
              <w:rPr>
                <w:rFonts w:ascii="Calibri" w:hAnsi="Calibri"/>
                <w:b/>
                <w:color w:val="B71C1C"/>
                <w:sz w:val="19"/>
              </w:rPr>
              <w:t xml:space="preserve">MoSCoW: Must  </w:t>
            </w:r>
            <w:r>
              <w:rPr>
                <w:rFonts w:ascii="Calibri" w:hAnsi="Calibri"/>
                <w:color w:val="5A7A9E"/>
                <w:sz w:val="19"/>
              </w:rPr>
              <w:t xml:space="preserve">  Aufwand: 34 SP</w:t>
            </w:r>
          </w:p>
          <w:p>
            <w:pPr>
              <w:spacing w:before="0" w:after="120"/>
            </w:pPr>
            <w:r>
              <w:rPr>
                <w:rFonts w:ascii="Calibri" w:hAnsi="Calibri"/>
                <w:i/>
                <w:color w:val="1A2E4A"/>
                <w:sz w:val="21"/>
              </w:rPr>
              <w:t>Als DeFi-Anleger möchte ich meine LP-Providing- und Farming-Aktivitäten tracken, auch wenn die steuerliche Einordnung unklar ist, damit ich alle TX dokumentiert habe und beim Steuerberater nachweisen kann.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A7B8A"/>
                <w:sz w:val="19"/>
              </w:rPr>
              <w:t>Akzeptanzkriterien: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LP Provide/Remove werden als separate Einträge mit LP-Token-Menge, Timestamp und EUR-Wert erfasst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Farming Rewards (SPRK, rFLR, WFLR) als 'LP Rewards' mit FTSO-Tageskurs erfasst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Graubereich-Hinweis (gelbe Ampel) bei jedem LP-Eintrag prominent sichtbar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Dual-Szenario-Berechnung: Modell A (Tausch → § 23 EStG) vs. Modell B (Nutzungsüberlassung → § 22 Nr. 3 EStG)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Nutzer wählt Modell; Wahl wird im GoBD-Audit-Log mit Timestamp dokumentiert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Impermanent-Loss-Berechnung: delta_V / V_hold als informativer Hinweis (kein Steuertatbestand)</w:t>
            </w:r>
          </w:p>
          <w:p>
            <w:pPr>
              <w:spacing w:after="60"/>
            </w:pPr>
          </w:p>
        </w:tc>
      </w:tr>
    </w:tbl>
    <w:p>
      <w:pPr>
        <w:spacing w:before="8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6" w:color="B71C1C"/>
              <w:left w:val="none" w:sz="0" w:color="auto"/>
              <w:bottom w:val="none" w:sz="0" w:color="auto"/>
              <w:right w:val="none" w:sz="0" w:color="auto"/>
            </w:tcBorders>
            <w:tcBorders>
              <w:top w:val="none" w:sz="0" w:color="auto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AFBFF"/>
            <w:tcW w:type="dxa" w:w="9072"/>
          </w:tcPr>
          <w:p>
            <w:pPr>
              <w:spacing w:before="100" w:after="80"/>
            </w:pPr>
            <w:r>
              <w:rPr>
                <w:rFonts w:ascii="Calibri" w:hAnsi="Calibri"/>
                <w:b/>
                <w:color w:val="0D2E6E"/>
                <w:sz w:val="21"/>
              </w:rPr>
              <w:t xml:space="preserve">US-004  </w:t>
            </w:r>
            <w:r>
              <w:rPr>
                <w:rFonts w:ascii="Calibri" w:hAnsi="Calibri"/>
                <w:b/>
                <w:color w:val="B71C1C"/>
                <w:sz w:val="19"/>
              </w:rPr>
              <w:t xml:space="preserve">MoSCoW: Must  </w:t>
            </w:r>
            <w:r>
              <w:rPr>
                <w:rFonts w:ascii="Calibri" w:hAnsi="Calibri"/>
                <w:color w:val="5A7A9E"/>
                <w:sz w:val="19"/>
              </w:rPr>
              <w:t xml:space="preserve">  Aufwand: 13 SP</w:t>
            </w:r>
          </w:p>
          <w:p>
            <w:pPr>
              <w:spacing w:before="0" w:after="120"/>
            </w:pPr>
            <w:r>
              <w:rPr>
                <w:rFonts w:ascii="Calibri" w:hAnsi="Calibri"/>
                <w:i/>
                <w:color w:val="1A2E4A"/>
                <w:sz w:val="21"/>
              </w:rPr>
              <w:t>Als DeFi-Anleger möchte ich einen CoinTracking-kompatiblen CSV-Export für ein Steuerjahr herunterladen, damit ich ihn direkt in CoinTracking importieren kann ohne manuelle Nachbearbeitung.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A7B8A"/>
                <w:sz w:val="19"/>
              </w:rPr>
              <w:t>Akzeptanzkriterien: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CSV-Export enthält alle 15 CoinTracking-Pflicht- und Optionsspalten in exakter Reihenfolge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Datum im Format DD.MM.YYYY HH:MM:SS (UTC); Dezimaltrennzeichen: Komma (DE-Format)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Alle CoinTracking-validen TX-Typen verwendet (Trade, Staking, LP Rewards, Lending Einnahme etc.)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Export wird direkt ohne Fehler von CoinTracking akzeptiert (E2E-Integrationstest als CI/CD-Schritt)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Alle EUR-Werte mit Quellenangabe (FTSO/CoinGecko/CMC/Manuell) im optionalen Comment-Feld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Pre-Export-Validierung: Warnung bei fehlenden Kursdaten oder unkategorisierten TX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Jeder Export wird versioniert gespeichert (GoBD: Unveränderlichkeit, 10 Jahre Aufbewahrung)</w:t>
            </w:r>
          </w:p>
          <w:p>
            <w:pPr>
              <w:spacing w:after="60"/>
            </w:pPr>
          </w:p>
        </w:tc>
      </w:tr>
    </w:tbl>
    <w:p>
      <w:pPr>
        <w:spacing w:before="8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6" w:color="B71C1C"/>
              <w:left w:val="none" w:sz="0" w:color="auto"/>
              <w:bottom w:val="none" w:sz="0" w:color="auto"/>
              <w:right w:val="none" w:sz="0" w:color="auto"/>
            </w:tcBorders>
            <w:tcBorders>
              <w:top w:val="none" w:sz="0" w:color="auto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AFBFF"/>
            <w:tcW w:type="dxa" w:w="9072"/>
          </w:tcPr>
          <w:p>
            <w:pPr>
              <w:spacing w:before="100" w:after="80"/>
            </w:pPr>
            <w:r>
              <w:rPr>
                <w:rFonts w:ascii="Calibri" w:hAnsi="Calibri"/>
                <w:b/>
                <w:color w:val="0D2E6E"/>
                <w:sz w:val="21"/>
              </w:rPr>
              <w:t xml:space="preserve">US-005  </w:t>
            </w:r>
            <w:r>
              <w:rPr>
                <w:rFonts w:ascii="Calibri" w:hAnsi="Calibri"/>
                <w:b/>
                <w:color w:val="B71C1C"/>
                <w:sz w:val="19"/>
              </w:rPr>
              <w:t xml:space="preserve">MoSCoW: Must  </w:t>
            </w:r>
            <w:r>
              <w:rPr>
                <w:rFonts w:ascii="Calibri" w:hAnsi="Calibri"/>
                <w:color w:val="5A7A9E"/>
                <w:sz w:val="19"/>
              </w:rPr>
              <w:t xml:space="preserve">  Aufwand: 21 SP</w:t>
            </w:r>
          </w:p>
          <w:p>
            <w:pPr>
              <w:spacing w:before="0" w:after="120"/>
            </w:pPr>
            <w:r>
              <w:rPr>
                <w:rFonts w:ascii="Calibri" w:hAnsi="Calibri"/>
                <w:i/>
                <w:color w:val="1A2E4A"/>
                <w:sz w:val="21"/>
              </w:rPr>
              <w:t>Als DeFi-Anleger möchte ich Kinetic-Lending-Transaktionen (Supply, Borrow, Repay, Liquidation) korrekt erfassen, damit Zinserträge als § 22 Nr. 3 EStG und Liquidationen als § 23 EStG korrekt ausgewiesen werden.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A7B8A"/>
                <w:sz w:val="19"/>
              </w:rPr>
              <w:t>Akzeptanzkriterien: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Supply/Withdraw korrekt als 'Lending Einnahme' / 'Remove Liquidity' klassifiziert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kToken-Akkumulierung (kFLR, kUSDT) wird automatisch berechnet; Zinsen aus kToken-Delta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Zinserträge als 'Lending Einnahme' mit EUR-FTSO-Tageskurs beim Claiming-Moment erfasst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Liquidationsereignisse als eigene TX-Gruppe mit Sonder-Hinweis (rote Ampel) markiert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Health-Factor-Events aus Kinetic-Compound-ABI als informativer Hinweis im Tool sichtbar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Borrow-Transaktionen: Neutraler Transfer (keine steuerliche Wirkung), dokumentiert</w:t>
            </w:r>
          </w:p>
          <w:p>
            <w:pPr>
              <w:spacing w:after="60"/>
            </w:pPr>
          </w:p>
        </w:tc>
      </w:tr>
    </w:tbl>
    <w:p>
      <w:pPr>
        <w:spacing w:before="8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6" w:color="B71C1C"/>
              <w:left w:val="none" w:sz="0" w:color="auto"/>
              <w:bottom w:val="none" w:sz="0" w:color="auto"/>
              <w:right w:val="none" w:sz="0" w:color="auto"/>
            </w:tcBorders>
            <w:tcBorders>
              <w:top w:val="none" w:sz="0" w:color="auto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AFBFF"/>
            <w:tcW w:type="dxa" w:w="9072"/>
          </w:tcPr>
          <w:p>
            <w:pPr>
              <w:spacing w:before="100" w:after="80"/>
            </w:pPr>
            <w:r>
              <w:rPr>
                <w:rFonts w:ascii="Calibri" w:hAnsi="Calibri"/>
                <w:b/>
                <w:color w:val="0D2E6E"/>
                <w:sz w:val="21"/>
              </w:rPr>
              <w:t xml:space="preserve">US-006  </w:t>
            </w:r>
            <w:r>
              <w:rPr>
                <w:rFonts w:ascii="Calibri" w:hAnsi="Calibri"/>
                <w:b/>
                <w:color w:val="B71C1C"/>
                <w:sz w:val="19"/>
              </w:rPr>
              <w:t xml:space="preserve">MoSCoW: Must  </w:t>
            </w:r>
            <w:r>
              <w:rPr>
                <w:rFonts w:ascii="Calibri" w:hAnsi="Calibri"/>
                <w:color w:val="5A7A9E"/>
                <w:sz w:val="19"/>
              </w:rPr>
              <w:t xml:space="preserve">  Aufwand: 13 SP</w:t>
            </w:r>
          </w:p>
          <w:p>
            <w:pPr>
              <w:spacing w:before="0" w:after="120"/>
            </w:pPr>
            <w:r>
              <w:rPr>
                <w:rFonts w:ascii="Calibri" w:hAnsi="Calibri"/>
                <w:i/>
                <w:color w:val="1A2E4A"/>
                <w:sz w:val="21"/>
              </w:rPr>
              <w:t>Als DeFi-Anleger möchte ich mein gesamtes Portfolio mit P&amp;L-Übersicht und offenen Steuerpositionen sehen, damit ich jederzeit den steuerlichen Status meiner Investitionen kenne.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A7B8A"/>
                <w:sz w:val="19"/>
              </w:rPr>
              <w:t>Akzeptanzkriterien: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Dashboard zeigt: Gesamt-P&amp;L, realisierte Gewinne/Verluste, offene Steuerpositionen (live FTSO-Kurse)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Freigrenze-Indikator: Fortschrittsbalken für § 23 (€ 1.000/Jahr) und § 22 Nr. 3 (€ 256/Jahr)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Haltefrist-Tracker: Welche Assets nähern sich dem 1-Jahres-Datum (Countdown-Anzeige)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Ampel-System: Alle TX farblich nach Klassifikationsstatus (Grün/Gelb/Rot/Grau) sortiert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Mobile-responsive Dashboard (ab 320px nutzbar); WCAG 2.2 AA konform</w:t>
            </w:r>
          </w:p>
          <w:p>
            <w:pPr>
              <w:spacing w:after="60"/>
            </w:pPr>
          </w:p>
        </w:tc>
      </w:tr>
    </w:tbl>
    <w:p>
      <w:pPr>
        <w:spacing w:before="100" w:after="0"/>
      </w:pPr>
    </w:p>
    <w:p>
      <w:r>
        <w:br w:type="page"/>
      </w: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03.3  Should Have (Phase 1 — nachrangig)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6" w:color="E65100"/>
              <w:left w:val="none" w:sz="0" w:color="auto"/>
              <w:bottom w:val="none" w:sz="0" w:color="auto"/>
              <w:right w:val="none" w:sz="0" w:color="auto"/>
            </w:tcBorders>
            <w:tcBorders>
              <w:top w:val="none" w:sz="0" w:color="auto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AFBFF"/>
            <w:tcW w:type="dxa" w:w="9072"/>
          </w:tcPr>
          <w:p>
            <w:pPr>
              <w:spacing w:before="100" w:after="80"/>
            </w:pPr>
            <w:r>
              <w:rPr>
                <w:rFonts w:ascii="Calibri" w:hAnsi="Calibri"/>
                <w:b/>
                <w:color w:val="0D2E6E"/>
                <w:sz w:val="21"/>
              </w:rPr>
              <w:t xml:space="preserve">US-007  </w:t>
            </w:r>
            <w:r>
              <w:rPr>
                <w:rFonts w:ascii="Calibri" w:hAnsi="Calibri"/>
                <w:b/>
                <w:color w:val="E65100"/>
                <w:sz w:val="19"/>
              </w:rPr>
              <w:t xml:space="preserve">MoSCoW: Should  </w:t>
            </w:r>
            <w:r>
              <w:rPr>
                <w:rFonts w:ascii="Calibri" w:hAnsi="Calibri"/>
                <w:color w:val="5A7A9E"/>
                <w:sz w:val="19"/>
              </w:rPr>
              <w:t xml:space="preserve">  Aufwand: 8 SP</w:t>
            </w:r>
          </w:p>
          <w:p>
            <w:pPr>
              <w:spacing w:before="0" w:after="120"/>
            </w:pPr>
            <w:r>
              <w:rPr>
                <w:rFonts w:ascii="Calibri" w:hAnsi="Calibri"/>
                <w:i/>
                <w:color w:val="1A2E4A"/>
                <w:sz w:val="21"/>
              </w:rPr>
              <w:t>Als DeFi-Anleger möchte ich FLR-Staking-Rewards und FlareDrops automatisch als § 22 Nr. 3 EStG Einkünfte tracken, damit ich auch meine passiven Einkünfte vollständig dokumentiert habe.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A7B8A"/>
                <w:sz w:val="19"/>
              </w:rPr>
              <w:t>Akzeptanzkriterien: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FlareDrops werden monatlich automatisch importiert (via Flare-API Delegation-Events)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Claiming-Zeitpunkt wird als Besteuerungszeitpunkt gesetzt (BMF 2025 Rz. 24 — Zufluss beim Claiming)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EUR-Bewertung via FTSO zum exakten Claiming-Zeitpunkt (Blockchain-Timestamp)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CoinTracking-Typ 'Staking' oder 'Airdrop' gemäß BMF-2025-Mapping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Unterscheidung: FlareDrops (§ 22 Nr. 3) vs. FLR-Delegation-Rewards (§ 22 Nr. 3)</w:t>
            </w:r>
          </w:p>
          <w:p>
            <w:pPr>
              <w:spacing w:after="60"/>
            </w:pPr>
          </w:p>
        </w:tc>
      </w:tr>
    </w:tbl>
    <w:p>
      <w:pPr>
        <w:spacing w:before="8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6" w:color="E65100"/>
              <w:left w:val="none" w:sz="0" w:color="auto"/>
              <w:bottom w:val="none" w:sz="0" w:color="auto"/>
              <w:right w:val="none" w:sz="0" w:color="auto"/>
            </w:tcBorders>
            <w:tcBorders>
              <w:top w:val="none" w:sz="0" w:color="auto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AFBFF"/>
            <w:tcW w:type="dxa" w:w="9072"/>
          </w:tcPr>
          <w:p>
            <w:pPr>
              <w:spacing w:before="100" w:after="80"/>
            </w:pPr>
            <w:r>
              <w:rPr>
                <w:rFonts w:ascii="Calibri" w:hAnsi="Calibri"/>
                <w:b/>
                <w:color w:val="0D2E6E"/>
                <w:sz w:val="21"/>
              </w:rPr>
              <w:t xml:space="preserve">US-008  </w:t>
            </w:r>
            <w:r>
              <w:rPr>
                <w:rFonts w:ascii="Calibri" w:hAnsi="Calibri"/>
                <w:b/>
                <w:color w:val="E65100"/>
                <w:sz w:val="19"/>
              </w:rPr>
              <w:t xml:space="preserve">MoSCoW: Should  </w:t>
            </w:r>
            <w:r>
              <w:rPr>
                <w:rFonts w:ascii="Calibri" w:hAnsi="Calibri"/>
                <w:color w:val="5A7A9E"/>
                <w:sz w:val="19"/>
              </w:rPr>
              <w:t xml:space="preserve">  Aufwand: 8 SP</w:t>
            </w:r>
          </w:p>
          <w:p>
            <w:pPr>
              <w:spacing w:before="0" w:after="120"/>
            </w:pPr>
            <w:r>
              <w:rPr>
                <w:rFonts w:ascii="Calibri" w:hAnsi="Calibri"/>
                <w:i/>
                <w:color w:val="1A2E4A"/>
                <w:sz w:val="21"/>
              </w:rPr>
              <w:t>Als DeFi-Anleger möchte ich unbekannte oder nicht automatisch erkannte Transaktionen manuell klassifizieren, damit keine TX verloren geht und das Audit-Log vollständig ist.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A7B8A"/>
                <w:sz w:val="19"/>
              </w:rPr>
              <w:t>Akzeptanzkriterien: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UI-geführter Kategorisierungs-Workflow für rote Ampel-TX (unbekannte Typen)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Alle CoinTracking-validen TX-Typen als Dropdown verfügbar (35+ Typen)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Manuelle Einträge als 'Manuell kategorisiert' in Audit-Log markiert (Zeitstempel + Nutzer-ID)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Bulk-Klassifikation: Gleiche unbekannte TX-Muster können als Gruppe klassifiziert werden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Warnhinweis: 'Manuelle Klassifikation — bitte Steuerberater konsultieren'</w:t>
            </w:r>
          </w:p>
          <w:p>
            <w:pPr>
              <w:spacing w:after="60"/>
            </w:pPr>
          </w:p>
        </w:tc>
      </w:tr>
    </w:tbl>
    <w:p>
      <w:pPr>
        <w:spacing w:before="8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6" w:color="E65100"/>
              <w:left w:val="none" w:sz="0" w:color="auto"/>
              <w:bottom w:val="none" w:sz="0" w:color="auto"/>
              <w:right w:val="none" w:sz="0" w:color="auto"/>
            </w:tcBorders>
            <w:tcBorders>
              <w:top w:val="none" w:sz="0" w:color="auto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AFBFF"/>
            <w:tcW w:type="dxa" w:w="9072"/>
          </w:tcPr>
          <w:p>
            <w:pPr>
              <w:spacing w:before="100" w:after="80"/>
            </w:pPr>
            <w:r>
              <w:rPr>
                <w:rFonts w:ascii="Calibri" w:hAnsi="Calibri"/>
                <w:b/>
                <w:color w:val="0D2E6E"/>
                <w:sz w:val="21"/>
              </w:rPr>
              <w:t xml:space="preserve">US-009  </w:t>
            </w:r>
            <w:r>
              <w:rPr>
                <w:rFonts w:ascii="Calibri" w:hAnsi="Calibri"/>
                <w:b/>
                <w:color w:val="E65100"/>
                <w:sz w:val="19"/>
              </w:rPr>
              <w:t xml:space="preserve">MoSCoW: Should  </w:t>
            </w:r>
            <w:r>
              <w:rPr>
                <w:rFonts w:ascii="Calibri" w:hAnsi="Calibri"/>
                <w:color w:val="5A7A9E"/>
                <w:sz w:val="19"/>
              </w:rPr>
              <w:t xml:space="preserve">  Aufwand: 13 SP</w:t>
            </w:r>
          </w:p>
          <w:p>
            <w:pPr>
              <w:spacing w:before="0" w:after="120"/>
            </w:pPr>
            <w:r>
              <w:rPr>
                <w:rFonts w:ascii="Calibri" w:hAnsi="Calibri"/>
                <w:i/>
                <w:color w:val="1A2E4A"/>
                <w:sz w:val="21"/>
              </w:rPr>
              <w:t>Als Steuerberater möchte ich alle Transaktionen eines Mandanten auf Plausibilität prüfen und kommentieren, damit ich meinen Mandanten gezielt auf steuerliche Risiken hinweisen kann.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A7B8A"/>
                <w:sz w:val="19"/>
              </w:rPr>
              <w:t>Akzeptanzkriterien: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Read-only Steuerberater-Zugang via Token-Link (ohne eigene DeFi-Tracker-Anmeldung)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Kommentar-Funktion pro Transaktion mit Zeitstempel und Berater-Initialen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Statusmarkierung: 'OK', 'Prüfen', 'Risiko' (farblich codiert)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PDF-Steuerberater-Report mit allen Kommentaren und Markierungen exportierbar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Berater-Zugriffstoken läuft nach 90 Tagen automatisch ab (Sicherheit)</w:t>
            </w:r>
          </w:p>
          <w:p>
            <w:pPr>
              <w:spacing w:after="60"/>
            </w:pP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03.4  Could Have (Phase 4 — Erweiterung)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6" w:color="1A4FBF"/>
              <w:left w:val="none" w:sz="0" w:color="auto"/>
              <w:bottom w:val="none" w:sz="0" w:color="auto"/>
              <w:right w:val="none" w:sz="0" w:color="auto"/>
            </w:tcBorders>
            <w:tcBorders>
              <w:top w:val="none" w:sz="0" w:color="auto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AFBFF"/>
            <w:tcW w:type="dxa" w:w="9072"/>
          </w:tcPr>
          <w:p>
            <w:pPr>
              <w:spacing w:before="100" w:after="80"/>
            </w:pPr>
            <w:r>
              <w:rPr>
                <w:rFonts w:ascii="Calibri" w:hAnsi="Calibri"/>
                <w:b/>
                <w:color w:val="0D2E6E"/>
                <w:sz w:val="21"/>
              </w:rPr>
              <w:t xml:space="preserve">US-010  </w:t>
            </w:r>
            <w:r>
              <w:rPr>
                <w:rFonts w:ascii="Calibri" w:hAnsi="Calibri"/>
                <w:b/>
                <w:color w:val="1A4FBF"/>
                <w:sz w:val="19"/>
              </w:rPr>
              <w:t xml:space="preserve">MoSCoW: Could  </w:t>
            </w:r>
            <w:r>
              <w:rPr>
                <w:rFonts w:ascii="Calibri" w:hAnsi="Calibri"/>
                <w:color w:val="5A7A9E"/>
                <w:sz w:val="19"/>
              </w:rPr>
              <w:t xml:space="preserve">  Aufwand: 34 SP</w:t>
            </w:r>
          </w:p>
          <w:p>
            <w:pPr>
              <w:spacing w:before="0" w:after="120"/>
            </w:pPr>
            <w:r>
              <w:rPr>
                <w:rFonts w:ascii="Calibri" w:hAnsi="Calibri"/>
                <w:i/>
                <w:color w:val="1A2E4A"/>
                <w:sz w:val="21"/>
              </w:rPr>
              <w:t>Als Power User möchte ich Stargate-Bridge-Transaktionen korrekt chain-übergreifend verknüpfen, damit keine doppelten Einnahmen/Ausgaben in meiner Steuerrechnung entstehen.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A7B8A"/>
                <w:sz w:val="19"/>
              </w:rPr>
              <w:t>Akzeptanzkriterien: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LayerZero Message-ID als Cross-Chain-Anker für TX-Matching (Quelle + Ziel-Chain)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Beide TX-Seiten (Source-Chain + Destination-Chain) als ein zusammengehöriges Ereignis dargestellt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Steuerneutrale Bridge-Transfers korrekt als 'Transfer (intern)' klassifiziert (kein Veräußerungsvorgang)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Matching-Toleranz: ± 5 Minuten für verzögerte Destination-Chain-Bestätigung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Fallback: Manuelle Verknüpfung wenn LayerZero-API kein Match liefert</w:t>
            </w:r>
          </w:p>
          <w:p>
            <w:pPr>
              <w:spacing w:after="60"/>
            </w:pPr>
          </w:p>
        </w:tc>
      </w:tr>
    </w:tbl>
    <w:p>
      <w:pPr>
        <w:spacing w:before="8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6" w:color="1A4FBF"/>
              <w:left w:val="none" w:sz="0" w:color="auto"/>
              <w:bottom w:val="none" w:sz="0" w:color="auto"/>
              <w:right w:val="none" w:sz="0" w:color="auto"/>
            </w:tcBorders>
            <w:tcBorders>
              <w:top w:val="none" w:sz="0" w:color="auto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AFBFF"/>
            <w:tcW w:type="dxa" w:w="9072"/>
          </w:tcPr>
          <w:p>
            <w:pPr>
              <w:spacing w:before="100" w:after="80"/>
            </w:pPr>
            <w:r>
              <w:rPr>
                <w:rFonts w:ascii="Calibri" w:hAnsi="Calibri"/>
                <w:b/>
                <w:color w:val="0D2E6E"/>
                <w:sz w:val="21"/>
              </w:rPr>
              <w:t xml:space="preserve">US-011  </w:t>
            </w:r>
            <w:r>
              <w:rPr>
                <w:rFonts w:ascii="Calibri" w:hAnsi="Calibri"/>
                <w:b/>
                <w:color w:val="1A4FBF"/>
                <w:sz w:val="19"/>
              </w:rPr>
              <w:t xml:space="preserve">MoSCoW: Could  </w:t>
            </w:r>
            <w:r>
              <w:rPr>
                <w:rFonts w:ascii="Calibri" w:hAnsi="Calibri"/>
                <w:color w:val="5A7A9E"/>
                <w:sz w:val="19"/>
              </w:rPr>
              <w:t xml:space="preserve">  Aufwand: 21 SP</w:t>
            </w:r>
          </w:p>
          <w:p>
            <w:pPr>
              <w:spacing w:before="0" w:after="120"/>
            </w:pPr>
            <w:r>
              <w:rPr>
                <w:rFonts w:ascii="Calibri" w:hAnsi="Calibri"/>
                <w:i/>
                <w:color w:val="1A2E4A"/>
                <w:sz w:val="21"/>
              </w:rPr>
              <w:t>Als DeFi-Anleger möchte ich einen ELSTER-XML-Export direkt aus dem Tool generieren, damit ich meine Anlage SO ohne CoinTracking als Zwischenschritt einreichen kann.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A7B8A"/>
                <w:sz w:val="19"/>
              </w:rPr>
              <w:t>Akzeptanzkriterien: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ELSTER-kompatibles XML-Format (ElsterFormular; Datenart AnlageSOAusfuellhilfe)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Anlage SO vorausgefüllt: alle § 22 Nr. 3 und § 23 EStG Positionen mit korrekten Feldbezeichnungen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Schema-Validierung gegen ELSTER-XSD vor Download (0 Validierungsfehler)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Pflicht-Disclaimer: 'Dieses XML ist kein Ersatz für professionelle Steuerberatung'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Nur für Steuerjahr DE (01.01.–31.12.); keine AT/CH-Formulare in Phase 4</w:t>
            </w:r>
          </w:p>
          <w:p>
            <w:pPr>
              <w:spacing w:after="60"/>
            </w:pPr>
          </w:p>
        </w:tc>
      </w:tr>
    </w:tbl>
    <w:p>
      <w:pPr>
        <w:spacing w:before="8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6" w:color="1A4FBF"/>
              <w:left w:val="none" w:sz="0" w:color="auto"/>
              <w:bottom w:val="none" w:sz="0" w:color="auto"/>
              <w:right w:val="none" w:sz="0" w:color="auto"/>
            </w:tcBorders>
            <w:tcBorders>
              <w:top w:val="none" w:sz="0" w:color="auto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AFBFF"/>
            <w:tcW w:type="dxa" w:w="9072"/>
          </w:tcPr>
          <w:p>
            <w:pPr>
              <w:spacing w:before="100" w:after="80"/>
            </w:pPr>
            <w:r>
              <w:rPr>
                <w:rFonts w:ascii="Calibri" w:hAnsi="Calibri"/>
                <w:b/>
                <w:color w:val="0D2E6E"/>
                <w:sz w:val="21"/>
              </w:rPr>
              <w:t xml:space="preserve">US-012  </w:t>
            </w:r>
            <w:r>
              <w:rPr>
                <w:rFonts w:ascii="Calibri" w:hAnsi="Calibri"/>
                <w:b/>
                <w:color w:val="1A4FBF"/>
                <w:sz w:val="19"/>
              </w:rPr>
              <w:t xml:space="preserve">MoSCoW: Could  </w:t>
            </w:r>
            <w:r>
              <w:rPr>
                <w:rFonts w:ascii="Calibri" w:hAnsi="Calibri"/>
                <w:color w:val="5A7A9E"/>
                <w:sz w:val="19"/>
              </w:rPr>
              <w:t xml:space="preserve">  Aufwand: 13 SP</w:t>
            </w:r>
          </w:p>
          <w:p>
            <w:pPr>
              <w:spacing w:before="0" w:after="120"/>
            </w:pPr>
            <w:r>
              <w:rPr>
                <w:rFonts w:ascii="Calibri" w:hAnsi="Calibri"/>
                <w:i/>
                <w:color w:val="1A2E4A"/>
                <w:sz w:val="21"/>
              </w:rPr>
              <w:t>Als Steuerberater möchte ich das Tool als White-Label für meine Kanzlei einsetzen, damit meine Mandanten eine einheitliche Kanzlei-Experience erhalten.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A7B8A"/>
                <w:sz w:val="19"/>
              </w:rPr>
              <w:t>Akzeptanzkriterien: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Logo, Primärfarbe und Subdomain (kanzlei.defi-tracker.de) konfigurierbar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Kanzlei-Datenschutzerklärung als iframe oder redirect integrierbar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Multi-Mandanten-Dashboard: Übersicht aller Mandanten-Portfolios mit Ampel-Status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White-Label ohne DeFi-Tracker-Branding im Nutzer-UI (nur 'Powered by DeFi Tracker' im Footer)</w:t>
            </w:r>
          </w:p>
          <w:p>
            <w:pPr>
              <w:pStyle w:val="ListBullet"/>
              <w:spacing w:before="0" w:after="20"/>
            </w:pPr>
            <w:r>
              <w:rPr>
                <w:rFonts w:ascii="Calibri" w:hAnsi="Calibri"/>
                <w:color w:val="2E4A6E"/>
                <w:sz w:val="19"/>
              </w:rPr>
              <w:t>Mindestlaufzeit: 12 Monate; Setup-Fee: € 5.000–15.000 + Kanzlei-Monatsgebühr</w:t>
            </w:r>
          </w:p>
          <w:p>
            <w:pPr>
              <w:spacing w:after="60"/>
            </w:pPr>
          </w:p>
        </w:tc>
      </w:tr>
    </w:tbl>
    <w:p>
      <w:pPr>
        <w:spacing w:before="100" w:after="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7880"/>
      </w:tblGrid>
      <w:tr>
        <w:tc>
          <w:tcPr>
            <w:tcBorders>
              <w:top w:val="single" w:sz="6" w:color="2E6FFF"/>
              <w:left w:val="single" w:sz="6" w:color="2E6FFF"/>
              <w:bottom w:val="single" w:sz="6" w:color="2E6FFF"/>
              <w:right w:val="single" w:sz="6" w:color="2E6FFF"/>
            </w:tcBorders>
            <w:shd w:val="clear" w:color="auto" w:fill="2E6FFF"/>
            <w:vAlign w:val="center"/>
            <w:tcW w:type="dxa" w:w="4536"/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36"/>
              </w:rPr>
              <w:t>04</w:t>
            </w:r>
          </w:p>
        </w:tc>
        <w:tc>
          <w:tcPr>
            <w:tcBorders>
              <w:top w:val="single" w:sz="2" w:color="DDE5F0"/>
              <w:left w:val="none" w:sz="0" w:color="auto"/>
              <w:bottom w:val="single" w:sz="2" w:color="DDE5F0"/>
              <w:right w:val="single" w:sz="2" w:color="DDE5F0"/>
            </w:tcBorders>
            <w:shd w:val="clear" w:color="auto" w:fill="F8FAFD"/>
            <w:vAlign w:val="center"/>
            <w:tcW w:type="dxa" w:w="4536"/>
          </w:tcPr>
          <w:p>
            <w:r>
              <w:rPr>
                <w:rFonts w:ascii="Calibri Light" w:hAnsi="Calibri Light"/>
                <w:b/>
                <w:color w:val="0D2E6E"/>
                <w:sz w:val="32"/>
              </w:rPr>
              <w:t>Funktionale Anforderungen (Feature Specifications)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04.1  Wallet-Verbindung &amp; Synchronisation (EP-01)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1020"/>
        <w:gridCol w:w="3798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FR-ID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Anforderung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Priorität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Akzeptanzkriterium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FR-01-01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Unterstützung von MetaMask (window.ethereum) als primäre Wallet-Verbindungsmethode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KRITISCH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MetaMask-Verbindung in &lt; 10s; keine Signatur-Request; kein Private Key übertragen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FR-01-02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WalletConnect v2 (EVM-kompatibel) als alternative Verbindungsmethode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KRITISCH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WalletConnect-Session aufgebaut in &lt; 30s; QR-Code korrekt generiert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FR-01-03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Manuelle Adresseingabe als dritte Option (Public Key / ENS)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HOCH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Valide EVM-Adresse (0x + 40 Hex) oder ENS-Name akzeptiert; ENS resolved on-chain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FR-01-04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Multi-Wallet-Support: Starter: 1, Pro: 5, Business/Kanzlei: 20 Wallets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KRITISCH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Wallet-Limit technisch enforced; Upgrade-Prompt bei Überschreitung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FR-01-05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Historische TX-Synchronisation ab Wallet-Erstellungsdatum (vollständig, keine Lücken)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KRITISCH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100% der TX ab Block 0 der Wallet importiert; validiert via Flarescan-API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FR-01-06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Real-Time-Monitoring via WebSocket für neue Blöcke (&lt; 30s Latenz)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HOCH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Neue TX erscheinen im Dashboard innerhalb von 30s nach Blockchain-Bestätigung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FR-01-07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Sync-Fortschrittsanzeige: TX-Count, Protokoll, geschätzte Restzeit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HOCH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Progress-Bar oder Spinner mit realem Fortschritt; kein fake Loading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FR-01-08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Fehlerbehandlung: Unbekannte TX → Manuelle Kategorisierung via In-App-UI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KRITISCH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Rote Ampel erscheint; UI-Flow führt Nutzer zur Kategorisierung; kein Abbruch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FR-01-09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Re-Sync-Button für manuelle Aktualisierung (on-demand)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MITTEL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Re-Sync löst vollständigen Delta-Import seit letztem Sync aus (kein Duplikat-Risiko)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04.2  Protokoll-Indexierung: SparkDEX V3 + V4 (EP-02)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1984"/>
        <w:gridCol w:w="1417"/>
        <w:gridCol w:w="3118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FR-ID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TX-Typ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ABI-Event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CoinTracking-Typ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Steuerrecht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FR-02-01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Swap (V3)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Swap(address,int256,int256,uint160,uint128,int24)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Trade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§ 23 EStG — Tauschgeschäft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FR-02-02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Swap (V4 Multi-Action)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Flash, Collect, Mint, Burn aggregiert zu Swap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Trade (aufgeteilt)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§ 23 EStG — jede Teil-TX separat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FR-02-03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LP Provide (V3/V4)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Mint(address,int24,int24,uint128,uint256,uint256)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Add Liquidity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Graubereich — Dual-Szenario Pflicht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FR-02-04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LP Remove (V3/V4)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Burn(address,int24,int24,uint128,uint256,uint256)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Remove Liquidity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Graubereich — Dual-Szenario Pflicht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FR-02-05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Farming Reward Claim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Collect(address,address,uint128,uint128)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LP Rewards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§ 22 Nr. 3 EStG — Sonstige Einkünfte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FR-02-06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SPRK-Staking-Reward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Transfer von SPRK-Reward-Contract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Staking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§ 22 Nr. 3 EStG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FR-02-07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Perps Long/Short öffnen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OpenPosition(uint256,address,bool,uint256,...)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Margin Trade / Derivate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§ 23 EStG (Termingeschäft)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FR-02-08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Perps Long/Short schließen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ClosePosition(uint256,int256,...)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Margin Trade / Derivate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§ 23 EStG — Realisierter G/V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FR-02-09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Gamma-Position (konzentrierte Liquidität V4)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Compound + Rebalance Events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Add+Remove Liquidity kombiniert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Graubereich — Dual-Szenario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FR-02-10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Token-Approval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Approve(address,uint256)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Keine (steuerlich irrelevant)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Steuerneutral — Grau-Ampel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04.3  Protokoll-Indexierung: Ēnosys DEX + CDP (EP-03)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1701"/>
        <w:gridCol w:w="1020"/>
        <w:gridCol w:w="3515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FR-ID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TX-Typ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Steuerliche Behandlung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Graubereich?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Dual-Szenario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FR-03-01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DEX V3 Swap (Ēnosys AMM)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§ 23 EStG Tauschgeschäft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NEIN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—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FR-03-02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LP Provide (Ēnosys V3)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Graubereich — analog SparkDEX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JA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Modell A: Tausch; Modell B: Nutzungsüberlassung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FR-03-03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LP Remove (Ēnosys V3)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Graubereich — Rückgabe LP-Token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JA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Modell A: Gegenläufiger Tausch; Modell B: Rückgabe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FR-03-04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CDP öffnen (Loans — FXRP → Stablecoin)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Unklar: Darlehen vs. Tausch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JA (besonders kritisch)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Modell A: Tausch → § 23 EStG; Modell B: Darlehen → steuerneutral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FR-03-05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Stablecoin Mint via CDP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Analog CDP-Eröffnung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JA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Dual-Szenario mit prominentem Hinweis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FR-03-06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CDP schließen + Collateral zurück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Rückgabe Collateral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JA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Dual-Szenario Umkehr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FR-03-07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Liquidation (CDP)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§ 23 EStG — Zwangsveräußerung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NEIN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Klarer TX-Typ; Sonder-Hinweis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FR-03-08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Bridge (Ēnosys → andere Chain)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Steuerneutral (interner Transfer)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NEIN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Transfer intern — kein Tausch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FR-03-09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ENSY/APS/HLN Farming-Rewards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§ 22 Nr. 3 EStG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NEIN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LP Rewards zum Claiming-Zeitpunkt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04.4  EUR-Kursbewertungs-Engine (EP-05)</w:t>
      </w:r>
    </w:p>
    <w:p>
      <w:pPr>
        <w:spacing w:before="40" w:after="80"/>
      </w:pPr>
      <w:r>
        <w:rPr>
          <w:rFonts w:ascii="Calibri" w:hAnsi="Calibri"/>
          <w:color w:val="1A2E4A"/>
          <w:sz w:val="21"/>
        </w:rPr>
        <w:t>Die EUR-Kursbewertung folgt einer 4-stufigen Prioritätshierarchie. Jede TX wird mit dem Kurs der höchsten verfügbaren Stufe bewertet. Die verwendete Quelle wird unveränderlich im GoBD-Audit-Log gespeichert.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1701"/>
        <w:gridCol w:w="1417"/>
        <w:gridCol w:w="3118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Priorität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Quelle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Verfügbarkeit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BMF-2025-Konformität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Fallback-Trigger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P1 (primär)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Flare FTSO On-Chain-Oracle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Flare-native Tokens (FLR, FXRP, USDT0, kFLR, SPRK…)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JA — explizit dezentral, Rz. 43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Nur wenn FTSO-Feed ausgefallen (&lt; 0,1% Wahrscheinlichkeit)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CoinGecko API (historisch)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Alle gelisteten Tokens, sekundengenauer historischer Kurs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JA — anerkannte Quelle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FTSO nicht verfügbar für Token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P3 (Fallback)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CoinMarketCap API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Alle gelisteten Tokens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JA — ausdrücklich BMF 2025 Rz. 43 genannt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CoinGecko-Rate-Limit oder API-Fehler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P4 (manuell)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Nutzer-Eingabe mit Quellenangabe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Illiquide/ungelistete Tokens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JA — bei korrekter Dokumentation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Token nicht in P1/P2/P3 gelistet</w:t>
            </w:r>
          </w:p>
        </w:tc>
      </w:tr>
    </w:tbl>
    <w:p>
      <w:pPr>
        <w:spacing w:before="8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3685"/>
        <w:gridCol w:w="4252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302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FR-ID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302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Anforderung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302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Akzeptanzkriterium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FR-05-01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FTSO-Kurs-Abruf zum exakten TX-Zeitpunkt (Block-Timestamp)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Kurs-Abweichung &lt; 0,1% vom On-Chain-FTSO-Wert im selben Block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FR-05-02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Historischer CoinGecko-Kurs mit 1-Minuten-Granularität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Max. 1 Minute Abweichung vom TX-Zeitpunkt für Kursbewertung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FR-05-03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Preisquelle + Kurs + Timestamp im Audit-Log (unveränderlich)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Audit-Log-Eintrag für jede TX vorhanden; SHA-256-Hash-Kette intakt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FR-05-04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Preisvalidierung: Z-Score-Anomalie-Detektor (&gt; 3σ = Warnung)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Alert wenn Preisabweichung &gt; 20% innerhalb einer Block-Gruppe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FR-05-05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Rate-Limit-Handling: Automatisches Fallback bei CoinGecko &gt; 60% Kapazität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Automatischer CMC-Fallback ohne Nutzer-Eingriff; Log-Eintrag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FR-05-06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Manuelle Kurs-Überschreibung mit Pflichtfeld: Quellenangabe + URL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Manuelle Eingaben als 'Manuell — Nutzerangabe' im Audit-Log markiert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04.5  Steuerberechnungs-Engine (EP-06, Steuerrecht)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984"/>
        <w:gridCol w:w="1701"/>
        <w:gridCol w:w="1701"/>
        <w:gridCol w:w="1984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Berechnungsmodul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Methode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Input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§ EStG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FIFO-Berechnung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Älteste Lots zuerst verkauft; chronologische Lot-Zuordnung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TX-Historie sortiert nach Timestamp; Anschaffungskosten je Lot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Realisierter G/V je TX; offene Lots; Haltefrist je Lot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§ 23 EStG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LIFO-Berechnung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Neueste Lots zuerst verkauft (opt-in)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TX-Historie; Nutzer-Auswahl LIFO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Realisierter G/V je TX (LIFO-Basis); Disclaimer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§ 23 EStG — erhöhtes FA-Risiko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Haltefrist-Tracker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1-Jahr-Grenze je Lot (Anschaffungsdatum + 365 Tage)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Lot-Erstellungsdatum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Steuerfrei ab Datum X; Countdown in Tagen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§ 23 Abs. 1 S. 1 Nr. 2 EStG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Freigrenze-Monitor § 23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Σ Gewinne − Σ Verluste ≤ € 1.000/Jahr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Alle realisierten G/V des Steuerjahres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Ampel: Grün (&lt; € 800), Gelb (€ 800–1.000), Rot (&gt; € 1.000)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§ 23 Abs. 3 S. 5 EStG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Freigrenze-Monitor § 22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Σ Rewards/Staking/LP-Einkünfte ≤ € 256/Jahr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Alle sonstigen Einkünfte des Steuerjahres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Ampel: Grün, Gelb, Rot; Warnung bei Überschreitung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§ 22 Nr. 3 S. 2 EStG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LP-Dual-Szenario 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Tausch-Modell: LP-Provide = Tausch Token → LP-Token (§ 23 EStG)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LP-TX-Daten; Nutzerwahl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Steuerliche G/V-Berechnung bei Tausch; neue Haltefrist LP-Token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§ 23 EStG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LP-Dual-Szenario B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Nutzungsüberlassung: LP-Provide = Darlehen (steuerlich neutral beim Provide)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LP-TX-Daten; Nutzerwahl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Rewards als § 22 Nr. 3; kein Veräußerungsvorgang beim Provide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§ 22 Nr. 3 EStG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04.6  CoinTracking-Export-Engine (EP-07)</w:t>
      </w:r>
    </w:p>
    <w:p>
      <w:pPr>
        <w:spacing w:before="200" w:after="60"/>
      </w:pPr>
      <w:r>
        <w:rPr>
          <w:rFonts w:ascii="Calibri" w:hAnsi="Calibri"/>
          <w:b/>
          <w:color w:val="0A7B8A"/>
          <w:sz w:val="23"/>
        </w:rPr>
        <w:t>CSV-Format-Spezifikation (15-Spalten-Standard)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850"/>
        <w:gridCol w:w="5669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Spalten-Nr.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Feldname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Pflicht?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Format / Beispiel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Type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JA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Wert aus CT-Typ-Liste: Trade, Staking, LP Rewards, Lending Einnahme, Airdrop, Transfer, …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Buy Amount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Bedingt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Dezimalzahl, Komma als Dezimalzeichen: 1,523  (leer wenn reiner Verkauf)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Buy Currency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Bedingt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Ticker-Symbol: FLR, FXRP, USDT, SPRK  (leer wenn reiner Verkauf)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Sell Amount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Bedingt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Dezimalzahl, Komma: 50,00  (leer wenn reiner Kauf)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Sell Currency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Bedingt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Ticker-Symbol  (leer wenn reiner Kauf)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Fee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Optional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Dezimalzahl in Fee-Währung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7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Fee Currency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Optional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Ticker-Symbol der Fee-Währung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8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Exchange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EMPFOHLEN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Plattform: SparkDEX, Ēnosys, Kinetic Market, Flare Network, DeFi Tracker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9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Trade-Group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Optional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Kategorie: DeFi-Flare, Staking, Farming, Lending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10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Comment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Optional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Freitext: TX-Details, Graubereich-Modell, Kursquelle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11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Date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JA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TT.MM.JJJJ HH:MM:SS  (UTC, z.B. 12.03.2026 09:14:33)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12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Liquidity pool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Optional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LP-Paar: wFLR/USDT V3  (nur bei LP-TX)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13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Tx-ID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Optional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0xabc123def456...  (vollständiger TX-Hash)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14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Buy Value in Account Currency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Optional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EUR-Wert zum TX-Zeitpunkt: 2,64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15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Sell Value in Account Currency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Optional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EUR-Wert zum TX-Zeitpunkt: 50,00</w:t>
            </w:r>
          </w:p>
        </w:tc>
      </w:tr>
    </w:tbl>
    <w:p>
      <w:pPr>
        <w:spacing w:before="100" w:after="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7880"/>
      </w:tblGrid>
      <w:tr>
        <w:tc>
          <w:tcPr>
            <w:tcBorders>
              <w:top w:val="single" w:sz="6" w:color="7C3AED"/>
              <w:left w:val="single" w:sz="6" w:color="7C3AED"/>
              <w:bottom w:val="single" w:sz="6" w:color="7C3AED"/>
              <w:right w:val="single" w:sz="6" w:color="7C3AED"/>
            </w:tcBorders>
            <w:shd w:val="clear" w:color="auto" w:fill="7C3AED"/>
            <w:vAlign w:val="center"/>
            <w:tcW w:type="dxa" w:w="4536"/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36"/>
              </w:rPr>
              <w:t>05</w:t>
            </w:r>
          </w:p>
        </w:tc>
        <w:tc>
          <w:tcPr>
            <w:tcBorders>
              <w:top w:val="single" w:sz="2" w:color="DDE5F0"/>
              <w:left w:val="none" w:sz="0" w:color="auto"/>
              <w:bottom w:val="single" w:sz="2" w:color="DDE5F0"/>
              <w:right w:val="single" w:sz="2" w:color="DDE5F0"/>
            </w:tcBorders>
            <w:shd w:val="clear" w:color="auto" w:fill="F8FAFD"/>
            <w:vAlign w:val="center"/>
            <w:tcW w:type="dxa" w:w="4536"/>
          </w:tcPr>
          <w:p>
            <w:r>
              <w:rPr>
                <w:rFonts w:ascii="Calibri Light" w:hAnsi="Calibri Light"/>
                <w:b/>
                <w:color w:val="0D2E6E"/>
                <w:sz w:val="32"/>
              </w:rPr>
              <w:t>Nicht-Funktionale Anforderungen (NFRs)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05.1  Performance-Anforderungen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2551"/>
        <w:gridCol w:w="1417"/>
        <w:gridCol w:w="1984"/>
        <w:gridCol w:w="1134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NFR-ID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Anforderung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Zielwert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Messmethode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Priorität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NFR-P01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Time-to-Value: Wallet-Connect → erster grüner Ampel-TX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&lt; 5 Minuten (&lt; 1.000 TX)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Mixpanel-Event: wallet_connected → first_green_tx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KRITISCH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NFR-P02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Historischer TX-Import (vollständig)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&lt; 10 Min. / 10.000 TX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k6-Last-Test; Indexer-Queue-Monitor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HOCH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NFR-P03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API-Response-Zeit (p95)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&lt; 500ms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Prometheus + Grafana; Percentile-Monitoring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HOCH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NFR-P04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Dashboard-Ladezeit (First Contentful Paint)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&lt; 2s auf 4G-Verbindung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Lighthouse CI; WebPageTest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HOCH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NFR-P05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CoinTracking CSV-Export-Generierung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&lt; 10s für 10.000 TX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Automatisierter Integrationstest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MITTEL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NFR-P06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Gleichzeitige Nutzer (Phase 1 Launch)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≥ 500 simultane Nutzer ohne Performance-Degradation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k6-Last-Test: 500 VUs, 5 Min.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HOCH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NFR-P07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Datenbankabfrage-Zeit (p95)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&lt; 200ms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PostgreSQL slow-query-log; Prisma-Metrics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MITTEL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NFR-P08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WebSocket-Verbindungsstabilität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&gt; 99% Verbindungsrate über 24h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BullMQ-Queue-Depth-Monitor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MITTEL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05.2  Sicherheits-Anforderungen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2551"/>
        <w:gridCol w:w="2551"/>
        <w:gridCol w:w="1020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NFR-ID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Anforderung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Standard / Maßnahme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Priorität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NFR-S01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Passwort-Hashing: Argon2id (OWASP-empfohlen)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OWASP Password Storage Cheat Sheet; params: m=19456, t=2, p=1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KRITISCH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NFR-S02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Wallet-Daten-Verschlüsselung: AES-256-GCM at rest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Hetzner KMS-verwaltete Schlüssel; Envelope-Encryption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KRITISCH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NFR-S03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Transport: TLS 1.3 ausschließlich; TLS 1.0/1.1 deaktiviert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Nginx: ssl_protocols TLSv1.3; HSTS-Header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KRITISCH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NFR-S04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Keine Private Keys gespeichert — ausschließlich read-only Wallet-Verbindung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Architekturprinzip; Code-Review-Pflicht; Pentest-Scope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KRITISCH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NFR-S05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Session-Management: JWT (15 Min. Expiry) + Refresh-Token (7 Tage)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NextAuth.js; HTTP-only Cookies; SameSite=Strict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KRITISCH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NFR-S06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2FA (TOTP) für alle Nutzer-Accounts (Pflicht ab Phase 4; Optional Phase 1)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RFC 6238; Google Authenticator / Authy kompatibel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HOCH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NFR-S07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Input-Validierung: Alle API-Inputs via Zod-Schema validiert (Backend)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Zod v3; TypeScript-Strict; tRPC-Validierung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KRITISCH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NFR-S08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OWASP Top 10: A01–A10 vollständig adressiert (dokumentiert)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OWASP ASVS Level 2; jährlicher Pentest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HOCH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NFR-S09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GoBD-Audit-Log: SHA-256-Hash-Kette; unveränderlich; 10 Jahre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§ 147 AO; BMF-Schreiben 28.11.2019 (GoBD)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KRITISCH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NFR-S10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Dependency-Scanning: Dependabot wöchentlich; CVSS ≥ 7 → Patch in 7 Tagen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GitHub Dependabot + npm audit in CI/CD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HOCH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05.3  Compliance-Anforderungen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134"/>
        <w:gridCol w:w="2835"/>
        <w:gridCol w:w="3969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NFR-ID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Regulierung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Anforderung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Nachweis / Implementierung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NFR-C01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DSGVO Art. 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Datensparsamkeit: Nur Public-Wallet-Adressen gespeichert; keine Private Keys; keine Saldos persistiert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Privacy-by-Design-Architektur; DSGVO-Checkliste im PRD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NFR-C02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DSGVO Art. 17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Datenlöschung innerhalb 30 Tagen nach Antrag; vollständig und verifizierbar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Lösch-Job (cascade auf alle user_* Tabellen); Lösch-Bestätigung per E-Mail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NFR-C03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DSGVO Art. 32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Technische und organisatorische Maßnahmen (TOMs): Verschlüsselung, Zugriffskontrollen, Logging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TOM-Dokument; Verarbeitungsverzeichnis; DPA mit Hetzner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NFR-C04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GoBD §147 AO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Audit-Log: unveränderlich, vollständig, 10-jährige Aufbewahrung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PostgreSQL + append-only Audit-Log-Tabelle; S3-Backup (Versioning aktiviert)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NFR-C05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BMF 2025 Rz. 43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EUR-Kursbewertung: Nachweis der Kursquelle (FTSO/CoinGecko/CMC) je TX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Kursquelle in Audit-Log-Eintrag; unveränderlich gespeichert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NFR-C06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BFSG (Barrierefreiheit)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WCAG 2.2 Level AA ab 28.06.2025 für alle öffentlichen Seiten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axe-core in CI/CD; Lighthouse Accessibility ≥ 90; manuelle Prüfung vor Launch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NFR-C07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DAC8 (EU-RL 2023/2226)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Keine VASP-Funktion in Phase 1; bei Phase 4-API: Melde-Readiness prüfen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Rechtsberatung vor Phase-4-API-Launch; DAC8-Scope-Analyse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05.4  Skalierbarkeit &amp; Infrastruktur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134"/>
        <w:gridCol w:w="1984"/>
        <w:gridCol w:w="1984"/>
        <w:gridCol w:w="2835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NFR-ID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Komponente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Anforderung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Hetzner-Konfiguration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Scale-Trigger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NFR-I01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API-Gateway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Horizontal skalierbar; kein Single Point of Failure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CX31 Basis; +1 Node ab 10.000 MAU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CPU &gt; 70% über 15 Min.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NFR-I02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PostgreSQL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ACID-konform; Read-Replica ab 5.000 aktiven Nutzern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CPX31 (4 vCPU, 8GB RAM); Backup täglich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Query p95 &gt; 200ms oder RAM &gt; 80%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NFR-I03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Redis + BullMQ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Queue-Tiefe &lt; 100 Jobs dauerhaft; Retry-Logik 3× exponential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CX21 Redis; Cluster ab 1.000 simultan-Syncs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Queue-Depth &gt; 500 oder Job-Failure &gt; 5%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NFR-I04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Blockchain-Indexer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1 Indexer-Instanz pro Chain; horizontal skalierbar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CX31 je Chain; aktuell: Flare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Block-Lag &gt; 30s oder TX-Backlog &gt; 1.000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NFR-I05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Object Storage (Exporte)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Unbegrenzt; DSGVO-konform; Versionierung aktiviert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Hetzner S3 (Nürnberg); SSE-S3-Verschlüsselung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N/A — pay-per-use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NFR-I06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Uptime-SLA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≥ 99,5% monatlich (B2C); ≥ 99,9% (Kanzlei-SLA)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Multi-AZ nicht Phase 1; Coolify-Auto-Restart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Downtime &gt; 15 Min. → P0-Alert</w:t>
            </w:r>
          </w:p>
        </w:tc>
      </w:tr>
    </w:tbl>
    <w:p>
      <w:pPr>
        <w:spacing w:before="100" w:after="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7880"/>
      </w:tblGrid>
      <w:tr>
        <w:tc>
          <w:tcPr>
            <w:tcBorders>
              <w:top w:val="single" w:sz="6" w:color="0A7B8A"/>
              <w:left w:val="single" w:sz="6" w:color="0A7B8A"/>
              <w:bottom w:val="single" w:sz="6" w:color="0A7B8A"/>
              <w:right w:val="single" w:sz="6" w:color="0A7B8A"/>
            </w:tcBorders>
            <w:shd w:val="clear" w:color="auto" w:fill="0A7B8A"/>
            <w:vAlign w:val="center"/>
            <w:tcW w:type="dxa" w:w="4536"/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36"/>
              </w:rPr>
              <w:t>06</w:t>
            </w:r>
          </w:p>
        </w:tc>
        <w:tc>
          <w:tcPr>
            <w:tcBorders>
              <w:top w:val="single" w:sz="2" w:color="DDE5F0"/>
              <w:left w:val="none" w:sz="0" w:color="auto"/>
              <w:bottom w:val="single" w:sz="2" w:color="DDE5F0"/>
              <w:right w:val="single" w:sz="2" w:color="DDE5F0"/>
            </w:tcBorders>
            <w:shd w:val="clear" w:color="auto" w:fill="F8FAFD"/>
            <w:vAlign w:val="center"/>
            <w:tcW w:type="dxa" w:w="4536"/>
          </w:tcPr>
          <w:p>
            <w:r>
              <w:rPr>
                <w:rFonts w:ascii="Calibri Light" w:hAnsi="Calibri Light"/>
                <w:b/>
                <w:color w:val="0D2E6E"/>
                <w:sz w:val="32"/>
              </w:rPr>
              <w:t>Technische Architektur &amp; Tech-Stack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06.1  System-Architektur (7-Layer)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417"/>
        <w:gridCol w:w="1701"/>
        <w:gridCol w:w="1134"/>
        <w:gridCol w:w="3402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Layer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Komponente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Technologie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Version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Begründung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L1 — Presentation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Frontend SPA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Next.js 15 App Router + React Server Components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15.x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RSC für SEO; App Router für Layout-Optimierung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L1 — Presentation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UI-Komponenten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shadcn/ui + Radix UI + Tailwind CSS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latest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Accessible by default; Design-System-Basis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L2 — API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Backend API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Node.js + tRPC + Zod-Validierung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tRPC 11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Type-safe End-to-End; automatische Validierung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L3 — Business Logic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TX-Klassifikations-Engine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TypeScript + Custom Rule Engine + ML-Fallback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—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Protokoll-spezifische Rules + Random-Forest-Fallback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L3 — Business Logic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Steuerberechnungs-Engine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TypeScript (FIFO/LIFO/Freigrenze/Dual-Szenario)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—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Deterministisch; testbar; auditierbar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L4 — Data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Primärdatenbank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PostgreSQL 16 + Prisma ORM v6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PostgreSQL 16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ACID; GoBD-tauglich; Relational für Audit-Log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L4 — Data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Queue + Cache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Redis 7 + BullMQ v5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Redis 7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Asynchrone Indexierung; Retry-Logik; Rate-Limiting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L5 — Indexing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Blockchain-Indexer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The Graph Protocol (Subgraph) + JSON-RPC Fallback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—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Effiziente On-Chain-Abfragen; event-driven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L5 — Indexing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Preis-Service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Flare FTSO (On-Chain) + CoinGecko API + CMC API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—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4-Stufen-Fallback-Hierarchie (BMF 2025)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L6 — Export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Export-Engine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Node.js csv-writer + ExcelJS + Puppeteer (PDF)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—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CoinTracking-Format + PDF-Steuerreport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L7 — Auth/Security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Authentifizierung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NextAuth.js v5 + 2FA TOTP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v5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Multi-Provider; Session-Management; TOTP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L7 — Auth/Security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Verschlüsselung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Argon2id (Passwörter) + AES-256-GCM (Wallet-Daten) + pgcrypto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—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OWASP-empfohlen; Hetzner-KMS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Infra — Hosting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Cloud-Hosting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Hetzner Cloud (Nürnberg) + Docker + Coolify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—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DSGVO; EU-Serverstandort; ISO 27001 RZ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Infra — CI/CD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Pipeline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GitHub Actions: Lint → Test → Build → Deploy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—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4-Stage-Pipeline; Playwright E2E; k6 Last-Test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Infra — Monitoring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Observability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Prometheus + Grafana + Sentry (Error-Tracking)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—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Metriken + Traces + Alerts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06.2  Datenbankschema — Kern-Tabellen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417"/>
        <w:gridCol w:w="2835"/>
        <w:gridCol w:w="1701"/>
        <w:gridCol w:w="1417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Tabelle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Primärschlüssel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Wichtigste Felder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Relationen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GoBD-relevant?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users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id UUID PK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email, password_hash (Argon2id), plan, created_at, deleted_at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1:N wallets, 1:N subscriptions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Nein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wallets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id UUID PK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user_id FK, address (0x…), chain_id, label, last_sync_at, sync_status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N:1 users, 1:N transactions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Nein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transactions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id UUID PK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wallet_id FK, tx_hash (UNIQUE), block_number, timestamp, protocol, tx_type, status (green/yellow/red/gray)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N:1 wallets, 1:N tx_classifications, 1:1 audit_log_entries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JA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tx_classifications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id UUID PK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tx_id FK, ct_type, buy_amount, buy_currency, sell_amount, sell_currency, fee, eur_value, price_source, model_choice (A/B), manual, created_at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N:1 transactions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JA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audit_log_entries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id UUID PK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tx_id FK, field_changed, old_value, new_value, changed_by, changed_at, sha256_hash (prev_hash + data)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N:1 transactions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JA — Hash-Kette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exports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id UUID PK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user_id FK, steuerjahr, method (FIFO/LIFO), generated_at, file_path (S3), status, row_count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N:1 users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JA — unveränderlich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price_cache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id UUID PK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token_address, timestamp_unix, eur_price, source (FTSO/CG/CMC/Manual), source_url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—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JA (Kursnachweis)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subscriptions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id UUID PK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user_id FK, plan, stripe_sub_id, status, current_period_end, cancel_at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N:1 users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7"/>
              </w:rPr>
              <w:t>Nein</w:t>
            </w:r>
          </w:p>
        </w:tc>
      </w:tr>
    </w:tbl>
    <w:p>
      <w:pPr>
        <w:spacing w:before="100" w:after="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7880"/>
      </w:tblGrid>
      <w:tr>
        <w:tc>
          <w:tcPr>
            <w:tcBorders>
              <w:top w:val="single" w:sz="6" w:color="2E6FFF"/>
              <w:left w:val="single" w:sz="6" w:color="2E6FFF"/>
              <w:bottom w:val="single" w:sz="6" w:color="2E6FFF"/>
              <w:right w:val="single" w:sz="6" w:color="2E6FFF"/>
            </w:tcBorders>
            <w:shd w:val="clear" w:color="auto" w:fill="2E6FFF"/>
            <w:vAlign w:val="center"/>
            <w:tcW w:type="dxa" w:w="4536"/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36"/>
              </w:rPr>
              <w:t>07</w:t>
            </w:r>
          </w:p>
        </w:tc>
        <w:tc>
          <w:tcPr>
            <w:tcBorders>
              <w:top w:val="single" w:sz="2" w:color="DDE5F0"/>
              <w:left w:val="none" w:sz="0" w:color="auto"/>
              <w:bottom w:val="single" w:sz="2" w:color="DDE5F0"/>
              <w:right w:val="single" w:sz="2" w:color="DDE5F0"/>
            </w:tcBorders>
            <w:shd w:val="clear" w:color="auto" w:fill="F8FAFD"/>
            <w:vAlign w:val="center"/>
            <w:tcW w:type="dxa" w:w="4536"/>
          </w:tcPr>
          <w:p>
            <w:r>
              <w:rPr>
                <w:rFonts w:ascii="Calibri Light" w:hAnsi="Calibri Light"/>
                <w:b/>
                <w:color w:val="0D2E6E"/>
                <w:sz w:val="32"/>
              </w:rPr>
              <w:t>UX-Flows &amp; Interface-Spezifikation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07.1  Onboarding-Flow (6 Schritte, Ziel: TtV &lt; 5 Min.)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417"/>
        <w:gridCol w:w="1417"/>
        <w:gridCol w:w="2551"/>
        <w:gridCol w:w="1701"/>
        <w:gridCol w:w="1020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Schritt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Screen-Name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Haupt-CTA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Inhalt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Abbruch-Schutz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Zeit-Budget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Willkommen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Kostenlos starten →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Produkt-Tagline (1 Satz) + 3 Key-Benefits + Trust-Signal (Hetzner DE, Read-only)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Skip-Option sichtbar; kein Passwort-Feld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&lt; 10s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Konto erstellen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Konto anlegen →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E-Mail + Passwort (Stärke-Indikator) + Zustimmung DSGVO + Datenschutzerklärung-Link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'Bereits Konto?' Link; keine anderen Pflichtfelder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&lt; 30s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Wallet verbinden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Wallet verbinden →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MetaMask / WalletConnect / Adresse-Eingabe; Read-Only-Hinweis prominent; 'Was ist das?'-Tooltip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Weiter ohne Verbindung (manuelle Eingabe) möglich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&lt; 30s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Synchronisierung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(automatisch)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Fortschrittsbalken: TX-Count + Protokoll + Restzeit-Schätzung; Hintergrund-Sync-Option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'E-Mail-Benachrichtigung wenn fertig' — kein Abbrechzwang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&lt; 2 Min. (&lt; 1.000 TX)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Aha-Moment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Dashboard ansehen →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Ampel-Dashboard: Grüne TX prominent; Anzahl klassifiziert; 1 highlighted TX; Graubereich-Erklärung wenn vorhanden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Niemals leerer State — immer min. 1 TX anzeigen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&lt; 30s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Export-Preview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Export erstellen →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'Ihr erster Export ist bereit' + Plan-Paywall (Free: 20 TX) oder 'Pro freischalten'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Free-Export tatsächlich möglich — kein false Promise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&lt; 30s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07.2  Ampel-System — TX-Review-Flow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2551"/>
        <w:gridCol w:w="2268"/>
        <w:gridCol w:w="1417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Ampel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CSS-Token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Bedeutung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Nutzer-Aktion (erforderlich)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CoinTracking-Export?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0B56A"/>
                <w:sz w:val="18"/>
              </w:rPr>
              <w:t>GRÜN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--color-success (#00B56A)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Automatisch klassifiziert, steuerlich eindeutig gemäß BMF 2025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Keine — direkt exportierbar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JA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F5A623"/>
                <w:sz w:val="18"/>
              </w:rPr>
              <w:t>GELB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--color-warning (#F5A623)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Graubereich erkannt — Dual-Szenario-Auswahl empfohlen (LP, CDP, Bridge)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Modell A oder B wählen (oder 'Später entscheiden')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JA, nach Modellwahl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EF4444"/>
                <w:sz w:val="18"/>
              </w:rPr>
              <w:t>ROT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--color-danger (#EF4444)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Unbekannter TX-Typ — manuelle Klassifikation zwingend nötig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CoinTracking-Typ aus Dropdown wählen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Erst nach manueller Klassifikation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5A7A9E"/>
                <w:sz w:val="18"/>
              </w:rPr>
              <w:t>GRAU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--color-text-tertiary (#5A7A9E)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Steuerlich irrelevant: Approve, interne Transfers, Contract-Interaktionen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Keine — automatisch aus Export ausgeschlossen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NEIN (ausgeschlossen)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07.3  Dashboard-Konzept — Hauptscreen (Spezifikation)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1701"/>
        <w:gridCol w:w="1417"/>
        <w:gridCol w:w="2268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Widget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Position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Datenquelle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Update-Frequenz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Nutzer-Interaktion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KPI-Kacheln (4×): Gesamte TX, Klassifiziert (%), Freigrenze § 23, Freigrenze § 22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Oben (Hero-Zone)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Aggregation über transactions + tx_classifications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Real-time (FTSO-Kurs)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Kachel klicken → Drill-down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Ampel-Übersicht (Donut-Chart)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Oben rechts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COUNT(status) GROUP BY status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Real-time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Segment klicken → gefilterte TX-Liste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TX-Liste (gefiltert, paginated)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Haupt-Bereich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transactions JOIN tx_classifications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On-page-load + WebSocket-Update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Filter nach Status/Protokoll/Datum; Suche nach TX-Hash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Haltefrist-Tracker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Sidebar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Offene Lots mit Anschaffungsdatum + Countdown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Täglich um 00:00 UTC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Asset klicken → Lot-Detail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Freigrenze-Balken (§ 23 + § 22)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Sidebar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Aggregation realisierter G/V / Rewards des Steuerjahres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Real-time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Hover → Tooltip mit Berechnung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Aktivitäts-Chart (Sparkline MoM)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Oben mitte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TX-Count GROUP BY month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Monatlich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Hover → Monatssumme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Protokoll-Filter (Chips)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Über TX-Liste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Distinct protocols aus wallets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On-load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Chip klicken → filtert TX-Liste</w:t>
            </w:r>
          </w:p>
        </w:tc>
      </w:tr>
    </w:tbl>
    <w:p>
      <w:pPr>
        <w:spacing w:before="100" w:after="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7880"/>
      </w:tblGrid>
      <w:tr>
        <w:tc>
          <w:tcPr>
            <w:tcBorders>
              <w:top w:val="single" w:sz="6" w:color="7C3AED"/>
              <w:left w:val="single" w:sz="6" w:color="7C3AED"/>
              <w:bottom w:val="single" w:sz="6" w:color="7C3AED"/>
              <w:right w:val="single" w:sz="6" w:color="7C3AED"/>
            </w:tcBorders>
            <w:shd w:val="clear" w:color="auto" w:fill="7C3AED"/>
            <w:vAlign w:val="center"/>
            <w:tcW w:type="dxa" w:w="4536"/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36"/>
              </w:rPr>
              <w:t>08</w:t>
            </w:r>
          </w:p>
        </w:tc>
        <w:tc>
          <w:tcPr>
            <w:tcBorders>
              <w:top w:val="single" w:sz="2" w:color="DDE5F0"/>
              <w:left w:val="none" w:sz="0" w:color="auto"/>
              <w:bottom w:val="single" w:sz="2" w:color="DDE5F0"/>
              <w:right w:val="single" w:sz="2" w:color="DDE5F0"/>
            </w:tcBorders>
            <w:shd w:val="clear" w:color="auto" w:fill="F8FAFD"/>
            <w:vAlign w:val="center"/>
            <w:tcW w:type="dxa" w:w="4536"/>
          </w:tcPr>
          <w:p>
            <w:r>
              <w:rPr>
                <w:rFonts w:ascii="Calibri Light" w:hAnsi="Calibri Light"/>
                <w:b/>
                <w:color w:val="0D2E6E"/>
                <w:sz w:val="32"/>
              </w:rPr>
              <w:t>API-Spezifikation (Phase 4 — B2B-Integration)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08.1  REST-API Endpoints (OpenAPI 3.0)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850"/>
        <w:gridCol w:w="1984"/>
        <w:gridCol w:w="1134"/>
        <w:gridCol w:w="1020"/>
        <w:gridCol w:w="2381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Endpoint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Methode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Beschreibung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Auth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Rate-Limit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Response-Format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/v1/wallets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POST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Neue Wallet verbinden und Sync starten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Bearer JWT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10/Min.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{ wallet_id, status, tx_count_est }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/v1/wallets/{id}/sync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POST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Manueller Re-Sync einer Wallet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Bearer JWT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5/Min.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{ job_id, status: queued }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/v1/transactions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GET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TX-Liste (paginiert, gefiltert)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Bearer JWT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60/Min.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{ data: [tx], pagination: { page, total } }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/v1/transactions/{id}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GET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TX-Detail inkl. Klassifikation + Audit-Log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Bearer JWT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120/Min.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{ tx, classification, audit_entries }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/v1/transactions/{id}/classify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PATCH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TX manuell klassifizieren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Bearer JWT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30/Min.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{ classification_id, ct_type, eur_value }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/v1/exports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POST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Neuen CoinTracking-CSV-Export erstellen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Bearer JWT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3/Min.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{ export_id, status: generating }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/v1/exports/{id}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GET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Export-Status + Download-URL (S3 presigned)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Bearer JWT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60/Min.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{ export_id, status, download_url (15 Min. TTL) }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/v1/tax-summary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GET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Steuerliche Jahres-Zusammenfassung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Bearer JWT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10/Min.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{ year, total_gains, total_losses, rewards, freigrenze_23, freigrenze_22 }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/v1/prices/{token}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GET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Aktueller EUR-Kurs eines Tokens (FTSO)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API-Key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120/Min.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{ token, eur_price, source, timestamp }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/v1/kanzlei/mandanten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GET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Liste aller Mandanten (Kanzlei-Plan only)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Bearer JWT (Kanzlei)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30/Min.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7"/>
              </w:rPr>
              <w:t>{ mandanten: [{ id, name, tx_count, status }] }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08.2  Authentication &amp; Rate-Limiting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087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453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453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Spezifikation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Auth-Methode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Bearer JWT (15 Min.) + Refresh-Token (HTTP-only Cookie, 7 Tage) für Web-App; API-Key (Plan-gebunden) für B2B-API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API-Key-Format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dt_live_[32-Char-Hex] (Production) / dt_test_[32-Char-Hex] (Sandbox)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Rate-Limit-Header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X-RateLimit-Limit, X-RateLimit-Remaining, X-RateLimit-Reset (Unix-Timestamp)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Rate-Limit Starter/Pro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1.000 API-Requests/Minute (gesamt pro Account)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Rate-Limit Business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5.000 API-Requests/Minute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Rate-Limit Kanzlei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10.000 API-Requests/Minute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Error-Response-Format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{ error: { code: 'RATE_LIMIT_EXCEEDED', message: '...', retry_after: 60 } }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Sandbox-Umgebung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4536"/>
          </w:tcPr>
          <w:p>
            <w:r>
              <w:rPr>
                <w:rFonts w:ascii="Calibri" w:hAnsi="Calibri"/>
                <w:color w:val="2E4A6E"/>
                <w:sz w:val="18"/>
              </w:rPr>
              <w:t>api-sandbox.defi-tracker.de — Testdaten, keine echten TX, kein Stripe</w:t>
            </w:r>
          </w:p>
        </w:tc>
      </w:tr>
    </w:tbl>
    <w:p>
      <w:pPr>
        <w:spacing w:before="100" w:after="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7880"/>
      </w:tblGrid>
      <w:tr>
        <w:tc>
          <w:tcPr>
            <w:tcBorders>
              <w:top w:val="single" w:sz="6" w:color="0D2E6E"/>
              <w:left w:val="single" w:sz="6" w:color="0D2E6E"/>
              <w:bottom w:val="single" w:sz="6" w:color="0D2E6E"/>
              <w:right w:val="single" w:sz="6" w:color="0D2E6E"/>
            </w:tcBorders>
            <w:shd w:val="clear" w:color="auto" w:fill="0D2E6E"/>
            <w:vAlign w:val="center"/>
            <w:tcW w:type="dxa" w:w="4536"/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36"/>
              </w:rPr>
              <w:t>09</w:t>
            </w:r>
          </w:p>
        </w:tc>
        <w:tc>
          <w:tcPr>
            <w:tcBorders>
              <w:top w:val="single" w:sz="2" w:color="DDE5F0"/>
              <w:left w:val="none" w:sz="0" w:color="auto"/>
              <w:bottom w:val="single" w:sz="2" w:color="DDE5F0"/>
              <w:right w:val="single" w:sz="2" w:color="DDE5F0"/>
            </w:tcBorders>
            <w:shd w:val="clear" w:color="auto" w:fill="F8FAFD"/>
            <w:vAlign w:val="center"/>
            <w:tcW w:type="dxa" w:w="4536"/>
          </w:tcPr>
          <w:p>
            <w:r>
              <w:rPr>
                <w:rFonts w:ascii="Calibri Light" w:hAnsi="Calibri Light"/>
                <w:b/>
                <w:color w:val="0D2E6E"/>
                <w:sz w:val="32"/>
              </w:rPr>
              <w:t>Release-Plan &amp; Meilensteine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09.1  Roadmap-Übersicht (Phase 1–4)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2835"/>
        <w:gridCol w:w="1701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Zeitraum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Ziel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Feature-Set (Kern)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Erfolgs-KPI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2E4A6E"/>
                <w:sz w:val="18"/>
              </w:rPr>
              <w:t>Phase 0 — Foundation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Jan–März 2026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Architektur + Setup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Monorepo-Setup (pnpm+Turborepo), DB-Schema, Auth, CI/CD-Pipeline, Flare-RPC-Verbindung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0 Build-Errors; CI/CD grün; DB-Schema validiert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A7B8A"/>
                <w:sz w:val="18"/>
              </w:rPr>
              <w:t>Phase 1 — MVP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Apr–Aug 2026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Marktreifes Produkt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SparkDEX V3/V4, Ēnosys, Kinetic Indexer; FIFO; CoinTracking-CSV; Dashboard; DSGVO-Module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&lt; 5 Min. TtV; E2E-Tests grün; 50 Beta-Nutzer positiv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2E4A6E"/>
                <w:sz w:val="18"/>
              </w:rPr>
              <w:t>Phase 2 — Beta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Jun–Aug 2026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Beta-Test + Härtung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Bug-Fixing (2-Wochen-Sprints), Performance-Optimierung, Security-Audit, WCAG-2.2-Prüfung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SUS-Score &gt; 70; NPS &gt; 40; 0 P0-Bugs offen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0B56A"/>
                <w:sz w:val="18"/>
              </w:rPr>
              <w:t>Phase 3 — Launch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Sept. 2026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Go-to-Market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Pricing-Aktivierung; Marketing-Landing-Page; Press-Launch; CoinTracking-Partner-Outreach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≥ 300 zahlende Nutzer; MRR ≥ € 6.000; Churn &lt; 5%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F5A623"/>
                <w:sz w:val="18"/>
              </w:rPr>
              <w:t>Phase 4 — Scale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Okt. 2026 – Q2 2027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B2B + Multi-Chain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Stargate-Bridge, Aave V3; ELSTER-XML; Kanzlei-Portal; REST-API; White-Label; LIFO/HIFO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MRR ≥ € 30.000; ≥ 5 Kanzlei-Kunden; ARR ≥ € 360K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09.2  Sprint-Plan MVP (Phase 1 — Apr. bis Aug. 2026)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1984"/>
        <w:gridCol w:w="850"/>
        <w:gridCol w:w="3685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Sprint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Zeitraum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Epics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Story Points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Sprint-Ziel / DoD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Sprint 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01.–14. Apr.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EP-01 Wallet-Verbindung (Basis)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13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MetaMask-Connect + Adresseingabe + historischer Import-Job in Queue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Sprint 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15.–28. Apr.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EP-05 EUR-Kursbewertung (FTSO + CG)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13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FTSO-On-Chain-Kurs abrufbar; CoinGecko-Fallback aktiv; Audit-Log-Eintrag erstellt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Sprint 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29. Apr.–12. Mai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EP-02 SparkDEX V3 Swap-Indexer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21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SparkDEX-V3-Swaps vollständig klassifiziert; E2E-Test gegen echte TX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Sprint 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13.–26. Mai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EP-02 SparkDEX V4 + Multi-Action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13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V4-Multi-Action korrekt aufgeteilt; Gamma-Positionen erkannt; alle Tests grün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Sprint 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27. Mai–09. Jun.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EP-03 Ēnosys DEX + CDP (Basis)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21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Ēnosys-AMM-Swaps + CDP-Eröffnung erkannt; Dual-Szenario-Modal implementiert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Sprint 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10.–23. Jun.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EP-04 Kinetic Market Indexer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21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Supply/Borrow/Repay/Liquidation korrekt klassifiziert; kToken-Delta-Berechnung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Sprint 7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24. Jun.–07. Jul.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EP-06 TX-Klassifikations-Engine + Ampel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34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5-Layer-Klassifikations-Engine fertig; Ampel-System im Dashboard sichtbar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Sprint 8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08.–21. Jul.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EP-07 CoinTracking CSV-Export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13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CSV-Export in korrektem Format; E2E-CoinTracking-Import-Test grün; Audit-Log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Sprint 9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22. Jul.–04. Aug.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EP-08 Dashboard + EP-09 Graubereich-Ampel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21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Portfolio-Dashboard vollständig; Freigrenze-Anzeige; Haltefrist-Tracker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Sprint 10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05.–18. Aug.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EP-10 Manuelle TX + EP-11 FlareDrops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8+8=16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Manuell-Kategorisierung UI; FlareDrops-Import; DSGVO-Löschfunktion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Sprint 11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19. Aug.–Sept.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Härtung, Security, WCAG, Performance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Buffer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0 P0/P1 Bugs; WCAG 2.2 AA; TtV &lt; 5 Min.; k6-Test 500 VUs bestanden</w:t>
            </w:r>
          </w:p>
        </w:tc>
      </w:tr>
    </w:tbl>
    <w:p>
      <w:pPr>
        <w:spacing w:before="100" w:after="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7880"/>
      </w:tblGrid>
      <w:tr>
        <w:tc>
          <w:tcPr>
            <w:tcBorders>
              <w:top w:val="single" w:sz="6" w:color="B71C1C"/>
              <w:left w:val="single" w:sz="6" w:color="B71C1C"/>
              <w:bottom w:val="single" w:sz="6" w:color="B71C1C"/>
              <w:right w:val="single" w:sz="6" w:color="B71C1C"/>
            </w:tcBorders>
            <w:shd w:val="clear" w:color="auto" w:fill="B71C1C"/>
            <w:vAlign w:val="center"/>
            <w:tcW w:type="dxa" w:w="4536"/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36"/>
              </w:rPr>
              <w:t>10</w:t>
            </w:r>
          </w:p>
        </w:tc>
        <w:tc>
          <w:tcPr>
            <w:tcBorders>
              <w:top w:val="single" w:sz="2" w:color="DDE5F0"/>
              <w:left w:val="none" w:sz="0" w:color="auto"/>
              <w:bottom w:val="single" w:sz="2" w:color="DDE5F0"/>
              <w:right w:val="single" w:sz="2" w:color="DDE5F0"/>
            </w:tcBorders>
            <w:shd w:val="clear" w:color="auto" w:fill="F8FAFD"/>
            <w:vAlign w:val="center"/>
            <w:tcW w:type="dxa" w:w="4536"/>
          </w:tcPr>
          <w:p>
            <w:r>
              <w:rPr>
                <w:rFonts w:ascii="Calibri Light" w:hAnsi="Calibri Light"/>
                <w:b/>
                <w:color w:val="0D2E6E"/>
                <w:sz w:val="32"/>
              </w:rPr>
              <w:t>Risiko-Register &amp; Mitigationsstrategien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10.1  Technische Risiken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1134"/>
        <w:gridCol w:w="850"/>
        <w:gridCol w:w="2835"/>
        <w:gridCol w:w="1701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Risiko-ID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Risiko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Wahrscheinlichkeit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Frühwarnung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R-T01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SparkDEX V4-Subgraph nicht vollständig / veraltet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MITTEL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HOCH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Dualer Ansatz: Subgraph + direkter RPC-Fallback (eth_getLogs); ABI-Registry aktuell halten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Subgraph-Sync-Lag &gt; 5 Min. → Alert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R-T02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FTSO-Preisfeed-Ausfall (&lt; 0,1% historisch)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NIEDRIG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HOCH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Automatischer Fallback CoinGecko → CMC → manuelle Eingabe; Alert bei Ausfall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FTSO-Feed-Age &gt; 5 Min. → P1-Alert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R-T03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Flare-Network-RPC-Überlastung bei Traffic-Spike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MITTEL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MITTEL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Multi-Provider-RPC (Ankr, Blast, eigener Hetzner-Node); Connection-Pooling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RPC-Error-Rate &gt; 5% → Fallback aktivieren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R-T04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TX-Volume-Explosion: &gt; 100.000 TX / Wallet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NIEDRIG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MITTEL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Horizontale Indexer-Skalierung; Job-Chunking (1.000 TX/Job); E-Mail-Benachrichtigung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Indexer-Queue-Depth &gt; 500 Jobs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R-T05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Fehlerhafte LP-Dual-Szenario-Berechnung durch BMF-Update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HOCH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KRITISCH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Modulares Regelwerk; Update-Sprint &lt; 1 Woche; Steuerberater-Review-Abo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BMF-Schreiben-Monitoring (RSS/Alert)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10.2  Rechtliche &amp; Compliance-Risiken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1134"/>
        <w:gridCol w:w="850"/>
        <w:gridCol w:w="2835"/>
        <w:gridCol w:w="1701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Risiko-ID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Risiko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Wahrscheinlichkeit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5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R-L01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Neues BMF-Schreiben ändert LP/CDP-Steuerlogik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HOCH (jährlich)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HOCH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Modulares Steuerregelwerk; Anwalt-Watchdog; &lt; 1-Woche-Update-Sprint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Aktiv monitoren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R-L02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EuGH/BFH-Urteil stuft DeFi-Staking anders ein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MITTEL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HOCH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Dual-Szenario-Engine auf alle Graubereich-TX erweiterbar; Disclaimer-System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Rechtsprechungs-Alert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R-L03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DSGVO-Verstoß durch unzureichende Löschfunktion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NIEDRIG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KRITISCH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Art. 17-Löschung vollständig implementiert; monatlicher DSGVO-Audit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Löschtest monatlich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R-L04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DAC8: Tool wird als VASP eingestuft (unwahrscheinlich)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SEHR NIEDRIG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SEHR HOCH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Rechtsberatung vor Phase-4-API-Launch; Read-only-Architektur dokumentiert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Vor API-Launch prüfen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512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R-L05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Haftung durch fehlerhafte Steuerberechnung (§ 280 BGB)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MITTEL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HOCH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AGB-Disclaimer 'Kein Ersatz für Steuerberatung'; Empfehlung Steuerberater-Review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512"/>
          </w:tcPr>
          <w:p>
            <w:r>
              <w:rPr>
                <w:rFonts w:ascii="Calibri" w:hAnsi="Calibri"/>
                <w:color w:val="2E4A6E"/>
                <w:sz w:val="18"/>
              </w:rPr>
              <w:t>Disclaimer in jedem Export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10.3  Business-Risiken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984"/>
        <w:gridCol w:w="1134"/>
        <w:gridCol w:w="850"/>
        <w:gridCol w:w="3969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Risiko-ID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Risiko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Wahrscheinlichkeit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R-B01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CoinTracking oder Blockpit kündigt Flare-Support an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HOCH (12–18 Mon.)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SEHR HOCH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First-Mover-Bindung; Phase-4-Multi-Chain-Beschleunigung; B2B-Kanzlei-Segment intensivieren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R-B02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Flare-Network-TVL stagniert oder schrumpft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MITTEL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HOCH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Phase-4-Pivot zu Multi-Chain (Aave, Arbitrum) bereits in Roadmap; Aave-Integration priorisieren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R-B03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Hohe Churn-Rate (&gt; 5%/Monat) nach Launch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MITTEL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HOCH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Onboarding-Optimierung (TtV &lt; 5 Min.); Jahres-Abo-Incentive (–17%); NPS-Survey nach 14 Tagen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R-B04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Kein Product-Market-Fit bei Kanzleien (Phase 4)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MITTEL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MITTEL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Kanzlei-Interviews vor Phase-4-Entwicklung; MVP-Kanzlei-Portal mit 3 Early-Adoptern validieren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R-B05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Team-Ressourcen für MVP unzureichend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MITTEL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HOCH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Sprint-Puffer (Sprint 11 = reine Härtung); klare MoSCoW-Priorisierung; Should/Could verschieben</w:t>
            </w:r>
          </w:p>
        </w:tc>
      </w:tr>
    </w:tbl>
    <w:p>
      <w:pPr>
        <w:spacing w:before="100" w:after="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7880"/>
      </w:tblGrid>
      <w:tr>
        <w:tc>
          <w:tcPr>
            <w:tcBorders>
              <w:top w:val="single" w:sz="6" w:color="0A7B8A"/>
              <w:left w:val="single" w:sz="6" w:color="0A7B8A"/>
              <w:bottom w:val="single" w:sz="6" w:color="0A7B8A"/>
              <w:right w:val="single" w:sz="6" w:color="0A7B8A"/>
            </w:tcBorders>
            <w:shd w:val="clear" w:color="auto" w:fill="0A7B8A"/>
            <w:vAlign w:val="center"/>
            <w:tcW w:type="dxa" w:w="4536"/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36"/>
              </w:rPr>
              <w:t>11</w:t>
            </w:r>
          </w:p>
        </w:tc>
        <w:tc>
          <w:tcPr>
            <w:tcBorders>
              <w:top w:val="single" w:sz="2" w:color="DDE5F0"/>
              <w:left w:val="none" w:sz="0" w:color="auto"/>
              <w:bottom w:val="single" w:sz="2" w:color="DDE5F0"/>
              <w:right w:val="single" w:sz="2" w:color="DDE5F0"/>
            </w:tcBorders>
            <w:shd w:val="clear" w:color="auto" w:fill="F8FAFD"/>
            <w:vAlign w:val="center"/>
            <w:tcW w:type="dxa" w:w="4536"/>
          </w:tcPr>
          <w:p>
            <w:r>
              <w:rPr>
                <w:rFonts w:ascii="Calibri Light" w:hAnsi="Calibri Light"/>
                <w:b/>
                <w:color w:val="0D2E6E"/>
                <w:sz w:val="32"/>
              </w:rPr>
              <w:t>Definition of Done &amp; Acceptance Criteria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11.1  Definition of Done (DoD) — Feature-Level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Alle Akzeptanzkriterien der zugehörigen User Story erfüllt und durch Reviewer bestätigt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Unit Tests (Vitest): Coverage ≥ 80% für geänderte Module; alle Tests grün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Integration Tests: Datenbankabfragen und API-Endpoints getestet; kein flaky Test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E2E-Tests (Playwright): Critical-Path für Feature manuell + automatisiert getestet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Accessibility: axe-core 0 Violations (WCAG 2.2 AA) für neuen UI-Code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Security: npm audit keine High/Critical Findings; Zod-Validierung auf allen neuen Endpoints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Performance: p95 API-Response &lt; 500ms; kein Lighthouse-Score-Rückgang &gt; 5 Punkte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Code-Review: Mindestens 1 Reviewer-Approval (Pull Request); kein direkter Push auf main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Dokumentation: Inline-Kommentare für komplexe Logik; API-Endpoint in OpenAPI-Spec ergänzt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Deployment: Feature erfolgreich in Staging deployed; Smoke-Test auf Staging bestanden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GoBD: Wenn Audit-Log-relevant — SHA-256-Hash-Kette validiert; Unveränderlichkeit getestet</w:t>
      </w:r>
    </w:p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11.2  Definition of Done — Sprint-Level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Alle Feature-DoD-Kriterien für alle Sprint-Items erfüllt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Sprint-Demo mit Product Owner durchgeführt; Feedback dokumentiert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Keine offenen P0- oder P1-Bugs am Sprint-Ende (P2 und P3 in Backlog dokumentiert)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Velocity-Tracking aktualisiert; Burndown-Chart exportiert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Retrospektive abgehalten; Action Items im nächsten Sprint-Backlog</w:t>
      </w:r>
    </w:p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11.3  Definition of Done — MVP-Launch-Level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2551"/>
        <w:gridCol w:w="1417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Kriterium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Zielwert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Test-Methode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Verantwortlich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TtV (Time-to-Value)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&lt; 5 Min. für ≥ 4/5 Onboarding-Test-Teilnehmer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Think-Aloud-Onboarding-Test mit 5 Nutzern (Aug. 2026)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Product + UX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CoinTracking CSV-Kompatibilität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100% der TX-Typen valide; CT-Import ohne Fehler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E2E-Integrationstest: Export → CT-Import → 0 Fehler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Engineering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WCAG 2.2 AA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0 automatische Violations (axe); 0 manuell identifizierte Blocking-Issues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axe-core in CI/CD; manuelle Tastatur-Navigation-Prüfung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UX + QA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Performance-Last-Test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500 simultane Nutzer ohne Degradation (p95 &lt; 500ms)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k6-Last-Test; 5 Min. bei 500 VUs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DevOps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Security-Audit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0 kritische / 0 hohe CVSS-Findings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Externes Pentest-Assessment oder interner OWASP-ASVS-L2-Check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CTO + extern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DSGVO-Compliance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Löschfunktion getestet (&lt; 30 Tage); TOM-Dokument vollständig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Manueller Löschtest; DSGVO-Checkliste abgehakt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CEO + DSB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BMF-2025-Validierung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LP-Dual-Szenario + alle TX-Typen von Steuerberater freigegeben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Steuerberater-Review-Protokoll vorliegend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Legal + Steuerberater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Beta-Nutzerfeedback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NPS ≥ 40; SUS-Score ≥ 70 aus Beta-Test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In-App-Survey (14 Tage nach Beta-Registrierung)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Product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11.4  Testing-Pyramide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417"/>
        <w:gridCol w:w="2835"/>
        <w:gridCol w:w="2268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Test-Typ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Tool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Coverage-Ziel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Scope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CI/CD-Stage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Unit Tests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Vitest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≥ 80% (geänderte Module)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TX-Klassifikations-Engine, FIFO-Berechnung, Dual-Szenario, Freigrenze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Stage 1 — bei jedem PR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Integration Tests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Vitest + Test-DB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≥ 70% (kritische Flows)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API-Endpoints, DB-Queries, ABI-Decoding, Preis-Feed-Fallback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Stage 1 — bei jedem PR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E2E-Tests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Playwright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Critical Paths (6 Flows)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Onboarding, Wallet-Connect, TX-Review-Flow, CSV-Export, Manuell-Klassifikation, Login/2FA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Stage 2 — bei main-Merge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Accessibility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axe-core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0 WCAG 2.2 AA Violations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Alle UI-Seiten + neue Komponenten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Stage 2 — bei main-Merge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Performance-Tests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k6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p95 &lt; 500ms bei 500 VUs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API-Endpoints + DB-Queries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Stage 3 — wöchentlich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Security-Scan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npm audit + Semgrep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0 Critical/High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Alle Dependencies + Custom Code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Stage 1 — bei jedem PR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Visual Regression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Playwright Screenshots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Kein unerwarteter visueller Bruch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UI-Komponenten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Stage 2 — optional</w:t>
            </w:r>
          </w:p>
        </w:tc>
      </w:tr>
    </w:tbl>
    <w:p>
      <w:pPr>
        <w:spacing w:before="100" w:after="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7880"/>
      </w:tblGrid>
      <w:tr>
        <w:tc>
          <w:tcPr>
            <w:tcBorders>
              <w:top w:val="single" w:sz="6" w:color="0D2E6E"/>
              <w:left w:val="single" w:sz="6" w:color="0D2E6E"/>
              <w:bottom w:val="single" w:sz="6" w:color="0D2E6E"/>
              <w:right w:val="single" w:sz="6" w:color="0D2E6E"/>
            </w:tcBorders>
            <w:shd w:val="clear" w:color="auto" w:fill="0D2E6E"/>
            <w:vAlign w:val="center"/>
            <w:tcW w:type="dxa" w:w="4536"/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36"/>
              </w:rPr>
              <w:t>12</w:t>
            </w:r>
          </w:p>
        </w:tc>
        <w:tc>
          <w:tcPr>
            <w:tcBorders>
              <w:top w:val="single" w:sz="2" w:color="DDE5F0"/>
              <w:left w:val="none" w:sz="0" w:color="auto"/>
              <w:bottom w:val="single" w:sz="2" w:color="DDE5F0"/>
              <w:right w:val="single" w:sz="2" w:color="DDE5F0"/>
            </w:tcBorders>
            <w:shd w:val="clear" w:color="auto" w:fill="F8FAFD"/>
            <w:vAlign w:val="center"/>
            <w:tcW w:type="dxa" w:w="4536"/>
          </w:tcPr>
          <w:p>
            <w:r>
              <w:rPr>
                <w:rFonts w:ascii="Calibri Light" w:hAnsi="Calibri Light"/>
                <w:b/>
                <w:color w:val="0D2E6E"/>
                <w:sz w:val="32"/>
              </w:rPr>
              <w:t>Glossar &amp; Referenzdokumente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12.1  Fachbegriff-Glossar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3402"/>
        <w:gridCol w:w="3969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302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Begriff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302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302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PRD-Kontext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ABI (Application Binary Interface)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Schnittstellen-Beschreibung eines Smart Contracts; definiert Events und Funktionen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Für Event-Decoding der Protokoll-TX erforderlich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Audit-Log (GoBD)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Unveränderliches Protokoll aller Datenänderungen mit SHA-256-Hash-Kette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Pflicht für GoBD-Konformität; 10 Jahre Aufbewahrung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Ampel-System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Farbkodiertes UI-Element: Grün=klar, Gelb=Graubereich, Rot=manuell, Grau=irrelevant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Kernfeature für TX-Review-Flow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BMF 2025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BMF-Schreiben vom 06.03.2025 (BStBl 2025 I S. 658) zur Besteuerung von Kryptowährungen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Rechtliche Grundlage für alle Steuerberechnungen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CoinTracking-Export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15-Spalten-CSV-Format für Import in CoinTracking.info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Kern-Exportformat; E2E-getestet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DAC8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EU-Richtlinie 2023/2226 zur automatischen Meldung von Krypto-Transaktionen ab 2026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Compliance-Anforderung; kein VASP-Status für DeFi Tracker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Dual-Szenario (LP)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Zwei steuerliche Interpretationsmodelle für LP-Providing: Tausch (A) vs. Nutzungsüberlassung (B)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Kernfeature für Graubereich-TX-Handling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Epic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Gruppe zusammengehöriger User Stories unter einem Thema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Planungseinheit im Sprint-Plan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FIFO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First In, First Out — gesetzliche Standard-Bewertungsmethode für Krypto DE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Default-Bewertungsmethode; MVP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FTSO (Flare Time Series Oracle)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Dezentrales On-Chain-Preisorakel auf Flare Network; liefert EUR-Feeds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Primäre Kursquelle; BMF-2025-konform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GoBD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Grundsätze ordnungsmäßiger Buchführung; BMF-Schreiben 28.11.2019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Pflicht für Audit-Log und unveränderliche Datenspeicherung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Graubereich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Steuerlich nicht eindeutig geregelte DeFi-TX (LP, CDP, Bridge)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Dual-Szenario + Ampel-Gelb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ICE-Score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Impact × Confidence × Ease — Priorisierungs-Framework für Experimente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Experiment-Backlog-Priorisierung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LP-Token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Nachweis über Liquiditätsanteil in einem AMM-Pool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Kritisch für LP-Provide/Remove-Klassifikation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MoSCoW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Must/Should/Could/Won't — Priorisierungs-Framework für Requirements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User-Story-Priorisierung in diesem PRD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NFR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Non-Functional Requirement — Qualitätsanforderung (Performance, Security, Compliance)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Kapitel 05 dieses PRDs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Story Points (SP)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Relatives Aufwands-Maß (Fibonacci-Skala: 1, 2, 3, 5, 8, 13, 21, 34, 55)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Sprint-Kapazitätsplanung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TtV (Time-to-Value)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Zeit von Wallet-Connect bis erstem grünen Ampel-TX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Kern-KPI: Ziel &lt; 5 Minuten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tRPC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TypeScript-Remote-Procedure-Call; type-safe API ohne Code-Gen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API-Framework zwischen Next.js Frontend und Backend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WCAG 2.2 AA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Web Content Accessibility Guidelines; Level AA = rechtliche Mindestanforderung (BFSG)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Accessibility-Standard; Pflicht ab 28.06.2025</w:t>
            </w:r>
          </w:p>
        </w:tc>
      </w:tr>
    </w:tbl>
    <w:p>
      <w:pPr>
        <w:spacing w:before="100" w:after="0"/>
      </w:pPr>
    </w:p>
    <w:p>
      <w:pPr>
        <w:pBdr>
          <w:bottom w:val="single" w:sz="6" w:color="0D2E6E" w:space="4"/>
        </w:pBdr>
        <w:spacing w:before="400" w:after="160"/>
      </w:pPr>
      <w:r>
        <w:rPr>
          <w:rFonts w:ascii="Calibri Light" w:hAnsi="Calibri Light"/>
          <w:b/>
          <w:color w:val="0D2E6E"/>
          <w:sz w:val="40"/>
        </w:rPr>
        <w:t>12.2  Referenzdokumente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4252"/>
        <w:gridCol w:w="2551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302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Dokument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302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Beschreibung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302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Ablageort / Version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DeFi Tracker Vollanalyse v10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Vollständige technische und regulatorische Analyse (7.665 Absätze)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DeFi_Tracker_Komplett_v10_NextGen.docx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Brand Book KOMPLETT v1.0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Markenhandbuch mit allen Kapiteln 01–06 (3.978 Absätze)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DeFiTracker_BrandBook_KOMPLETT_v1.docx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Admin Dashboard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Interaktives Admin-Dashboard für Operations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DeFiTracker_AdminDashboard.html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BMF-Schreiben 06.03.2025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Besteuerung von Kryptowährungen (BStBl 2025 I S. 658)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Extern: BMF.de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CoinTracking Import-Format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CSV-Formatspezifikation für CoinTracking.info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Extern: CoinTracking Dokumentation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WCAG 2.2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Web Content Accessibility Guidelines Version 2.2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Extern: w3.org/TR/WCAG22/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OWASP ASVS Level 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Application Security Verification Standard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Extern: owasp.org/ASVS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GoBD (BMF 28.11.2019)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Grundsätze ordnungsmäßiger Buchführung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Extern: BMF.de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DAC8 (EU-RL 2023/2226)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Reporting-Pflichten für Krypto-Dienstleister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Extern: EUR-Lex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DSGVO (VO EU 2016/679)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Datenschutz-Grundverordnung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Extern: EUR-Lex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6" w:color="2E6FFF"/>
              <w:left w:val="single" w:sz="6" w:color="2E6FFF"/>
              <w:bottom w:val="single" w:sz="6" w:color="2E6FFF"/>
              <w:right w:val="single" w:sz="6" w:color="2E6FFF"/>
            </w:tcBorders>
            <w:shd w:val="clear" w:color="auto" w:fill="080F1A"/>
            <w:tcW w:type="dxa" w:w="9072"/>
          </w:tcPr>
          <w:p>
            <w:pPr>
              <w:spacing w:before="560"/>
              <w:jc w:val="center"/>
            </w:pPr>
            <w:r>
              <w:rPr>
                <w:rFonts w:ascii="Calibri Light" w:hAnsi="Calibri Light"/>
                <w:b/>
                <w:color w:val="FFFFFF"/>
                <w:sz w:val="28"/>
              </w:rPr>
              <w:t>DeFi Tracker SaaS — Product Requirements Document v2.0</w:t>
            </w:r>
          </w:p>
          <w:p>
            <w:pPr>
              <w:jc w:val="center"/>
            </w:pPr>
            <w:r>
              <w:rPr>
                <w:rFonts w:ascii="Calibri" w:hAnsi="Calibri"/>
                <w:color w:val="5A7A9E"/>
                <w:sz w:val="18"/>
              </w:rPr>
              <w:t>NextGen IT Solutions GmbH · Stuttgart · März 2026 · Vertraulich</w:t>
            </w:r>
          </w:p>
          <w:p>
            <w:pPr>
              <w:spacing w:after="560"/>
              <w:jc w:val="center"/>
            </w:pPr>
            <w:r>
              <w:rPr>
                <w:rFonts w:ascii="Calibri" w:hAnsi="Calibri"/>
                <w:color w:val="9AB0C8"/>
                <w:sz w:val="19"/>
              </w:rPr>
              <w:t>12 Kapitel · 12 User Stories · 50+ Functional Requirements · 30+ NFRs · 15 Risiken · 11 Sprint-Plan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8" w:color="2E6FFF"/>
              <w:left w:val="single" w:sz="8" w:color="2E6FFF"/>
              <w:bottom w:val="single" w:sz="8" w:color="F5A623"/>
              <w:right w:val="single" w:sz="8" w:color="2E6FFF"/>
            </w:tcBorders>
            <w:shd w:val="clear" w:color="auto" w:fill="0D2E6E"/>
            <w:tcW w:type="dxa" w:w="9072"/>
          </w:tcPr>
          <w:p>
            <w:pPr>
              <w:spacing w:before="640"/>
              <w:jc w:val="center"/>
            </w:pPr>
            <w:r>
              <w:rPr>
                <w:rFonts w:ascii="Calibri Light" w:hAnsi="Calibri Light"/>
                <w:b/>
                <w:color w:val="FFFFFF"/>
                <w:sz w:val="76"/>
              </w:rPr>
              <w:t>DeFi</w:t>
            </w:r>
            <w:r>
              <w:rPr>
                <w:rFonts w:ascii="Calibri Light" w:hAnsi="Calibri Light"/>
                <w:b/>
                <w:color w:val="3B7BFF"/>
                <w:sz w:val="76"/>
              </w:rPr>
              <w:t>Tracker</w:t>
            </w:r>
          </w:p>
          <w:p>
            <w:pPr>
              <w:jc w:val="center"/>
            </w:pPr>
            <w:r>
              <w:rPr>
                <w:rFonts w:ascii="Calibri Light" w:hAnsi="Calibri Light"/>
                <w:b/>
                <w:caps/>
                <w:color w:val="F5A623"/>
                <w:sz w:val="24"/>
              </w:rPr>
              <w:t>PRD v2.0 — ERGÄNZUNG: KAPITEL 09 (VOLLSTÄNDIG)</w:t>
            </w:r>
          </w:p>
          <w:p>
            <w:pPr>
              <w:jc w:val="center"/>
            </w:pPr>
            <w:r>
              <w:rPr>
                <w:rFonts w:ascii="Calibri" w:hAnsi="Calibri"/>
                <w:color w:val="9AB0C8"/>
                <w:sz w:val="21"/>
              </w:rPr>
              <w:t>Roadmap Phase 0–4: Ziele · Deliverables · Team · Budget · Sprint-Plan Phase 4 · Compliance-Roadmap R10</w:t>
            </w:r>
          </w:p>
          <w:p>
            <w:pPr>
              <w:spacing w:after="640"/>
              <w:jc w:val="center"/>
            </w:pPr>
            <w:r>
              <w:rPr>
                <w:rFonts w:ascii="Calibri" w:hAnsi="Calibri"/>
                <w:color w:val="5A7A9E"/>
                <w:sz w:val="18"/>
              </w:rPr>
              <w:t>Ergänzung zum PRD v2.0 · NextGen IT Solutions GmbH · März 2026</w:t>
            </w:r>
          </w:p>
        </w:tc>
      </w:tr>
    </w:tbl>
    <w:p>
      <w:r>
        <w:br w:type="page"/>
      </w:r>
    </w:p>
    <w:p>
      <w:pPr>
        <w:pBdr>
          <w:bottom w:val="single" w:sz="6" w:color="0D2E6E" w:space="4"/>
        </w:pBdr>
        <w:spacing w:before="360" w:after="140"/>
      </w:pPr>
      <w:r>
        <w:rPr>
          <w:rFonts w:ascii="Calibri Light" w:hAnsi="Calibri Light"/>
          <w:b/>
          <w:color w:val="0D2E6E"/>
          <w:sz w:val="38"/>
        </w:rPr>
        <w:t>09  Release-Plan &amp; Meilensteine — Vollständige Phasenbeschreibung</w:t>
      </w:r>
    </w:p>
    <w:p>
      <w:pPr>
        <w:spacing w:before="40" w:after="80"/>
      </w:pPr>
      <w:r>
        <w:rPr>
          <w:rFonts w:ascii="Calibri" w:hAnsi="Calibri"/>
          <w:color w:val="1A2E4A"/>
          <w:sz w:val="21"/>
        </w:rPr>
        <w:t>Die folgende Beschreibung ergänzt die Roadmap-Übersichtstabelle um vollständige Ziel-Statements, Deliverables, Team-Besetzung, Budget und Compliance-Maßnahmen für jede der fünf Entwicklungsphasen. Grundlage ist die Roadmap v1.0 (März 2026).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2" w:color="1A4FBF"/>
              <w:left w:val="thick" w:sz="16" w:color="1A4FBF"/>
              <w:bottom w:val="single" w:sz="2" w:color="1A4FBF"/>
              <w:right w:val="single" w:sz="2" w:color="1A4FBF"/>
            </w:tcBorders>
            <w:shd w:val="clear" w:color="auto" w:fill="EEF4FF"/>
            <w:tcW w:type="dxa" w:w="9072"/>
          </w:tcPr>
          <w:p>
            <w:pPr>
              <w:spacing w:before="80" w:after="20"/>
            </w:pPr>
            <w:r>
              <w:rPr>
                <w:rFonts w:ascii="Calibri" w:hAnsi="Calibri"/>
                <w:b/>
                <w:color w:val="1A4FBF"/>
                <w:sz w:val="19"/>
              </w:rPr>
              <w:t xml:space="preserve">ROADMAP-KENNZAHLEN  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2E4A6E"/>
                <w:sz w:val="19"/>
              </w:rPr>
              <w:t>Gesamtdauer: 12 Monate (April 2026 – Q1 2027)  ·  MVP-Kosten: € 62.000–87.000  ·  MVP-Launch: September 2026  ·  Ziel-Protokolle (gesamt): 6 DeFi-Protokolle  ·  Zielmärkte: B2C + B2B  ·  Break-Even: Q2 2027 bei 1.590 zahlenden Nutzern</w:t>
            </w:r>
          </w:p>
        </w:tc>
      </w:tr>
    </w:tbl>
    <w:p>
      <w:pPr>
        <w:spacing w:before="16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5386"/>
        <w:gridCol w:w="2494"/>
      </w:tblGrid>
      <w:tr>
        <w:tc>
          <w:tcPr>
            <w:tcBorders>
              <w:top w:val="single" w:sz="8" w:color="1A2E4A"/>
              <w:left w:val="single" w:sz="8" w:color="1A2E4A"/>
              <w:bottom w:val="single" w:sz="8" w:color="1A2E4A"/>
              <w:right w:val="single" w:sz="8" w:color="1A2E4A"/>
            </w:tcBorders>
            <w:shd w:val="clear" w:color="auto" w:fill="1A2E4A"/>
            <w:vAlign w:val="center"/>
            <w:tcW w:type="dxa" w:w="3024"/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36"/>
              </w:rPr>
              <w:t>P0</w:t>
            </w:r>
          </w:p>
        </w:tc>
        <w:tc>
          <w:tcPr>
            <w:tcBorders>
              <w:top w:val="single" w:sz="4" w:color="1A2E4A"/>
              <w:left w:val="none" w:sz="0" w:color="auto"/>
              <w:bottom w:val="single" w:sz="4" w:color="1A2E4A"/>
              <w:right w:val="none" w:sz="0" w:color="auto"/>
            </w:tcBorders>
            <w:shd w:val="clear" w:color="auto" w:fill="F8FAFD"/>
            <w:vAlign w:val="center"/>
            <w:tcW w:type="dxa" w:w="3024"/>
          </w:tcPr>
          <w:p>
            <w:r>
              <w:rPr>
                <w:rFonts w:ascii="Calibri Light" w:hAnsi="Calibri Light"/>
                <w:b/>
                <w:color w:val="0D2E6E"/>
                <w:sz w:val="32"/>
              </w:rPr>
              <w:t>Discovery — Technische Grundlagen &amp; Rechtsvalidierung</w:t>
            </w:r>
          </w:p>
          <w:p>
            <w:r>
              <w:rPr>
                <w:rFonts w:ascii="Calibri" w:hAnsi="Calibri"/>
                <w:color w:val="5A7A9E"/>
                <w:sz w:val="19"/>
              </w:rPr>
              <w:t>April 2026</w:t>
            </w:r>
          </w:p>
        </w:tc>
        <w:tc>
          <w:tcPr>
            <w:tcBorders>
              <w:top w:val="single" w:sz="2" w:color="DDE5F0"/>
              <w:left w:val="none" w:sz="0" w:color="auto"/>
              <w:bottom w:val="single" w:sz="2" w:color="DDE5F0"/>
              <w:right w:val="single" w:sz="2" w:color="DDE5F0"/>
            </w:tcBorders>
            <w:shd w:val="clear" w:color="auto" w:fill="E8EEF5"/>
            <w:vAlign w:val="center"/>
            <w:tcW w:type="dxa" w:w="3024"/>
          </w:tcPr>
          <w:p>
            <w:pPr>
              <w:jc w:val="center"/>
            </w:pPr>
            <w:r>
              <w:rPr>
                <w:rFonts w:ascii="Calibri" w:hAnsi="Calibri"/>
                <w:b/>
                <w:color w:val="1A2E4A"/>
                <w:sz w:val="22"/>
              </w:rPr>
              <w:t>4 Wochen</w:t>
            </w:r>
          </w:p>
        </w:tc>
      </w:tr>
    </w:tbl>
    <w:p>
      <w:pPr>
        <w:spacing w:before="10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2" w:color="1A2E4A"/>
              <w:left w:val="thick" w:sz="16" w:color="1A2E4A"/>
              <w:bottom w:val="single" w:sz="2" w:color="1A2E4A"/>
              <w:right w:val="single" w:sz="2" w:color="1A2E4A"/>
            </w:tcBorders>
            <w:shd w:val="clear" w:color="auto" w:fill="F5F7FA"/>
            <w:tcW w:type="dxa" w:w="9072"/>
          </w:tcPr>
          <w:p>
            <w:pPr>
              <w:spacing w:before="80" w:after="20"/>
            </w:pPr>
            <w:r>
              <w:rPr>
                <w:rFonts w:ascii="Calibri" w:hAnsi="Calibri"/>
                <w:b/>
                <w:color w:val="1A2E4A"/>
                <w:sz w:val="19"/>
              </w:rPr>
              <w:t xml:space="preserve">ZIEL PHASE 0  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2E4A6E"/>
                <w:sz w:val="19"/>
              </w:rPr>
              <w:t>Technische und rechtliche Grundlagen schaffen, bevor mit der Entwicklung begonnen wird. Alle Subgraph-Quellen validieren, Steuerrechts-Graubereiche klären, DSGVO-Konzept erstellen und erste Nutzerfeedbacks aus der Flare-Community einholen.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Calibri" w:hAnsi="Calibri"/>
          <w:b/>
          <w:color w:val="1A2E4A"/>
          <w:sz w:val="26"/>
        </w:rPr>
        <w:t>Deliverables &amp; Aufgaben (Phase 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1417"/>
        <w:gridCol w:w="3118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Aufgabe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Beschreibung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Verantwortlich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Deliverable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Technische Architektur definieren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Systemarchitektur (7-Layer), Tech-Stack-Entscheidungen, Datenbankschema v1 dokumentieren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CTO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Architekturdokument DOCX + Draw.io-Diagramm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Smart-Contract-ABIs sammeln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ABIs aller 6 Ziel-Protokolle beschaffen: SparkDEX V4, Ēnosys V3+CDP, Kinetic, Stargate, Aave V3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Backend-Dev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ABI-Registry-Ordner (JSON-Dateien)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Steuerrechts-Validierung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BMF 2025: LP-Graubereich, CDP-Einordnung, FlareDrop-Besteuerungszeitpunkt durch Steuerberater prüfen lassen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Steuerberater (extern)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Steuerberater-Gutachten + Mapping-Freigabe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The Graph Subgraph-Audit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Verfügbare Subgraphs für SparkDEX V4 und Ēnosys V3 auf Vollständigkeit und Aktualität prüfen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Backend-Dev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Subgraph-Audit-Report; RPC-Fallback-Strategie dokumentiert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10 Nutzerinterviews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Flare-Community-Mitglieder zu ihren TX-Tracking-Problemen befragen (Discord, Telegram)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CEO / Product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Interview-Protokoll; Top-5-Probleme identifiziert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Wettbewerbsmonitoring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Blockpit, Koinly, CoinTracking auf Flare-Support prüfen; Battle-Cards erstellen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CEO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Wettbewerbs-Matrix; Alert-System für Flare-Integrationen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DSGVO-Datenschutzkonzept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DSFA (Art. 35 DSGVO) für Finanzdaten-Verarbeitung; VASP/CASP-Status klären (§ 2 GwG)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CEO + Rechtsberater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DSFA-Dokument; VASP-Rechtsgutachten (Kurzform)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Sprint-Struktur aufsetzen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GitHub-Repos anlegen; CI/CD-Pipeline (GitHub Actions) konfigurieren; Sprint-Kalender festlegen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DevOps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CI/CD läuft grün; Sprint-1-Backlog befüllt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Calibri" w:hAnsi="Calibri"/>
          <w:b/>
          <w:color w:val="1A2E4A"/>
          <w:sz w:val="26"/>
        </w:rPr>
        <w:t>Team &amp; Ressourcen (Phase 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1417"/>
        <w:gridCol w:w="3969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Rolle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Aufwand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Kosten (Schätzung)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Anmerkung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Senior Backend-Dev (Blockchain)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4 Wochen (Vollzeit)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€ 8.000–10.000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ABI-Sammlung, Subgraph-Audit, Architektur-Entscheidung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Krypto-Steuerberater (extern)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0,5 Wochen Beratung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€ 2.000–4.000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LP/CDP-Graubereich-Validierung; Einmalig Phase 0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CEO / Product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2 Wochen (Teilzeit)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intern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Nutzerinterviews, Wettbewerbsmonitoring, VASP-Klärung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Rechtsberater (extern)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0,5 Wochen Beratung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€ 1.500–3.000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DSFA, VASP-Gutachten; Einmalig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Calibri" w:hAnsi="Calibri"/>
          <w:b/>
          <w:color w:val="1A2E4A"/>
          <w:sz w:val="26"/>
        </w:rPr>
        <w:t>Erfolgs-Kriterien (Phase-0-Gate)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Alle 6 Protokoll-ABIs beschafft und in ABI-Registry eingecheckt (GitHub)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Steuerberater hat LP/CDP/Bridge-Mapping freigegeben (schriftlich)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DSFA erstellt; VASP-Status als 'kein GwG-Verpflichteter' bestätigt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Subgraphs für SparkDEX V4 + Ēnosys V3 als tauglich bewertet (oder RPC-Fallback dokumentiert)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CI/CD-Pipeline läuft; Sprint-1-Backlog vollständig priorisiert</w:t>
      </w:r>
    </w:p>
    <w:p>
      <w:pPr>
        <w:pStyle w:val="ListBullet"/>
        <w:spacing w:before="20" w:after="40"/>
      </w:pPr>
      <w:r>
        <w:rPr>
          <w:rFonts w:ascii="Calibri" w:hAnsi="Calibri"/>
          <w:color w:val="1A2E4A"/>
          <w:sz w:val="21"/>
        </w:rPr>
        <w:t>≥ 10 Nutzerinterviews abgeschlossen; Top-5-Pain-Points dokumentiert</w:t>
      </w:r>
    </w:p>
    <w:p>
      <w:pPr>
        <w:spacing w:before="100" w:after="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5386"/>
        <w:gridCol w:w="2494"/>
      </w:tblGrid>
      <w:tr>
        <w:tc>
          <w:tcPr>
            <w:tcBorders>
              <w:top w:val="single" w:sz="8" w:color="0A5040"/>
              <w:left w:val="single" w:sz="8" w:color="0A5040"/>
              <w:bottom w:val="single" w:sz="8" w:color="0A5040"/>
              <w:right w:val="single" w:sz="8" w:color="0A5040"/>
            </w:tcBorders>
            <w:shd w:val="clear" w:color="auto" w:fill="0A5040"/>
            <w:vAlign w:val="center"/>
            <w:tcW w:type="dxa" w:w="3024"/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36"/>
              </w:rPr>
              <w:t>P1</w:t>
            </w:r>
          </w:p>
        </w:tc>
        <w:tc>
          <w:tcPr>
            <w:tcBorders>
              <w:top w:val="single" w:sz="4" w:color="0A5040"/>
              <w:left w:val="none" w:sz="0" w:color="auto"/>
              <w:bottom w:val="single" w:sz="4" w:color="0A5040"/>
              <w:right w:val="none" w:sz="0" w:color="auto"/>
            </w:tcBorders>
            <w:shd w:val="clear" w:color="auto" w:fill="F8FAFD"/>
            <w:vAlign w:val="center"/>
            <w:tcW w:type="dxa" w:w="3024"/>
          </w:tcPr>
          <w:p>
            <w:r>
              <w:rPr>
                <w:rFonts w:ascii="Calibri Light" w:hAnsi="Calibri Light"/>
                <w:b/>
                <w:color w:val="0D2E6E"/>
                <w:sz w:val="32"/>
              </w:rPr>
              <w:t>MVP Build — Kern-Entwicklung &amp; Flare-Integration</w:t>
            </w:r>
          </w:p>
          <w:p>
            <w:r>
              <w:rPr>
                <w:rFonts w:ascii="Calibri" w:hAnsi="Calibri"/>
                <w:color w:val="5A7A9E"/>
                <w:sz w:val="19"/>
              </w:rPr>
              <w:t>Mai – Juli 2026</w:t>
            </w:r>
          </w:p>
        </w:tc>
        <w:tc>
          <w:tcPr>
            <w:tcBorders>
              <w:top w:val="single" w:sz="2" w:color="DDE5F0"/>
              <w:left w:val="none" w:sz="0" w:color="auto"/>
              <w:bottom w:val="single" w:sz="2" w:color="DDE5F0"/>
              <w:right w:val="single" w:sz="2" w:color="DDE5F0"/>
            </w:tcBorders>
            <w:shd w:val="clear" w:color="auto" w:fill="E8EEF5"/>
            <w:vAlign w:val="center"/>
            <w:tcW w:type="dxa" w:w="3024"/>
          </w:tcPr>
          <w:p>
            <w:pPr>
              <w:jc w:val="center"/>
            </w:pPr>
            <w:r>
              <w:rPr>
                <w:rFonts w:ascii="Calibri" w:hAnsi="Calibri"/>
                <w:b/>
                <w:color w:val="0A5040"/>
                <w:sz w:val="22"/>
              </w:rPr>
              <w:t>12 Wochen</w:t>
            </w:r>
          </w:p>
        </w:tc>
      </w:tr>
    </w:tbl>
    <w:p>
      <w:pPr>
        <w:spacing w:before="10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2" w:color="085041"/>
              <w:left w:val="thick" w:sz="16" w:color="085041"/>
              <w:bottom w:val="single" w:sz="2" w:color="085041"/>
              <w:right w:val="single" w:sz="2" w:color="085041"/>
            </w:tcBorders>
            <w:shd w:val="clear" w:color="auto" w:fill="E1F5EE"/>
            <w:tcW w:type="dxa" w:w="9072"/>
          </w:tcPr>
          <w:p>
            <w:pPr>
              <w:spacing w:before="80" w:after="20"/>
            </w:pPr>
            <w:r>
              <w:rPr>
                <w:rFonts w:ascii="Calibri" w:hAnsi="Calibri"/>
                <w:b/>
                <w:color w:val="085041"/>
                <w:sz w:val="19"/>
              </w:rPr>
              <w:t xml:space="preserve">ZIEL PHASE 1  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2E4A6E"/>
                <w:sz w:val="19"/>
              </w:rPr>
              <w:t>Vollständig funktionsfähiges MVP mit Integration aller drei Flare-nativen Protokolle (SparkDEX V3/V4, Ēnosys DEX+CDP, Kinetic Market), FTSO-EUR-Kursbewertung, CoinTracking-CSV-Export (15 Spalten) und FIFO-Steuerberechnung nach BMF 2025. Time-to-Value: &lt; 5 Minuten.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Calibri" w:hAnsi="Calibri"/>
          <w:b/>
          <w:color w:val="1A2E4A"/>
          <w:sz w:val="26"/>
        </w:rPr>
        <w:t>Deliverables &amp; Aufgaben (Phase 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850"/>
        <w:gridCol w:w="3118"/>
        <w:gridCol w:w="2835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Aufgabe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Sprint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Beschreibung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Akzeptanz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Flare Network Wallet-Import &amp; TX-Indexer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S1–S2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Multi-Wallet-Connect (MetaMask, WalletConnect, manuell); historischer Import ab Block 0; Real-Time WebSocket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100% TX importiert; kein Duplikat; Fortschrittsanzeige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FTSO EUR-Kursbewertung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On-Chain-FTSO-Kurs zum Block-Timestamp; CoinGecko + CMC Fallback; Audit-Log-Eintrag je TX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FTSO-Kurs-Abweichung &lt; 0,1%; Kursquelle im Log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SparkDEX V3/V4 Indexer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S3–S4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Swap, LP Provide/Remove, Farming, Staking, Perps; V4-Multi-Action aufteilen; Gamma-Positionen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E2E-Test gegen echte TX grün; alle CT-Typen korrekt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Ēnosys DEX + CDP Indexer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AMM-Swaps, CDP-Loans, Farming-Rewards; Dual-Szenario-Modal für CDP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Dual-Szenario A/B funktioniert; Graubereich-Ampel gelb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Kinetic Market Indexer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Supply/Borrow/Repay/Liquidation; kToken-Delta-Berechnung; Health-Factor-Events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Zinsertrag korrekt berechnet; Liquidation als Sonder-TX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TX-Klassifikations-Engine + Ampel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S7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5-Layer-Rule-Engine; Ampel-System (Grün/Gelb/Rot/Grau); Dual-Szenario-Logik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Ampel korrekt für 100% der Test-TX; 0 falsche Grün-Klassifikationen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CoinTracking CSV-Export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S8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15-Spalten-Format; Pre-Export-Validierung; Audit-Log-Versionierung (GoBD)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CoinTracking-Import 0 Fehler (E2E-Integrationstest)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Portfolio-Dashboard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S9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KPI-Kacheln, Haltefrist-Tracker, Freigrenze-Balken, Ampel-Donut, TX-Liste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Dashboard lädt &lt; 2s; WCAG 2.2 AA; Freigrenze korrekt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Manuelle TX-Klassifikation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S10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UI-Flow für rote Ampel-TX; alle CT-Typen als Dropdown; Bulk-Klassifikation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Nutzer kann alle TX manuell klassifizieren; Log-Eintrag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DSGVO-Module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S10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Datenschutzerklärung + Impressum; Lösch-Funktion (Art. 17); Cookie-Consent-Banner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Löschtest: Alle Daten innerhalb 30 Tagen gelöscht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Auth + 2FA (TOTP)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NextAuth.js v5; JWT + Refresh-Token; TOTP optional Phase 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Login &lt; 3s; 2FA-Enrollment erfolgreich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Pricing-Tiers (technisch)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S10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Starter/Pro/Business in Stripe integriert; Feature-Flags je Plan; Trial-Modus (20 TX free)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Paywall korrekt enforced; Upgrade-Prompt bei Limit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Calibri" w:hAnsi="Calibri"/>
          <w:b/>
          <w:color w:val="1A2E4A"/>
          <w:sz w:val="26"/>
        </w:rPr>
        <w:t>Team &amp; Budget (Phase 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417"/>
        <w:gridCol w:w="1417"/>
        <w:gridCol w:w="3685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Rolle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Aufwand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Kosten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Kernaufgaben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Senior Backend-Dev (Blockchain)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12 Wochen (Vollzeit)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€ 24.000–32.000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Protokoll-Indexer (SparkDEX, Ēnosys, Kinetic), FTSO-Integration, ABI-Decoding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Backend-Dev (Node.js / API)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12 Wochen (Vollzeit)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€ 15.000–21.000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tRPC-API, Steuerberechnungs-Engine (FIFO/Dual-Szenario), Export-Engine, Auth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Frontend-Dev (Next.js)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12 Wochen (Vollzeit)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€ 10.000–14.000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Dashboard, Onboarding-Flow, Ampel-UI, Wallet-Connect-Modal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DevOps / Cloud (Hetzner)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4 Wochen (Teilzeit)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€ 4.000–6.000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CI/CD-Pipeline, Docker+Coolify, PostgreSQL+Redis, Monitoring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QA &amp; Testing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4 Wochen (Teilzeit)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€ 4.000–6.000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E2E-Tests (Playwright), k6-Performance-Tests, WCAG-axe-Audit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8"/>
              </w:rPr>
              <w:t>GESAMT PHASE 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8"/>
              </w:rPr>
              <w:t>~32 PM-Wochen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8"/>
              </w:rPr>
              <w:t>€ 57.000–79.000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Zzgl. Infrastructure (Hetzner ~€ 200/Monat) + Steuerberater-Review</w:t>
            </w:r>
          </w:p>
        </w:tc>
      </w:tr>
    </w:tbl>
    <w:p>
      <w:pPr>
        <w:spacing w:before="100" w:after="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5386"/>
        <w:gridCol w:w="2494"/>
      </w:tblGrid>
      <w:tr>
        <w:tc>
          <w:tcPr>
            <w:tcBorders>
              <w:top w:val="single" w:sz="8" w:color="0C2F6E"/>
              <w:left w:val="single" w:sz="8" w:color="0C2F6E"/>
              <w:bottom w:val="single" w:sz="8" w:color="0C2F6E"/>
              <w:right w:val="single" w:sz="8" w:color="0C2F6E"/>
            </w:tcBorders>
            <w:shd w:val="clear" w:color="auto" w:fill="0C2F6E"/>
            <w:vAlign w:val="center"/>
            <w:tcW w:type="dxa" w:w="3024"/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36"/>
              </w:rPr>
              <w:t>P2</w:t>
            </w:r>
          </w:p>
        </w:tc>
        <w:tc>
          <w:tcPr>
            <w:tcBorders>
              <w:top w:val="single" w:sz="4" w:color="0C2F6E"/>
              <w:left w:val="none" w:sz="0" w:color="auto"/>
              <w:bottom w:val="single" w:sz="4" w:color="0C2F6E"/>
              <w:right w:val="none" w:sz="0" w:color="auto"/>
            </w:tcBorders>
            <w:shd w:val="clear" w:color="auto" w:fill="F8FAFD"/>
            <w:vAlign w:val="center"/>
            <w:tcW w:type="dxa" w:w="3024"/>
          </w:tcPr>
          <w:p>
            <w:r>
              <w:rPr>
                <w:rFonts w:ascii="Calibri Light" w:hAnsi="Calibri Light"/>
                <w:b/>
                <w:color w:val="0D2E6E"/>
                <w:sz w:val="32"/>
              </w:rPr>
              <w:t>Beta — Geschlossener Beta-Test &amp; Validierung</w:t>
            </w:r>
          </w:p>
          <w:p>
            <w:r>
              <w:rPr>
                <w:rFonts w:ascii="Calibri" w:hAnsi="Calibri"/>
                <w:color w:val="5A7A9E"/>
                <w:sz w:val="19"/>
              </w:rPr>
              <w:t>August 2026</w:t>
            </w:r>
          </w:p>
        </w:tc>
        <w:tc>
          <w:tcPr>
            <w:tcBorders>
              <w:top w:val="single" w:sz="2" w:color="DDE5F0"/>
              <w:left w:val="none" w:sz="0" w:color="auto"/>
              <w:bottom w:val="single" w:sz="2" w:color="DDE5F0"/>
              <w:right w:val="single" w:sz="2" w:color="DDE5F0"/>
            </w:tcBorders>
            <w:shd w:val="clear" w:color="auto" w:fill="E8EEF5"/>
            <w:vAlign w:val="center"/>
            <w:tcW w:type="dxa" w:w="3024"/>
          </w:tcPr>
          <w:p>
            <w:pPr>
              <w:jc w:val="center"/>
            </w:pPr>
            <w:r>
              <w:rPr>
                <w:rFonts w:ascii="Calibri" w:hAnsi="Calibri"/>
                <w:b/>
                <w:color w:val="0C2F6E"/>
                <w:sz w:val="22"/>
              </w:rPr>
              <w:t>4 Wochen</w:t>
            </w:r>
          </w:p>
        </w:tc>
      </w:tr>
    </w:tbl>
    <w:p>
      <w:pPr>
        <w:spacing w:before="10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2" w:color="0C2F6E"/>
              <w:left w:val="thick" w:sz="16" w:color="0C2F6E"/>
              <w:bottom w:val="single" w:sz="2" w:color="0C2F6E"/>
              <w:right w:val="single" w:sz="2" w:color="0C2F6E"/>
            </w:tcBorders>
            <w:shd w:val="clear" w:color="auto" w:fill="EEF4FF"/>
            <w:tcW w:type="dxa" w:w="9072"/>
          </w:tcPr>
          <w:p>
            <w:pPr>
              <w:spacing w:before="80" w:after="20"/>
            </w:pPr>
            <w:r>
              <w:rPr>
                <w:rFonts w:ascii="Calibri" w:hAnsi="Calibri"/>
                <w:b/>
                <w:color w:val="0C2F6E"/>
                <w:sz w:val="19"/>
              </w:rPr>
              <w:t xml:space="preserve">ZIEL PHASE 2  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2E4A6E"/>
                <w:sz w:val="19"/>
              </w:rPr>
              <w:t>50 Early-Adopter aus der Flare DeFi Community testen den MVP intensiv. Alle gefundenen Bugs werden behoben, der Steuerberater validiert alle 35+ TX-Mappings, und die CoinTracking-CSV-Kompatibilität wird End-to-End getestet. SUS-Score ≥ 70; NPS ≥ 40.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Calibri" w:hAnsi="Calibri"/>
          <w:b/>
          <w:color w:val="1A2E4A"/>
          <w:sz w:val="26"/>
        </w:rPr>
        <w:t>Deliverables &amp; Aufgaben (Phase 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551"/>
        <w:gridCol w:w="1417"/>
        <w:gridCol w:w="2835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Aufgabe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Beschreibung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Verantwortlich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Erfolgs-Kriterium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Beta-Recruiting: 50 Early-Adopter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Flare-Community (Discord, Telegram, Reddit r/FlareNetworks) — Mix: 60% Einsteiger, 40% Experten; Incentive: 3 Monate Pro kostenlos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CEO + Community Manager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50 registrierte Beta-Nutzer mit aktivem Flare-Wallet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Onboarding-Usability-Test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5 Think-Aloud-Tests (3× Lena-Profil, 2× Kai-Profil); Session-Recording; TtV-Messung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Product + UX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TtV &lt; 5 Min. bei ≥ 4/5; SUS-Score ≥ 70; Top-3-Probleme dokumentiert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Bug-Fixing-Sprint (2 Wochen)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Alle P0/P1-Bugs aus Beta-Feedback beheben; Weekly-Builds für Beta-Tester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Engineering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0 offene P0-Bugs; &lt; 5 offene P1-Bugs am Ende Phase 2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CoinTracking E2E-Import-Test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Exporte aus 10 verschiedenen Flare-Wallets (div. TX-Typen) direkt in CoinTracking importieren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Backend-Dev + QA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100% der Test-Exporte werden von CoinTracking akzeptiert (0 Fehler)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Steuerberater-Abnahme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Alle 35+ TX-Typen-Mappings von qualifiziertem Steuerberater prüfen lassen; Protokoll erstellen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CEO + Steuerberater extern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Schriftliche Freigabe aller TX-Mappings (§ 22/§ 23 EStG, LP-Dual-Szenario)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Performance-Optimierung Indexer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Sync-Latenz auf &lt; 30s optimieren; DB-Query-Plan-Optimierung; Redis-Cache für häufige Queries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Backend-Dev + DevOps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p95 API &lt; 500ms; Indexer-Lag &lt; 30s bei 1.000 TX/Wallet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Security-Audit (intern)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OWASP-ASVS-L2-Check intern durchführen; Wallet-Datenspeicherung prüfen; API-Keys testen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CTO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0 kritische/hohe CVSS-Findings; Pentest-Scope für externe Prüfung Q3 2027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Nutzerdokumentation erstellen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FAQ (20 häufigste Fragen), Kurzanleitung, In-App-Tooltips, Graubereich-Erklärungstexte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Product + Content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FAQ live; alle Tooltips in Deutsch; Graubereich-Erklärung verständlich (Lena-Test)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WCAG-2.2-AA-Prüfung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axe-core-Audit aller Screens; manuelle Tastatur-Navigation-Prüfung; Screen-Reader-Test (NVDA)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UX + QA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0 WCAG-2.2-AA-Violations; alle interaktiven Elemente tastatur-navigierbar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Calibri" w:hAnsi="Calibri"/>
          <w:b/>
          <w:color w:val="1A2E4A"/>
          <w:sz w:val="26"/>
        </w:rPr>
        <w:t>Team &amp; Budget (Phase 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417"/>
        <w:gridCol w:w="1417"/>
        <w:gridCol w:w="3685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Rolle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Aufwand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Kosten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Aufgabe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Backend-Dev × 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4 Wochen (Vollzeit)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€ 8.000–12.000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Bug-Fixing, Performance-Optimierung, CoinTracking-E2E-Tests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QA Engineer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4 Wochen (Vollzeit)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€ 4.000–6.000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Systematisches Bug-Testing, WCAG-Audit, Usability-Tests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Krypto-Steuerberater (extern)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1 Woche (Intensiv)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€ 3.000–5.000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TX-Mapping-Abnahme; schriftliche Freigabe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8"/>
              </w:rPr>
              <w:t>GESAMT PHASE 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8"/>
              </w:rPr>
              <w:t>~12 PM-Wochen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8"/>
              </w:rPr>
              <w:t>€ 15.000–23.000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Zzgl. Beta-Nutzer-Incentive (~€ 1.500 für 50× 3 Monate Pro)</w:t>
            </w:r>
          </w:p>
        </w:tc>
      </w:tr>
    </w:tbl>
    <w:p>
      <w:pPr>
        <w:spacing w:before="100" w:after="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5386"/>
        <w:gridCol w:w="2494"/>
      </w:tblGrid>
      <w:tr>
        <w:tc>
          <w:tcPr>
            <w:tcBorders>
              <w:top w:val="single" w:sz="8" w:color="E65100"/>
              <w:left w:val="single" w:sz="8" w:color="E65100"/>
              <w:bottom w:val="single" w:sz="8" w:color="E65100"/>
              <w:right w:val="single" w:sz="8" w:color="E65100"/>
            </w:tcBorders>
            <w:shd w:val="clear" w:color="auto" w:fill="E65100"/>
            <w:vAlign w:val="center"/>
            <w:tcW w:type="dxa" w:w="3024"/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36"/>
              </w:rPr>
              <w:t>P3</w:t>
            </w:r>
          </w:p>
        </w:tc>
        <w:tc>
          <w:tcPr>
            <w:tcBorders>
              <w:top w:val="single" w:sz="4" w:color="E65100"/>
              <w:left w:val="none" w:sz="0" w:color="auto"/>
              <w:bottom w:val="single" w:sz="4" w:color="E65100"/>
              <w:right w:val="none" w:sz="0" w:color="auto"/>
            </w:tcBorders>
            <w:shd w:val="clear" w:color="auto" w:fill="F8FAFD"/>
            <w:vAlign w:val="center"/>
            <w:tcW w:type="dxa" w:w="3024"/>
          </w:tcPr>
          <w:p>
            <w:r>
              <w:rPr>
                <w:rFonts w:ascii="Calibri Light" w:hAnsi="Calibri Light"/>
                <w:b/>
                <w:color w:val="0D2E6E"/>
                <w:sz w:val="32"/>
              </w:rPr>
              <w:t>Launch — Go-to-Market &amp; Markteinführung</w:t>
            </w:r>
          </w:p>
          <w:p>
            <w:r>
              <w:rPr>
                <w:rFonts w:ascii="Calibri" w:hAnsi="Calibri"/>
                <w:color w:val="5A7A9E"/>
                <w:sz w:val="19"/>
              </w:rPr>
              <w:t>September 2026</w:t>
            </w:r>
          </w:p>
        </w:tc>
        <w:tc>
          <w:tcPr>
            <w:tcBorders>
              <w:top w:val="single" w:sz="2" w:color="DDE5F0"/>
              <w:left w:val="none" w:sz="0" w:color="auto"/>
              <w:bottom w:val="single" w:sz="2" w:color="DDE5F0"/>
              <w:right w:val="single" w:sz="2" w:color="DDE5F0"/>
            </w:tcBorders>
            <w:shd w:val="clear" w:color="auto" w:fill="E8EEF5"/>
            <w:vAlign w:val="center"/>
            <w:tcW w:type="dxa" w:w="3024"/>
          </w:tcPr>
          <w:p>
            <w:pPr>
              <w:jc w:val="center"/>
            </w:pPr>
            <w:r>
              <w:rPr>
                <w:rFonts w:ascii="Calibri" w:hAnsi="Calibri"/>
                <w:b/>
                <w:color w:val="E65100"/>
                <w:sz w:val="22"/>
              </w:rPr>
              <w:t>Go-Live</w:t>
            </w:r>
          </w:p>
        </w:tc>
      </w:tr>
    </w:tbl>
    <w:p>
      <w:pPr>
        <w:spacing w:before="10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2" w:color="E65100"/>
              <w:left w:val="thick" w:sz="16" w:color="E65100"/>
              <w:bottom w:val="single" w:sz="2" w:color="E65100"/>
              <w:right w:val="single" w:sz="2" w:color="E65100"/>
            </w:tcBorders>
            <w:shd w:val="clear" w:color="auto" w:fill="FFF8E8"/>
            <w:tcW w:type="dxa" w:w="9072"/>
          </w:tcPr>
          <w:p>
            <w:pPr>
              <w:spacing w:before="80" w:after="20"/>
            </w:pPr>
            <w:r>
              <w:rPr>
                <w:rFonts w:ascii="Calibri" w:hAnsi="Calibri"/>
                <w:b/>
                <w:color w:val="E65100"/>
                <w:sz w:val="19"/>
              </w:rPr>
              <w:t xml:space="preserve">ZIEL PHASE 3 + STRATEGISCHES TIMING  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2E4A6E"/>
                <w:sz w:val="19"/>
              </w:rPr>
              <w:t>Öffentlicher Launch auf app.defi-tracker.de. Pricing-Tiers aktivieren, Marketing-Kampagnen starten, strategische Partnerschaften einleiten. STRATEGISCHER VORTEIL: Der Launch im September 2026 ist unmittelbar vor der Hochsaison der Steuererklärungen (Abgabe bis 31.07.2027) und zeitgleich mit dem DAC8-Compliance-Druck, der Krypto-Nutzer ab 2026 erstmals systematisch erfasst. First-Mover-Fenster: 12–18 Monate.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Calibri" w:hAnsi="Calibri"/>
          <w:b/>
          <w:color w:val="1A2E4A"/>
          <w:sz w:val="26"/>
        </w:rPr>
        <w:t>Deliverables &amp; Aufgaben (Phase 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1417"/>
        <w:gridCol w:w="3118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Aufgabe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Beschreibung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Verantwortlich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KPI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Public Launch: app.defi-tracker.de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Produktionsumgebung live schalten; DNS-Konfiguration; Monitoring aktivieren (Prometheus + Grafana + Sentry)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DevOps + CTO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Uptime &gt; 99,5% am Launch-Tag; 0 P0-Vorfälle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Pricing-Aktivierung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Starter/Pro/Business/Kanzlei-Pläne in Stripe aktivieren; Jahres-Toggle; 30-Tage-Geld-zurück-Garantie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Product + CEO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Zahlungsflow funktioniert; Stripe-Webhook verarbeitet Events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Marketing-Launch (Owned)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Landing Page final; SEO-Artikel (5×) live; E-Mail-Warteliste konvertieren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Content + SEO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≥ 500 Registrierungen in Woche 1; E-Mail-Open-Rate &gt; 40%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Community-PR (Earned)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Blocktrainer Forum + Discord-Post; Reddit r/CryptoCurrency DE + r/FlareNetworks; X/Twitter-Thread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Community Manager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≥ 50 organische Diskussions-Kommentare; ≥ 3 DeFi-Influencer-Mentions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Krypto-Medien PR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Pressemitteilung an BTC-ECHO, Coin-Ratgeber, Cryptomonday; exklusives Interview CEO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CEO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≥ 2 publizierte Artikel; ≥ 1 ausführliche Review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Flare Network Foundation — Partner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Ecosystem-Grant-Antrag; Listing auf flare.network/ecosystem; Co-Marketing-Agreement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CEO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Antrag eingereicht; Erwähnung auf Flare-Website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B2B-Outreach Kanzleien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5 Steuerberatungskanzleien persönlich kontaktieren (Stuttgart + Frankfurt); Demo-Gespräche buchen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CEO + Sales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≥ 3 Demo-Gespräche vereinbart; 1 Kanzlei-Trial gestartet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CoinTracking-Partner-Zertifizierung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Certified-Partner-Status bei CoinTracking beantragen; Import-Kompatibilität nachweisen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Product + CEO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Antrag eingereicht; Partner-Badge angestrebt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Support-System einrichten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Zendesk oder Crisp einrichten; FAQ live; erste-Antwort-Zeit &lt; 4h (Werktage)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Support + Product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First-Response-Time &lt; 4h; CSAT ≥ 4,0/5,0 nach 30 Tagen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Trustpilot-Profil + erste Reviews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Profil erstellen; erste 10 Beta-Nutzer um Bewertung bitten; Review-Request-Automation einrichten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Marketing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≥ 10 Trustpilot-Bewertungen; Ø ≥ 4,0 Sterne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Calibri" w:hAnsi="Calibri"/>
          <w:b/>
          <w:color w:val="1A2E4A"/>
          <w:sz w:val="26"/>
        </w:rPr>
        <w:t>Team &amp; Budget (Phase 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417"/>
        <w:gridCol w:w="1417"/>
        <w:gridCol w:w="3685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Rolle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Aufwand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Kosten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Aufgabe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Full Dev-Team (on-call)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Launch-Woche Vollzeit, dann 50%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€ 8.000–12.000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Hotfixes, Performance-Monitoring, Launch-Day-Bereitschaft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Marketing / Content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4 Wochen (Vollzeit)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€ 4.000–8.000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Landing Page, PR, Social Media, Community-Management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CEO / Sales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4 Wochen (Vollzeit)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intern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B2B-Outreach, Partnership-Gespräche, Press-Interviews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Support (extern oder intern)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4 Wochen (Teilzeit)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€ 2.000–3.000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Helpdesk-Aufbau, FAQ-Pflege, erste User-Support-Tickets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Calibri" w:hAnsi="Calibri"/>
          <w:b/>
          <w:color w:val="1A2E4A"/>
          <w:sz w:val="26"/>
        </w:rPr>
        <w:t>Launch-KPIs (30-Tage-Ziel)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984"/>
        <w:gridCol w:w="4535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302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302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Zielwert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302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Messung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Registrierungen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≥ 300 in Monat 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Mixpanel + Stripe Dashboard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Zahlende Nutzer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≥ 80 (Trial→Paid Conversion ≥ 15%)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Stripe: subscription_created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MRR nach 30 Tagen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≥ € 2.000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Stripe MRR-Dashboard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Churn (Monat 1)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&lt; 5%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Stripe: subscription_cancelled / total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NPS (erste Messung)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≥ 35 (Basis; optimistisch ≥ 40)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In-App-Survey D+14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Trustpilot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≥ 10 Bewertungen; Ø ≥ 4,0 Sterne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3024"/>
          </w:tcPr>
          <w:p>
            <w:r>
              <w:rPr>
                <w:rFonts w:ascii="Calibri" w:hAnsi="Calibri"/>
                <w:color w:val="2E4A6E"/>
                <w:sz w:val="18"/>
              </w:rPr>
              <w:t>Trustpilot Dashboard</w:t>
            </w:r>
          </w:p>
        </w:tc>
      </w:tr>
    </w:tbl>
    <w:p>
      <w:pPr>
        <w:spacing w:before="100" w:after="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5386"/>
        <w:gridCol w:w="2494"/>
      </w:tblGrid>
      <w:tr>
        <w:tc>
          <w:tcPr>
            <w:tcBorders>
              <w:top w:val="single" w:sz="8" w:color="7C3AED"/>
              <w:left w:val="single" w:sz="8" w:color="7C3AED"/>
              <w:bottom w:val="single" w:sz="8" w:color="7C3AED"/>
              <w:right w:val="single" w:sz="8" w:color="7C3AED"/>
            </w:tcBorders>
            <w:shd w:val="clear" w:color="auto" w:fill="7C3AED"/>
            <w:vAlign w:val="center"/>
            <w:tcW w:type="dxa" w:w="3024"/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36"/>
              </w:rPr>
              <w:t>P4</w:t>
            </w:r>
          </w:p>
        </w:tc>
        <w:tc>
          <w:tcPr>
            <w:tcBorders>
              <w:top w:val="single" w:sz="4" w:color="7C3AED"/>
              <w:left w:val="none" w:sz="0" w:color="auto"/>
              <w:bottom w:val="single" w:sz="4" w:color="7C3AED"/>
              <w:right w:val="none" w:sz="0" w:color="auto"/>
            </w:tcBorders>
            <w:shd w:val="clear" w:color="auto" w:fill="F8FAFD"/>
            <w:vAlign w:val="center"/>
            <w:tcW w:type="dxa" w:w="3024"/>
          </w:tcPr>
          <w:p>
            <w:r>
              <w:rPr>
                <w:rFonts w:ascii="Calibri Light" w:hAnsi="Calibri Light"/>
                <w:b/>
                <w:color w:val="0D2E6E"/>
                <w:sz w:val="32"/>
              </w:rPr>
              <w:t>Skalierung — Multi-Chain, ELSTER &amp; B2B-Portal</w:t>
            </w:r>
          </w:p>
          <w:p>
            <w:r>
              <w:rPr>
                <w:rFonts w:ascii="Calibri" w:hAnsi="Calibri"/>
                <w:color w:val="5A7A9E"/>
                <w:sz w:val="19"/>
              </w:rPr>
              <w:t>Q4 2026 – Q1 2027</w:t>
            </w:r>
          </w:p>
        </w:tc>
        <w:tc>
          <w:tcPr>
            <w:tcBorders>
              <w:top w:val="single" w:sz="2" w:color="DDE5F0"/>
              <w:left w:val="none" w:sz="0" w:color="auto"/>
              <w:bottom w:val="single" w:sz="2" w:color="DDE5F0"/>
              <w:right w:val="single" w:sz="2" w:color="DDE5F0"/>
            </w:tcBorders>
            <w:shd w:val="clear" w:color="auto" w:fill="E8EEF5"/>
            <w:vAlign w:val="center"/>
            <w:tcW w:type="dxa" w:w="3024"/>
          </w:tcPr>
          <w:p>
            <w:pPr>
              <w:jc w:val="center"/>
            </w:pPr>
            <w:r>
              <w:rPr>
                <w:rFonts w:ascii="Calibri" w:hAnsi="Calibri"/>
                <w:b/>
                <w:color w:val="7C3AED"/>
                <w:sz w:val="22"/>
              </w:rPr>
              <w:t>~6 Monate</w:t>
            </w:r>
          </w:p>
        </w:tc>
      </w:tr>
    </w:tbl>
    <w:p>
      <w:pPr>
        <w:spacing w:before="10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Borders>
              <w:top w:val="single" w:sz="2" w:color="7C3AED"/>
              <w:left w:val="thick" w:sz="16" w:color="7C3AED"/>
              <w:bottom w:val="single" w:sz="2" w:color="7C3AED"/>
              <w:right w:val="single" w:sz="2" w:color="7C3AED"/>
            </w:tcBorders>
            <w:shd w:val="clear" w:color="auto" w:fill="F5EDFF"/>
            <w:tcW w:type="dxa" w:w="9072"/>
          </w:tcPr>
          <w:p>
            <w:pPr>
              <w:spacing w:before="80" w:after="20"/>
            </w:pPr>
            <w:r>
              <w:rPr>
                <w:rFonts w:ascii="Calibri" w:hAnsi="Calibri"/>
                <w:b/>
                <w:color w:val="7C3AED"/>
                <w:sz w:val="19"/>
              </w:rPr>
              <w:t xml:space="preserve">ZIEL PHASE 4  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2E4A6E"/>
                <w:sz w:val="19"/>
              </w:rPr>
              <w:t>Erweiterung auf die zwei verbleibenden DeFi-Protokolle (Stargate Finance Cross-Chain-Bridge, Aave V3 Multi-Chain), Einführung steuerlicher Optimierungswerkzeuge (LIFO/HIFO, Graubereich-Szenario-Rechner) und Aufbau des B2B-Steuerberater-Portals mit REST-API und White-Label-Option. Ziel: MRR ≥ € 30.000 (Q2 2027).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Calibri" w:hAnsi="Calibri"/>
          <w:b/>
          <w:color w:val="1A2E4A"/>
          <w:sz w:val="26"/>
        </w:rPr>
        <w:t>Deliverables &amp; Aufgaben (Phase 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551"/>
        <w:gridCol w:w="1417"/>
        <w:gridCol w:w="2835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Aufgabe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Beschreibung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Epics / USs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Zeitraum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Stargate Cross-Chain-Bridge Indexer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LayerZero Message-ID als Cross-Chain-Anker; Matching Source- und Destination-Chain; steuerneutrale Bridge-Transfers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EP-13 / US-010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Q4 2026 Sprint 1–3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Aave V3 Multi-Chain Integration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12-Chain-Integration (ETH Mainnet, Arbitrum, Polygon, Base…); Lending/Borrowing/Liquidation; kToken-Äquivalent (aToken)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EP-14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Q4 2026 Sprint 3–6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LIFO-Steueroptimierungsrechner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LIFO als Opt-in-Bewertungsmethode mit explizitem FA-Risiko-Disclaimer; Vergleichsrechner FIFO vs. LIFO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EP-18 (Teil)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Q4 2026 Sprint 2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HIFO + Tax-Loss-Harvesting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HIFO (Highest In, First Out) mit starkem Disclaimer; interaktiver Szenario-Rechner; Steueroptimierungs-Hinweise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EP-18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Q4 2026 Sprint 4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ELSTER XML Export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ELSTER-kompatibles XML; Anlage SO vorausgefüllt; Schema-Validierung; Pflicht-Disclaimer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EP-15 / US-011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Q1 2027 Sprint 1–2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Kanzlei-Portal (Multi-Mandant)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Mandanten-Übersicht; Mandanten-Einladung; Report-Sharing; Berater-Kommentarfunktion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EP-16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Q4 2026 Sprint 5–7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REST-API für B2B-Integration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10 Endpoints (lt. Kapitel 08); API-Key-Verwaltung; Rate-Limiting; OpenAPI-Doku; Sandbox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EP-17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Q1 2027 Sprint 3–4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White-Label-Option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Logo/Farbe/Subdomain konfigurierbar; Kanzlei-Datenschutzerklärung integrierbar; ohne DeFi-Tracker-Branding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EP-17 / US-012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Q1 2027 Sprint 5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Portfolio-Analytics Dashboard (erweitert)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P&amp;L (realisiert + unrealisiert), DeFi-Rendite, Impermanent-Loss-Report, Risikokennzahlen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EP-18 (Teil)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Q1 2027 Sprint 6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Wallet-Labeling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Automatische Erkennung bekannter Protokoll-Contract-Adressen; Custom-Labels für Wallets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Backlog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Q4 2026 Sprint 6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AML-Screening Modul (optional B2B)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OFAC + EU-Sanctions-Check via Elliptic/Chainalysis-API für Enterprise-Kanzlei-Kunden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EP-16 (Erweiterung)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Q1 2027 Sprint 7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7"/>
              </w:rPr>
              <w:t>AT / CH Steuerrecht (Phase 4 — DACH)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Österreich: öEStG-Mapping; Schweiz: CH-spezifische Hinweise (keine Kapitalgewinnsteuer auf Privatvermögen)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Backlog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Q2 2027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Calibri" w:hAnsi="Calibri"/>
          <w:b/>
          <w:color w:val="1A2E4A"/>
          <w:sz w:val="26"/>
        </w:rPr>
        <w:t>Sprint-Plan Phase 4 (Q4 2026 – Q1 2027)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2551"/>
        <w:gridCol w:w="1134"/>
        <w:gridCol w:w="2835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Sprint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Zeitraum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Epics / Aufgaben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Story Points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181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Sprint-Ziel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P4-S1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Okt. 2026 Woche 1–2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Stargate-Indexer Basis (EP-13); LayerZero-Message-ID-Matching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21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Stargate-TX von Flare nach ETH korrekt als steuerneutraler Transfer erkannt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P4-S2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Okt. 2026 Woche 3–4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Stargate vollständig (EP-13); LIFO-Rechner (EP-18 Teil)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13+8=21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E2E-Test Cross-Chain-Matching; LIFO-Toggle mit Disclaimer funktioniert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P4-S3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Nov. 2026 Woche 1–2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Aave V3 Basis: ETH Mainnet + Arbitrum (EP-14)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34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Supply/Borrow/Repay auf Aave ETH + Arbitrum korrekt klassifiziert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P4-S4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Nov. 2026 Woche 3–4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Aave V3 erweitert: +4 Chains; HIFO-Rechner (EP-18)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21+13=34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8 Chains gesamt; HIFO mit Szenario-Rechner live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P4-S5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Dez. 2026 Woche 1–2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Kanzlei-Portal Basis: Mandanten-Liste, Einladung (EP-16)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21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Steuerberater kann Mandanten-Portfolio read-only einsehen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P4-S6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Dez. 2026 Woche 3–4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Kanzlei-Portal: Report-Sharing + Kommentarfunktion; Wallet-Labeling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13+8=21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PDF-Report mit Steuerberater-Kommentaren exportierbar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P4-S7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Jan. 2027 Woche 1–2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ELSTER XML Export (EP-15) Basis: Anlage SO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21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ELSTER-XML validiert gegen XSD; Anlage SO vorausgefüllt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P4-S8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Jan. 2027 Woche 3–4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ELSTER vollständig (US-011); REST-API Basis (EP-17)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8+13=21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ELSTER-Export live; /v1/wallets und /v1/transactions API-Endpoints live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P4-S9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Feb. 2027 Woche 1–2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REST-API vollständig (alle 10 Endpoints); API-Key-Management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21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OpenAPI-Dokumentation live; Sandbox-Umgebung verfügbar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P4-S10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Feb. 2027 Woche 3–4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White-Label Basis (US-012); AT/CH Steuerrecht erste Erweiterung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13+8=21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White-Label konfigurierbar; AT-Hinweis auf Pricing-Page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1814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P4-S11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Mrz. 2027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Portfolio-Analytics (P&amp;L+IL+Risiko); AML-Modul (optional); AT/CH vollständig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21 SP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1814"/>
          </w:tcPr>
          <w:p>
            <w:r>
              <w:rPr>
                <w:rFonts w:ascii="Calibri" w:hAnsi="Calibri"/>
                <w:color w:val="2E4A6E"/>
                <w:sz w:val="18"/>
              </w:rPr>
              <w:t>Phase-4-Launch-Review; MRR ≥ € 30.000 als KPI-Gate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Calibri" w:hAnsi="Calibri"/>
          <w:b/>
          <w:color w:val="1A2E4A"/>
          <w:sz w:val="26"/>
        </w:rPr>
        <w:t>Team-Erweiterung (Phase 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1417"/>
        <w:gridCol w:w="3969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Neue Rolle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Start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Kosten/Monat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Aufgaben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B2B Sales Manager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Q4 2026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€ 4.000–6.000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Kanzlei-Outreach, Demo-Gespräche, Vertragsabschlüsse, CRM-Pflege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Backend-Dev (Multi-Chain)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Q4 2026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€ 6.000–8.000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Aave V3 12-Chain-Integration, Stargate-LayerZero-Matching, REST-API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0D2E6E"/>
                <w:sz w:val="18"/>
              </w:rPr>
              <w:t>Frontend-Dev (Kanzlei-Portal)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Q4 2026 (Teilzeit)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€ 3.000–5.000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8"/>
              </w:rPr>
              <w:t>Kanzlei-Portal UI, White-Label-Konfigurator, ELSTER-Export-UI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pBdr>
          <w:bottom w:val="single" w:sz="6" w:color="0D2E6E" w:space="4"/>
        </w:pBdr>
        <w:spacing w:before="360" w:after="140"/>
      </w:pPr>
      <w:r>
        <w:rPr>
          <w:rFonts w:ascii="Calibri Light" w:hAnsi="Calibri Light"/>
          <w:b/>
          <w:color w:val="0D2E6E"/>
          <w:sz w:val="38"/>
        </w:rPr>
        <w:t>09.3  Regulatorische Compliance-Roadmap (R10) — Maßnahmen je Phase</w:t>
      </w:r>
    </w:p>
    <w:p>
      <w:pPr>
        <w:spacing w:before="40" w:after="80"/>
      </w:pPr>
      <w:r>
        <w:rPr>
          <w:rFonts w:ascii="Calibri" w:hAnsi="Calibri"/>
          <w:color w:val="1A2E4A"/>
          <w:sz w:val="21"/>
        </w:rPr>
        <w:t>Die folgende Matrix ordnet alle regulatorischen Compliance-Maßnahmen den Entwicklungsphasen zu. Sie definiert was bis wann rechtlich umgesetzt sein muss, um das Tool rechtskonform zu betreiben. Quelle: Rechtliche Analyse NextGen IT Solutions GmbH, März 2026.</w:t>
      </w:r>
    </w:p>
    <w:p>
      <w:pPr>
        <w:spacing w:before="80"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3685"/>
        <w:gridCol w:w="1701"/>
        <w:gridCol w:w="1984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Phase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Regulatorische Maßnahme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Rechtsgrundlage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Priorität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P0 — Discovery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DSFA (Datenschutz-Folgenabschätzung) für Finanzdaten-Verarbeitung durchführen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Art. 35 DSGVO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B71C1C"/>
                <w:sz w:val="17"/>
              </w:rPr>
              <w:t>KRITISCH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P0 — Discovery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Steuerberater-Validierung des LP/CDP-Graubereich-Mappings (schriftliche Freigabe)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BMF-Schreiben 06.03.2025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B71C1C"/>
                <w:sz w:val="17"/>
              </w:rPr>
              <w:t>KRITISCH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P0 — Discovery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Klärung VASP/CASP-Status des Tools (kein GwG-Verpflichteter nachweisen)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§ 2 GwG; MiCA Art. 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 w:val="0"/>
                <w:color w:val="E8550A"/>
                <w:sz w:val="17"/>
              </w:rPr>
              <w:t>HOCH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P1 — MVP Build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Datenschutzerklärung + Impressum gemäß DSGVO Art. 13/14 rechtlich prüfen lassen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Art. 13/14 DSGVO; TMG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B71C1C"/>
                <w:sz w:val="17"/>
              </w:rPr>
              <w:t>KRITISCH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P1 — MVP Build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Verarbeitungsverzeichnis (VVT) anlegen und laufend pflegen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Art. 30 DSGVO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B71C1C"/>
                <w:sz w:val="17"/>
              </w:rPr>
              <w:t>KRITISCH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P1 — MVP Build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Auftragsverarbeitungsvertrag (AVV) mit Hetzner und Preis-API-Anbietern abschließen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Art. 28 DSGVO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B71C1C"/>
                <w:sz w:val="17"/>
              </w:rPr>
              <w:t>KRITISCH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P1 — MVP Build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AES-256-GCM-Verschlüsselung aller Wallet-Daten at rest implementieren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Art. 32 DSGVO; BSI-Empfehlung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B71C1C"/>
                <w:sz w:val="17"/>
              </w:rPr>
              <w:t>KRITISCH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P1 — MVP Build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FIFO-Steuerberechnung mit BMF-2025-konformen Kursdaten (FTSO-Primärquelle)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BMF-Schreiben 06.03.2025 Rz. 43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B71C1C"/>
                <w:sz w:val="17"/>
              </w:rPr>
              <w:t>KRITISCH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P1 — MVP Build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GoBD-konformes Audit-Log (append-only, SHA-256-Hash-Kette, 10 Jahre)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GoBD BMF 28.11.2019; § 147 AO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 w:val="0"/>
                <w:color w:val="E8550A"/>
                <w:sz w:val="17"/>
              </w:rPr>
              <w:t>HOCH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P1 — MVP Build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Disclaimer für LP/CDP/Bridge-Graubereich-TX (§ 675 BGB; kein Steuerberatungsvertrag)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§ 675 BGB; Haftungsrecht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 w:val="0"/>
                <w:color w:val="E8550A"/>
                <w:sz w:val="17"/>
              </w:rPr>
              <w:t>HOCH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P2 — Beta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Steuerberater-Abnahme aller 35+ TX-Typen-Mappings (schriftliches Protokoll)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BMF 2025; § 22/23 EStG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B71C1C"/>
                <w:sz w:val="17"/>
              </w:rPr>
              <w:t>KRITISCH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P2 — Beta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Interner Penetrationstest der Wallet-Datenspeicherung (OWASP-ASVS-L2)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Art. 32 DSGVO; ISO 27001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 w:val="0"/>
                <w:color w:val="E8550A"/>
                <w:sz w:val="17"/>
              </w:rPr>
              <w:t>HOCH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P2 — Beta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Rechtliche Prüfung der AGB und Haftungsausschlüsse (§§ 305–310 BGB)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§§ 305–310 BGB; § 675 BGB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 w:val="0"/>
                <w:color w:val="E8550A"/>
                <w:sz w:val="17"/>
              </w:rPr>
              <w:t>HOCH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P3 — Launch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Cookie-Consent-Banner (kein Tracking ohne explizite Einwilligung)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Art. 6 Abs. 1a DSGVO; TTDSG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B71C1C"/>
                <w:sz w:val="17"/>
              </w:rPr>
              <w:t>KRITISCH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P3 — Launch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AGB + Nutzungsbedingungen final rechtlich prüfen lassen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BGB; §§ 305 ff. BGB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 w:val="0"/>
                <w:color w:val="E8550A"/>
                <w:sz w:val="17"/>
              </w:rPr>
              <w:t>HOCH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P3 — Launch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Marketing + Pressemitteilung DSGVO-konform gestalten (kein Dark Pattern)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UWG; DSGVO Art. 5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 w:val="0"/>
                <w:color w:val="F5A623"/>
                <w:sz w:val="17"/>
              </w:rPr>
              <w:t>MITTEL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P4 — Skalierung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ELSTER-Export: DSGVO-konforme Datenübertragung; Datensicherheitsstandards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§§ 87c; 150 AO; DSGVO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 w:val="0"/>
                <w:color w:val="E8550A"/>
                <w:sz w:val="17"/>
              </w:rPr>
              <w:t>HOCH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P4 — Skalierung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B2B-Kanzlei-AVV-Template für Steuerberater (Berufsgeheimnisschutz § 203 StGB)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Art. 28 DSGVO; § 203 StGB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B71C1C"/>
                <w:sz w:val="17"/>
              </w:rPr>
              <w:t>KRITISCH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P4 — Skalierung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AML-Screening-Modul (OFAC, EU-Sanctions) für Enterprise-Kanzlei-Kunden (optional)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§§ 2; 10 GwG; EU-Sanktionen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 w:val="0"/>
                <w:color w:val="F5A623"/>
                <w:sz w:val="17"/>
              </w:rPr>
              <w:t>MITTEL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P4 — Skalierung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Regulatorischer Monitoring-Dienst für BMF, BFH, ESMA, DAC8-Updates einrichten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Laufende Compliance-Pflicht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 w:val="0"/>
                <w:color w:val="E8550A"/>
                <w:sz w:val="17"/>
              </w:rPr>
              <w:t>HOCH</w:t>
            </w:r>
          </w:p>
        </w:tc>
      </w:tr>
    </w:tbl>
    <w:p>
      <w:pPr>
        <w:spacing w:before="120" w:after="0"/>
      </w:pPr>
    </w:p>
    <w:p>
      <w:pPr>
        <w:pBdr>
          <w:bottom w:val="single" w:sz="6" w:color="0D2E6E" w:space="4"/>
        </w:pBdr>
        <w:spacing w:before="360" w:after="140"/>
      </w:pPr>
      <w:r>
        <w:rPr>
          <w:rFonts w:ascii="Calibri Light" w:hAnsi="Calibri Light"/>
          <w:b/>
          <w:color w:val="0D2E6E"/>
          <w:sz w:val="38"/>
        </w:rPr>
        <w:t>09.4  Kritische Erfolgsfaktoren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701"/>
        <w:gridCol w:w="2835"/>
        <w:gridCol w:w="2835"/>
      </w:tblGrid>
      <w:tr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Faktor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Beschreibung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Maßnahme</w:t>
            </w:r>
          </w:p>
        </w:tc>
        <w:tc>
          <w:tcPr>
            <w:tcBorders>
              <w:top w:val="single" w:sz="4" w:color="0D2E6E"/>
              <w:left w:val="single" w:sz="4" w:color="0D2E6E"/>
              <w:bottom w:val="single" w:sz="4" w:color="0D2E6E"/>
              <w:right w:val="single" w:sz="4" w:color="0D2E6E"/>
            </w:tcBorders>
            <w:shd w:val="clear" w:color="auto" w:fill="0D2E6E"/>
            <w:tcW w:type="dxa" w:w="226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Frühwarnung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Steuerrechts-Aktualität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Jährliches BMF-Schreiben kann TX-Mappings verändern; veraltete Logik = Haftungsrisiko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Jährliches Update aller TX-Mappings; Steuerberater-Review-Abo (€ 3.000/Jahr); Watchdog-System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BMF-Newsletter; RSS-Monitoring auf bmf.de; BFH-Rechtsprechungs-Alert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Datenqualität (EUR-Kurs)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Zero-Fehler-Toleranz bei EUR-Kursbewertung — Basis für alle Steuerberechnungen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FTSO als Primärquelle; CoinGecko + CMC Fallback; Preisquelle je TX unveränderlich im Audit-Log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FTSO-Feed-Age &gt; 5 Min. → P1-Alert; Preisabweichung &gt; 20% → Anomalie-Flag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Time-to-Market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MVP-Launch September 2026 ist strategisch optimal (DAC8-Hochsaison, Steuererklärungen)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Kein Scope-Creep im MVP; Stargate/Aave erst Phase 4; Sprint 11 als reiner Härtungs-Buffer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Sprint-Velocity unter 80% → CTO-Eskalation; Sprint-10-Deadline als hartes Datum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Nutzerfreundlichkeit (TtV)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TtV &gt; 5 Minuten = Produktversagen — CoinTracking braucht Stunden, Blockpit 20–30 Minuten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Onboarding-Usability-Tests in Phase 2; A/B-Tests nach Launch; Progressive-Disclosure-UX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TtV-Median &gt; 5 Min. in Phase-2-Tests → Onboarding-Redesign-Sprint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5F7FA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Rechtssicherheit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Fehlklassifikationen = Haftungsrisiko (§ 280 BGB); Nutzer können Steuerberater-Fehler dem Tool anlasten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Disclaimer auf jedem Export; Steuerberater-Empfehlung in jedem Graubereich-Flow; AGB-Schutzklausel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Nutzer-Beschwerde über Steuerfolge → sofortiger CTO + Steuerberater Review</w:t>
            </w:r>
          </w:p>
        </w:tc>
      </w:tr>
      <w:tr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b/>
                <w:color w:val="2E4A6E"/>
                <w:sz w:val="17"/>
              </w:rPr>
              <w:t>First-Mover-Verteidigung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CoinTracking oder Blockpit kündigt Flare-Support in 12–18 Monaten wahrscheinlich an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Phase-4-Multi-Chain beschleunigen; B2B-Kanzlei-Segment als höherer Lock-in aufbauen; Community-Bindung</w:t>
            </w:r>
          </w:p>
        </w:tc>
        <w:tc>
          <w:tcPr>
            <w:tcBorders>
              <w:top w:val="single" w:sz="2" w:color="DDE5F0"/>
              <w:left w:val="single" w:sz="2" w:color="DDE5F0"/>
              <w:bottom w:val="single" w:sz="2" w:color="DDE5F0"/>
              <w:right w:val="single" w:sz="2" w:color="DDE5F0"/>
            </w:tcBorders>
            <w:shd w:val="clear" w:color="auto" w:fill="FFFFFF"/>
            <w:tcW w:type="dxa" w:w="2268"/>
          </w:tcPr>
          <w:p>
            <w:r>
              <w:rPr>
                <w:rFonts w:ascii="Calibri" w:hAnsi="Calibri"/>
                <w:color w:val="2E4A6E"/>
                <w:sz w:val="17"/>
              </w:rPr>
              <w:t>Competitor-Alert: Blockpit/CT Flare-Erwähnung auf GitHub / Changelog → sofort in Sprint einplanen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