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0D47A1"/>
          <w:sz w:val="44"/>
          <w:szCs w:val="44"/>
        </w:rPr>
        <w:t xml:space="preserve">NextGen IT Solutions GmbH</w:t>
      </w:r>
    </w:p>
    <w:p>
      <w:pPr>
        <w:pBdr>
          <w:bottom w:val="single" w:color="E65100" w:sz="6" w:space="8"/>
        </w:pBdr>
        <w:spacing w:before="0" w:after="480"/>
        <w:jc w:val="center"/>
      </w:pPr>
      <w:r>
        <w:rPr>
          <w:rFonts w:ascii="Arial" w:cs="Arial" w:eastAsia="Arial" w:hAnsi="Arial"/>
          <w:color w:val="666666"/>
          <w:sz w:val="22"/>
          <w:szCs w:val="22"/>
        </w:rPr>
        <w:t xml:space="preserve">Stuttgart · IT Services · Cloud · Security · Consulting</w:t>
      </w:r>
    </w:p>
    <w:p>
      <w:pPr>
        <w:spacing w:before="240" w:after="0"/>
      </w:pPr>
      <w:r>
        <w:t xml:space="preserve"/>
      </w:r>
    </w:p>
    <w:p>
      <w:pPr>
        <w:spacing w:before="200" w:after="120"/>
        <w:jc w:val="center"/>
      </w:pPr>
      <w:r>
        <w:rPr>
          <w:rFonts w:ascii="Arial" w:cs="Arial" w:eastAsia="Arial" w:hAnsi="Arial"/>
          <w:b/>
          <w:bCs/>
          <w:color w:val="0097A7"/>
          <w:spacing w:val="120"/>
          <w:sz w:val="26"/>
          <w:szCs w:val="26"/>
        </w:rPr>
        <w:t xml:space="preserve">MARKT- &amp; FEASIBILITY-ANALYSE</w:t>
      </w:r>
    </w:p>
    <w:p>
      <w:pPr>
        <w:spacing w:before="0" w:after="60"/>
        <w:jc w:val="center"/>
      </w:pPr>
      <w:r>
        <w:rPr>
          <w:rFonts w:ascii="Arial" w:cs="Arial" w:eastAsia="Arial" w:hAnsi="Arial"/>
          <w:b/>
          <w:bCs/>
          <w:color w:val="0D47A1"/>
          <w:sz w:val="52"/>
          <w:szCs w:val="52"/>
        </w:rPr>
        <w:t xml:space="preserve">DeFi Investment Tracker SaaS</w:t>
      </w:r>
    </w:p>
    <w:p>
      <w:pPr>
        <w:spacing w:before="0" w:after="480"/>
        <w:jc w:val="center"/>
      </w:pPr>
      <w:r>
        <w:rPr>
          <w:rFonts w:ascii="Arial" w:cs="Arial" w:eastAsia="Arial" w:hAnsi="Arial"/>
          <w:color w:val="555555"/>
          <w:sz w:val="28"/>
          <w:szCs w:val="28"/>
        </w:rPr>
        <w:t xml:space="preserve">Deutschlandkonformes DeFi-Tracking &amp; CoinTracking-Export</w:t>
      </w:r>
    </w:p>
    <w:p>
      <w:pPr>
        <w:spacing w:before="200" w:after="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tblGrid>
      <w:tr>
        <w:tc>
          <w:tcPr>
            <w:tcW w:type="dxa" w:w="3400"/>
            <w:tcBorders>
              <w:top w:val="none"/>
              <w:left w:val="none"/>
              <w:bottom w:val="none"/>
              <w:right w:val="single" w:color="B0BEC5" w:sz="2"/>
            </w:tcBorders>
            <w:tcMar>
              <w:top w:type="dxa" w:w="80"/>
              <w:left w:type="dxa" w:w="200"/>
              <w:bottom w:type="dxa" w:w="80"/>
              <w:right w:type="dxa" w:w="200"/>
            </w:tcMar>
          </w:tcPr>
          <w:p>
            <w:r>
              <w:rPr>
                <w:rFonts w:ascii="Arial" w:cs="Arial" w:eastAsia="Arial" w:hAnsi="Arial"/>
                <w:color w:val="888888"/>
                <w:sz w:val="18"/>
                <w:szCs w:val="18"/>
              </w:rPr>
              <w:t xml:space="preserve">Auftraggeber</w:t>
            </w:r>
          </w:p>
          <w:p>
            <w:r>
              <w:rPr>
                <w:rFonts w:ascii="Arial" w:cs="Arial" w:eastAsia="Arial" w:hAnsi="Arial"/>
                <w:b/>
                <w:bCs/>
                <w:color w:val="212121"/>
                <w:sz w:val="20"/>
                <w:szCs w:val="20"/>
              </w:rPr>
              <w:t xml:space="preserve">NextGen IT Solutions GmbH</w:t>
            </w:r>
          </w:p>
          <w:p>
            <w:pPr>
              <w:spacing w:before="60" w:after="0"/>
            </w:pPr>
            <w:r>
              <w:t xml:space="preserve"/>
            </w:r>
          </w:p>
          <w:p>
            <w:r>
              <w:rPr>
                <w:rFonts w:ascii="Arial" w:cs="Arial" w:eastAsia="Arial" w:hAnsi="Arial"/>
                <w:color w:val="888888"/>
                <w:sz w:val="18"/>
                <w:szCs w:val="18"/>
              </w:rPr>
              <w:t xml:space="preserve">Version</w:t>
            </w:r>
          </w:p>
          <w:p>
            <w:r>
              <w:rPr>
                <w:rFonts w:ascii="Arial" w:cs="Arial" w:eastAsia="Arial" w:hAnsi="Arial"/>
                <w:b/>
                <w:bCs/>
                <w:color w:val="212121"/>
                <w:sz w:val="20"/>
                <w:szCs w:val="20"/>
              </w:rPr>
              <w:t xml:space="preserve">1.0 – März 2026</w:t>
            </w:r>
          </w:p>
        </w:tc>
        <w:tc>
          <w:tcPr>
            <w:tcW w:type="dxa" w:w="3600"/>
            <w:tcBorders>
              <w:top w:val="none"/>
              <w:left w:val="none"/>
              <w:bottom w:val="none"/>
              <w:right w:val="none"/>
            </w:tcBorders>
            <w:tcMar>
              <w:top w:type="dxa" w:w="80"/>
              <w:left w:type="dxa" w:w="200"/>
              <w:bottom w:type="dxa" w:w="80"/>
              <w:right w:type="dxa" w:w="200"/>
            </w:tcMar>
          </w:tcPr>
          <w:p>
            <w:r>
              <w:rPr>
                <w:rFonts w:ascii="Arial" w:cs="Arial" w:eastAsia="Arial" w:hAnsi="Arial"/>
                <w:color w:val="888888"/>
                <w:sz w:val="18"/>
                <w:szCs w:val="18"/>
              </w:rPr>
              <w:t xml:space="preserve">Erstellt durch</w:t>
            </w:r>
          </w:p>
          <w:p>
            <w:r>
              <w:rPr>
                <w:rFonts w:ascii="Arial" w:cs="Arial" w:eastAsia="Arial" w:hAnsi="Arial"/>
                <w:b/>
                <w:bCs/>
                <w:color w:val="212121"/>
                <w:sz w:val="20"/>
                <w:szCs w:val="20"/>
              </w:rPr>
              <w:t xml:space="preserve">NextGen IT Solutions GmbH</w:t>
            </w:r>
          </w:p>
          <w:p>
            <w:pPr>
              <w:spacing w:before="60" w:after="0"/>
            </w:pPr>
            <w:r>
              <w:t xml:space="preserve"/>
            </w:r>
          </w:p>
          <w:p>
            <w:r>
              <w:rPr>
                <w:rFonts w:ascii="Arial" w:cs="Arial" w:eastAsia="Arial" w:hAnsi="Arial"/>
                <w:color w:val="888888"/>
                <w:sz w:val="18"/>
                <w:szCs w:val="18"/>
              </w:rPr>
              <w:t xml:space="preserve">Status</w:t>
            </w:r>
          </w:p>
          <w:p>
            <w:r>
              <w:rPr>
                <w:rFonts w:ascii="Arial" w:cs="Arial" w:eastAsia="Arial" w:hAnsi="Arial"/>
                <w:b/>
                <w:bCs/>
                <w:color w:val="E65100"/>
                <w:sz w:val="20"/>
                <w:szCs w:val="20"/>
              </w:rPr>
              <w:t xml:space="preserve">Vertraulich / Intern</w:t>
            </w:r>
          </w:p>
        </w:tc>
      </w:tr>
    </w:tbl>
    <w:p>
      <w:r>
        <w:br/>
      </w:r>
    </w:p>
    <w:p>
      <w:pPr>
        <w:pStyle w:val="Heading1"/>
        <w:pBdr>
          <w:bottom w:val="single" w:color="0D47A1" w:sz="4" w:space="6"/>
        </w:pBdr>
        <w:spacing w:before="360" w:after="160"/>
      </w:pPr>
      <w:r>
        <w:rPr>
          <w:rFonts w:ascii="Arial" w:cs="Arial" w:eastAsia="Arial" w:hAnsi="Arial"/>
          <w:b/>
          <w:bCs/>
          <w:color w:val="0D47A1"/>
          <w:sz w:val="36"/>
          <w:szCs w:val="36"/>
        </w:rPr>
        <w:t xml:space="preserve">1. Executive Summary</w:t>
      </w:r>
    </w:p>
    <w:p>
      <w:pPr>
        <w:spacing w:before="60" w:after="100"/>
      </w:pPr>
      <w:r>
        <w:rPr>
          <w:rFonts w:ascii="Arial" w:cs="Arial" w:eastAsia="Arial" w:hAnsi="Arial"/>
          <w:color w:val="212121"/>
          <w:sz w:val="22"/>
          <w:szCs w:val="22"/>
        </w:rPr>
        <w:t xml:space="preserve">Die vorliegende Analyse untersucht die Konzeption, technische Umsetzbarkeit und rechtliche Konformität eines proprietären SaaS-Tools zur steuerkonformen Erfassung, Kategorisierung und dem Export von DeFi-Investmenttransaktionen im deutschen Rechtsrahmen. Das Tool adressiert einen wachsenden Marktbedarf: Privatanleger und institutionelle Investoren, die auf Flare-Network-nativen Protokollen (SparkDEX, Ēnosys DEX, Kinetic Market) sowie chain-übergreifenden Protokollen (Stargate Finance, Aave) aktiv sind, benötigen eine vollautomatische Lösung zur steuerlichen Dokumentation.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97A7" w:sz="1"/>
              <w:left w:val="thick" w:color="0097A7" w:sz="12"/>
              <w:bottom w:val="single" w:color="0097A7" w:sz="1"/>
              <w:right w:val="single" w:color="0097A7" w:sz="1"/>
            </w:tcBorders>
            <w:shd w:fill="E3F2FD" w:val="clear"/>
            <w:tcMar>
              <w:top w:type="dxa" w:w="120"/>
              <w:left w:type="dxa" w:w="200"/>
              <w:bottom w:type="dxa" w:w="120"/>
              <w:right w:type="dxa" w:w="120"/>
            </w:tcMar>
          </w:tcPr>
          <w:p>
            <w:pPr>
              <w:spacing w:before="0" w:after="40"/>
            </w:pPr>
            <w:r>
              <w:rPr>
                <w:rFonts w:ascii="Arial" w:cs="Arial" w:eastAsia="Arial" w:hAnsi="Arial"/>
                <w:b/>
                <w:bCs/>
                <w:color w:val="0097A7"/>
                <w:sz w:val="22"/>
                <w:szCs w:val="22"/>
              </w:rPr>
              <w:t xml:space="preserve">Kernaussage</w:t>
            </w:r>
          </w:p>
          <w:p>
            <w:pPr>
              <w:spacing w:before="0" w:after="0"/>
            </w:pPr>
            <w:r>
              <w:rPr>
                <w:rFonts w:ascii="Arial" w:cs="Arial" w:eastAsia="Arial" w:hAnsi="Arial"/>
                <w:color w:val="212121"/>
                <w:sz w:val="20"/>
                <w:szCs w:val="20"/>
              </w:rPr>
              <w:t xml:space="preserve">Deutschland ist 2026 mit dem BMF-Schreiben vom 06.03.2025 (BStBl 2025 I S. 658) sowie der DAC8-Richtlinie (ab 2026) das regulatorisch anspruchsvollste DeFi-Steuerumfeld in der EU. Ein SaaS-Tool, das alle relevanten DeFi-Transaktionstypen (Swap, Liquidity Providing, Staking, Lending/Borrowing, Cross-Chain Bridging, Rewards) deutschlandkonform erfasst und nahtlos in CoinTracking-CSV-Format exportiert, besitzt erhebliches Marktpotenzial.</w:t>
            </w:r>
          </w:p>
        </w:tc>
      </w:tr>
    </w:tbl>
    <w:p>
      <w:pPr>
        <w:spacing w:before="120" w:after="0"/>
      </w:pPr>
      <w:r>
        <w:t xml:space="preserve"/>
      </w:r>
    </w:p>
    <w:p>
      <w:pPr>
        <w:spacing w:before="60" w:after="100"/>
      </w:pPr>
      <w:r>
        <w:rPr>
          <w:rFonts w:ascii="Arial" w:cs="Arial" w:eastAsia="Arial" w:hAnsi="Arial"/>
          <w:color w:val="212121"/>
          <w:sz w:val="22"/>
          <w:szCs w:val="22"/>
        </w:rPr>
        <w:t xml:space="preserve">Analyseumfang: Sechs Protokolle wurden eingehend untersucht – die Flare-Network-Infrastruktur als Layer-1-Basis, SparkDEX (V4 AMM + Perps), Ēnosys DEX (CDP + V3 AMM), Kinetic Market (Lending/Borrowing), Stargate Finance (Omnichain Bridge) und Aave (Multi-Chain Lending). Jedes Protokoll generiert spezifische Transaktionstypen, die im deutschen Steuerrecht unterschiedliche Behandlungen erfahren und präzise gemappt werden müssen.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Analysebereich</w:t>
            </w:r>
          </w:p>
        </w:tc>
        <w:tc>
          <w:tcPr>
            <w:tcW w:type="dxa" w:w="48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Kernbefund</w:t>
            </w:r>
          </w:p>
        </w:tc>
      </w:tr>
      <w:tr>
        <w:trPr>
          <w:tblHeader w:val="false"/>
        </w:trPr>
        <w:tc>
          <w:tcPr>
            <w:tcW w:type="dxa" w:w="4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Marktpotenzial</w:t>
            </w:r>
          </w:p>
        </w:tc>
        <w:tc>
          <w:tcPr>
            <w:tcW w:type="dxa" w:w="4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Hoch – DAC8-Druck erhöht Compliance-Bedarf massiv ab 2026</w:t>
            </w:r>
          </w:p>
        </w:tc>
      </w:tr>
      <w:tr>
        <w:trPr>
          <w:tblHeader w:val="false"/>
        </w:trPr>
        <w:tc>
          <w:tcPr>
            <w:tcW w:type="dxa" w:w="4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Technische Machbarkeit</w:t>
            </w:r>
          </w:p>
        </w:tc>
        <w:tc>
          <w:tcPr>
            <w:tcW w:type="dxa" w:w="4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Gegeben – On-Chain-APIs und Flare FTSO ermöglichen automatische Preisermittlung</w:t>
            </w:r>
          </w:p>
        </w:tc>
      </w:tr>
      <w:tr>
        <w:trPr>
          <w:tblHeader w:val="false"/>
        </w:trPr>
        <w:tc>
          <w:tcPr>
            <w:tcW w:type="dxa" w:w="4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Rechtliche Konformität</w:t>
            </w:r>
          </w:p>
        </w:tc>
        <w:tc>
          <w:tcPr>
            <w:tcW w:type="dxa" w:w="4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Erreichbar durch präzises Mapping auf §22/§23 EStG und BMF 2025-Vorgaben</w:t>
            </w:r>
          </w:p>
        </w:tc>
      </w:tr>
      <w:tr>
        <w:trPr>
          <w:tblHeader w:val="false"/>
        </w:trPr>
        <w:tc>
          <w:tcPr>
            <w:tcW w:type="dxa" w:w="4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CoinTracking-Integration</w:t>
            </w:r>
          </w:p>
        </w:tc>
        <w:tc>
          <w:tcPr>
            <w:tcW w:type="dxa" w:w="4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Standardisiertes 11-Spalten-CSV-Format vollständig implementierbar</w:t>
            </w:r>
          </w:p>
        </w:tc>
      </w:tr>
      <w:tr>
        <w:trPr>
          <w:tblHeader w:val="false"/>
        </w:trPr>
        <w:tc>
          <w:tcPr>
            <w:tcW w:type="dxa" w:w="4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Hauptrisiko</w:t>
            </w:r>
          </w:p>
        </w:tc>
        <w:tc>
          <w:tcPr>
            <w:tcW w:type="dxa" w:w="4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Steuerrechtliche Graubereiche bei Liquidity Mining und Cross-Chain Bridges</w:t>
            </w:r>
          </w:p>
        </w:tc>
      </w:tr>
      <w:tr>
        <w:trPr>
          <w:tblHeader w:val="false"/>
        </w:trPr>
        <w:tc>
          <w:tcPr>
            <w:tcW w:type="dxa" w:w="4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Empfehlung</w:t>
            </w:r>
          </w:p>
        </w:tc>
        <w:tc>
          <w:tcPr>
            <w:tcW w:type="dxa" w:w="4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Entwicklung empfohlen – Fokus auf Flare Ecosystem + Multi-Chain Erweiterung</w:t>
            </w:r>
          </w:p>
        </w:tc>
      </w:tr>
    </w:tbl>
    <w:p>
      <w:r>
        <w:br/>
      </w:r>
    </w:p>
    <w:p>
      <w:pPr>
        <w:pStyle w:val="Heading1"/>
        <w:pBdr>
          <w:bottom w:val="single" w:color="0D47A1" w:sz="4" w:space="6"/>
        </w:pBdr>
        <w:spacing w:before="360" w:after="160"/>
      </w:pPr>
      <w:r>
        <w:rPr>
          <w:rFonts w:ascii="Arial" w:cs="Arial" w:eastAsia="Arial" w:hAnsi="Arial"/>
          <w:b/>
          <w:bCs/>
          <w:color w:val="0D47A1"/>
          <w:sz w:val="36"/>
          <w:szCs w:val="36"/>
        </w:rPr>
        <w:t xml:space="preserve">2. Markt- &amp; Wettbewerbsanalyse</w:t>
      </w:r>
    </w:p>
    <w:p>
      <w:pPr>
        <w:pStyle w:val="Heading2"/>
        <w:spacing w:before="280" w:after="120"/>
      </w:pPr>
      <w:r>
        <w:rPr>
          <w:rFonts w:ascii="Arial" w:cs="Arial" w:eastAsia="Arial" w:hAnsi="Arial"/>
          <w:b/>
          <w:bCs/>
          <w:color w:val="0D47A1"/>
          <w:sz w:val="28"/>
          <w:szCs w:val="28"/>
        </w:rPr>
        <w:t xml:space="preserve">2.1 Zielmarkt und Wachstumstreiber</w:t>
      </w:r>
    </w:p>
    <w:p>
      <w:pPr>
        <w:spacing w:before="60" w:after="100"/>
      </w:pPr>
      <w:r>
        <w:rPr>
          <w:rFonts w:ascii="Arial" w:cs="Arial" w:eastAsia="Arial" w:hAnsi="Arial"/>
          <w:color w:val="212121"/>
          <w:sz w:val="22"/>
          <w:szCs w:val="22"/>
        </w:rPr>
        <w:t xml:space="preserve">Der deutsche Kryptomarkt verzeichnet seit 2023 eine starke Professionalisierung. Die Einführung der DAC8-Richtlinie (EU) verpflichtet Kryptobörsen ab 2026 zur automatischen Datenmeldung an das Bundeszentralamt für Steuern (BZSt). Dieser regulatorische Druck erzeugt erhebliche Nachfrage nach compliance-fähigen Tracking-Lösungen, insbesondere für den komplexen DeFi-Bereich.</w:t>
      </w:r>
    </w:p>
    <w:p>
      <w:pPr>
        <w:spacing w:before="80" w:after="0"/>
      </w:pPr>
      <w:r>
        <w:t xml:space="preserve"/>
      </w:r>
    </w:p>
    <w:p>
      <w:pPr>
        <w:pStyle w:val="Heading3"/>
        <w:spacing w:before="200" w:after="80"/>
      </w:pPr>
      <w:r>
        <w:rPr>
          <w:rFonts w:ascii="Arial" w:cs="Arial" w:eastAsia="Arial" w:hAnsi="Arial"/>
          <w:b/>
          <w:bCs/>
          <w:color w:val="0097A7"/>
          <w:sz w:val="24"/>
          <w:szCs w:val="24"/>
        </w:rPr>
        <w:t xml:space="preserve">2.1.1 Marktsegmente</w:t>
      </w:r>
    </w:p>
    <w:p>
      <w:pPr>
        <w:pStyle w:val="ListParagraph"/>
        <w:numPr>
          <w:ilvl w:val="0"/>
          <w:numId w:val="2"/>
        </w:numPr>
        <w:spacing w:before="40" w:after="40"/>
      </w:pPr>
      <w:r>
        <w:rPr>
          <w:rFonts w:ascii="Arial" w:cs="Arial" w:eastAsia="Arial" w:hAnsi="Arial"/>
          <w:b w:val="false"/>
          <w:bCs w:val="false"/>
          <w:color w:val="212121"/>
          <w:sz w:val="22"/>
          <w:szCs w:val="22"/>
        </w:rPr>
        <w:t xml:space="preserve">Privatanleger (B2C): 400.000–600.000 aktive DeFi-Nutzer in Deutschland (Schätzung 2025)</w:t>
      </w:r>
    </w:p>
    <w:p>
      <w:pPr>
        <w:pStyle w:val="ListParagraph"/>
        <w:numPr>
          <w:ilvl w:val="0"/>
          <w:numId w:val="2"/>
        </w:numPr>
        <w:spacing w:before="40" w:after="40"/>
      </w:pPr>
      <w:r>
        <w:rPr>
          <w:rFonts w:ascii="Arial" w:cs="Arial" w:eastAsia="Arial" w:hAnsi="Arial"/>
          <w:b w:val="false"/>
          <w:bCs w:val="false"/>
          <w:color w:val="212121"/>
          <w:sz w:val="22"/>
          <w:szCs w:val="22"/>
        </w:rPr>
        <w:t xml:space="preserve">Steuerberater &amp; Kanzleien (B2B): Wachsende Nachfrage nach API-fähigen Reporting-Tools</w:t>
      </w:r>
    </w:p>
    <w:p>
      <w:pPr>
        <w:pStyle w:val="ListParagraph"/>
        <w:numPr>
          <w:ilvl w:val="0"/>
          <w:numId w:val="2"/>
        </w:numPr>
        <w:spacing w:before="40" w:after="40"/>
      </w:pPr>
      <w:r>
        <w:rPr>
          <w:rFonts w:ascii="Arial" w:cs="Arial" w:eastAsia="Arial" w:hAnsi="Arial"/>
          <w:b w:val="false"/>
          <w:bCs w:val="false"/>
          <w:color w:val="212121"/>
          <w:sz w:val="22"/>
          <w:szCs w:val="22"/>
        </w:rPr>
        <w:t xml:space="preserve">Family Offices &amp; Institutionelle Anleger: Hohe Bereitschaft für Premium-SaaS-Abonnements</w:t>
      </w:r>
    </w:p>
    <w:p>
      <w:pPr>
        <w:pStyle w:val="ListParagraph"/>
        <w:numPr>
          <w:ilvl w:val="0"/>
          <w:numId w:val="2"/>
        </w:numPr>
        <w:spacing w:before="40" w:after="40"/>
      </w:pPr>
      <w:r>
        <w:rPr>
          <w:rFonts w:ascii="Arial" w:cs="Arial" w:eastAsia="Arial" w:hAnsi="Arial"/>
          <w:b w:val="false"/>
          <w:bCs w:val="false"/>
          <w:color w:val="212121"/>
          <w:sz w:val="22"/>
          <w:szCs w:val="22"/>
        </w:rPr>
        <w:t xml:space="preserve">Buchhaltungssoftware-Hersteller: Potenzielle Whitelabel- und OEM-Partnerschaften</w:t>
      </w:r>
    </w:p>
    <w:p>
      <w:pPr>
        <w:spacing w:before="80" w:after="0"/>
      </w:pPr>
      <w:r>
        <w:t xml:space="preserve"/>
      </w:r>
    </w:p>
    <w:p>
      <w:pPr>
        <w:pStyle w:val="Heading3"/>
        <w:spacing w:before="200" w:after="80"/>
      </w:pPr>
      <w:r>
        <w:rPr>
          <w:rFonts w:ascii="Arial" w:cs="Arial" w:eastAsia="Arial" w:hAnsi="Arial"/>
          <w:b/>
          <w:bCs/>
          <w:color w:val="0097A7"/>
          <w:sz w:val="24"/>
          <w:szCs w:val="24"/>
        </w:rPr>
        <w:t xml:space="preserve">2.1.2 Marktgröße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Segment</w:t>
            </w:r>
          </w:p>
        </w:tc>
        <w:tc>
          <w:tcPr>
            <w:tcW w:type="dxa" w:w="2763"/>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Geschätzte Nutzer DE</w:t>
            </w:r>
          </w:p>
        </w:tc>
        <w:tc>
          <w:tcPr>
            <w:tcW w:type="dxa" w:w="2763"/>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Zahlungsbereitschaft/Jahr</w:t>
            </w:r>
          </w:p>
        </w:tc>
      </w:tr>
      <w:tr>
        <w:trPr>
          <w:tblHeader w:val="false"/>
        </w:trPr>
        <w:tc>
          <w:tcPr>
            <w:tcW w:type="dxa" w:w="3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DeFi-Privatanleger</w:t>
            </w:r>
          </w:p>
        </w:tc>
        <w:tc>
          <w:tcPr>
            <w:tcW w:type="dxa" w:w="2763"/>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80.000 – 150.000</w:t>
            </w:r>
          </w:p>
        </w:tc>
        <w:tc>
          <w:tcPr>
            <w:tcW w:type="dxa" w:w="2763"/>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€ 50 – € 200</w:t>
            </w:r>
          </w:p>
        </w:tc>
      </w:tr>
      <w:tr>
        <w:trPr>
          <w:tblHeader w:val="false"/>
        </w:trPr>
        <w:tc>
          <w:tcPr>
            <w:tcW w:type="dxa" w:w="3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Steuerberater (Kanzleien)</w:t>
            </w:r>
          </w:p>
        </w:tc>
        <w:tc>
          <w:tcPr>
            <w:tcW w:type="dxa" w:w="2763"/>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2.000 – 5.000</w:t>
            </w:r>
          </w:p>
        </w:tc>
        <w:tc>
          <w:tcPr>
            <w:tcW w:type="dxa" w:w="2763"/>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€ 500 – € 2.000</w:t>
            </w:r>
          </w:p>
        </w:tc>
      </w:tr>
      <w:tr>
        <w:trPr>
          <w:tblHeader w:val="false"/>
        </w:trPr>
        <w:tc>
          <w:tcPr>
            <w:tcW w:type="dxa" w:w="3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Institutionelle / Family Office</w:t>
            </w:r>
          </w:p>
        </w:tc>
        <w:tc>
          <w:tcPr>
            <w:tcW w:type="dxa" w:w="2763"/>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200 – 800</w:t>
            </w:r>
          </w:p>
        </w:tc>
        <w:tc>
          <w:tcPr>
            <w:tcW w:type="dxa" w:w="2763"/>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€ 2.000 – € 10.000</w:t>
            </w:r>
          </w:p>
        </w:tc>
      </w:tr>
    </w:tbl>
    <w:p>
      <w:pPr>
        <w:spacing w:before="120" w:after="0"/>
      </w:pPr>
      <w:r>
        <w:t xml:space="preserve"/>
      </w:r>
    </w:p>
    <w:p>
      <w:pPr>
        <w:pStyle w:val="Heading2"/>
        <w:spacing w:before="280" w:after="120"/>
      </w:pPr>
      <w:r>
        <w:rPr>
          <w:rFonts w:ascii="Arial" w:cs="Arial" w:eastAsia="Arial" w:hAnsi="Arial"/>
          <w:b/>
          <w:bCs/>
          <w:color w:val="0D47A1"/>
          <w:sz w:val="28"/>
          <w:szCs w:val="28"/>
        </w:rPr>
        <w:t xml:space="preserve">2.2 Wettbewerbsanalyse</w:t>
      </w:r>
    </w:p>
    <w:p>
      <w:pPr>
        <w:spacing w:before="60" w:after="100"/>
      </w:pPr>
      <w:r>
        <w:rPr>
          <w:rFonts w:ascii="Arial" w:cs="Arial" w:eastAsia="Arial" w:hAnsi="Arial"/>
          <w:color w:val="212121"/>
          <w:sz w:val="22"/>
          <w:szCs w:val="22"/>
        </w:rPr>
        <w:t xml:space="preserve">Bestehende Tools wie CoinTracking selbst, Blockpit, Koinly und Accointing bieten generische Krypto-Steuerreporting-Funktionen, decken aber spezifische DeFi-Protokolle auf dem Flare Network und komplexe Interaktionsmuster (CDP-Protokolle, Cross-Chain-Bridges, LP-Token-Accounting) nur rudimentär ab.</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800"/>
        <w:gridCol w:w="1826"/>
        <w:gridCol w:w="1000"/>
      </w:tblGrid>
      <w:tr>
        <w:trPr>
          <w:tblHeader/>
        </w:trPr>
        <w:tc>
          <w:tcPr>
            <w:tcW w:type="dxa" w:w="25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Tool</w:t>
            </w:r>
          </w:p>
        </w:tc>
        <w:tc>
          <w:tcPr>
            <w:tcW w:type="dxa" w:w="19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DeFi-Tiefe</w:t>
            </w:r>
          </w:p>
        </w:tc>
        <w:tc>
          <w:tcPr>
            <w:tcW w:type="dxa" w:w="18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Flare/EVM Support</w:t>
            </w:r>
          </w:p>
        </w:tc>
        <w:tc>
          <w:tcPr>
            <w:tcW w:type="dxa" w:w="18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CoinTracking-Export</w:t>
            </w:r>
          </w:p>
        </w:tc>
        <w:tc>
          <w:tcPr>
            <w:tcW w:type="dxa" w:w="10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BMF 2025 konform</w:t>
            </w:r>
          </w:p>
        </w:tc>
      </w:tr>
      <w:tr>
        <w:trPr>
          <w:tblHeader w:val="false"/>
        </w:trPr>
        <w:tc>
          <w:tcPr>
            <w:tcW w:type="dxa" w:w="2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CoinTracking</w:t>
            </w:r>
          </w:p>
        </w:tc>
        <w:tc>
          <w:tcPr>
            <w:tcW w:type="dxa" w:w="1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Mittel</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Teilweise</w:t>
            </w:r>
          </w:p>
        </w:tc>
        <w:tc>
          <w:tcPr>
            <w:tcW w:type="dxa" w:w="1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Nativ</w:t>
            </w:r>
          </w:p>
        </w:tc>
        <w:tc>
          <w:tcPr>
            <w:tcW w:type="dxa" w:w="1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Teilweise</w:t>
            </w:r>
          </w:p>
        </w:tc>
      </w:tr>
      <w:tr>
        <w:trPr>
          <w:tblHeader w:val="false"/>
        </w:trPr>
        <w:tc>
          <w:tcPr>
            <w:tcW w:type="dxa" w:w="2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Blockpit</w:t>
            </w:r>
          </w:p>
        </w:tc>
        <w:tc>
          <w:tcPr>
            <w:tcW w:type="dxa" w:w="1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Mittel</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Nein</w:t>
            </w:r>
          </w:p>
        </w:tc>
        <w:tc>
          <w:tcPr>
            <w:tcW w:type="dxa" w:w="1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CSV Export</w:t>
            </w:r>
          </w:p>
        </w:tc>
        <w:tc>
          <w:tcPr>
            <w:tcW w:type="dxa" w:w="1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Ja</w:t>
            </w:r>
          </w:p>
        </w:tc>
      </w:tr>
      <w:tr>
        <w:trPr>
          <w:tblHeader w:val="false"/>
        </w:trPr>
        <w:tc>
          <w:tcPr>
            <w:tcW w:type="dxa" w:w="2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Koinly</w:t>
            </w:r>
          </w:p>
        </w:tc>
        <w:tc>
          <w:tcPr>
            <w:tcW w:type="dxa" w:w="1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Mittel</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Nein</w:t>
            </w:r>
          </w:p>
        </w:tc>
        <w:tc>
          <w:tcPr>
            <w:tcW w:type="dxa" w:w="1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CSV Export</w:t>
            </w:r>
          </w:p>
        </w:tc>
        <w:tc>
          <w:tcPr>
            <w:tcW w:type="dxa" w:w="1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Teilweise</w:t>
            </w:r>
          </w:p>
        </w:tc>
      </w:tr>
      <w:tr>
        <w:trPr>
          <w:tblHeader w:val="false"/>
        </w:trPr>
        <w:tc>
          <w:tcPr>
            <w:tcW w:type="dxa" w:w="2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Unser SaaS-Tool (Ziel)</w:t>
            </w:r>
          </w:p>
        </w:tc>
        <w:tc>
          <w:tcPr>
            <w:tcW w:type="dxa" w:w="1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Hoch (Flare-nativ)</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Ja (alle 6 Protokolle)</w:t>
            </w:r>
          </w:p>
        </w:tc>
        <w:tc>
          <w:tcPr>
            <w:tcW w:type="dxa" w:w="1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CoinTracking-CSV direkt</w:t>
            </w:r>
          </w:p>
        </w:tc>
        <w:tc>
          <w:tcPr>
            <w:tcW w:type="dxa" w:w="1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Vollständig</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1"/>
              <w:left w:val="thick" w:color="2E7D32" w:sz="12"/>
              <w:bottom w:val="single" w:color="2E7D32" w:sz="1"/>
              <w:right w:val="single" w:color="2E7D32" w:sz="1"/>
            </w:tcBorders>
            <w:shd w:fill="E8F5E9" w:val="clear"/>
            <w:tcMar>
              <w:top w:type="dxa" w:w="120"/>
              <w:left w:type="dxa" w:w="200"/>
              <w:bottom w:type="dxa" w:w="120"/>
              <w:right w:type="dxa" w:w="120"/>
            </w:tcMar>
          </w:tcPr>
          <w:p>
            <w:pPr>
              <w:spacing w:before="0" w:after="40"/>
            </w:pPr>
            <w:r>
              <w:rPr>
                <w:rFonts w:ascii="Arial" w:cs="Arial" w:eastAsia="Arial" w:hAnsi="Arial"/>
                <w:b/>
                <w:bCs/>
                <w:color w:val="2E7D32"/>
                <w:sz w:val="22"/>
                <w:szCs w:val="22"/>
              </w:rPr>
              <w:t xml:space="preserve">Wettbewerbsvorteil</w:t>
            </w:r>
          </w:p>
          <w:p>
            <w:pPr>
              <w:spacing w:before="0" w:after="0"/>
            </w:pPr>
            <w:r>
              <w:rPr>
                <w:rFonts w:ascii="Arial" w:cs="Arial" w:eastAsia="Arial" w:hAnsi="Arial"/>
                <w:color w:val="212121"/>
                <w:sz w:val="20"/>
                <w:szCs w:val="20"/>
              </w:rPr>
              <w:t xml:space="preserve">Das geplante Tool bietet als einzige Lösung am Markt eine tiefe Integration aller relevanten Flare-Network-DeFi-Protokolle kombiniert mit deutschlandkonformem BMF-2025-Mapping und direktem CoinTracking-CSV-Export.</w:t>
            </w:r>
          </w:p>
        </w:tc>
      </w:tr>
    </w:tbl>
    <w:p>
      <w:r>
        <w:br/>
      </w:r>
    </w:p>
    <w:p>
      <w:pPr>
        <w:pStyle w:val="Heading1"/>
        <w:pBdr>
          <w:bottom w:val="single" w:color="0D47A1" w:sz="4" w:space="6"/>
        </w:pBdr>
        <w:spacing w:before="360" w:after="160"/>
      </w:pPr>
      <w:r>
        <w:rPr>
          <w:rFonts w:ascii="Arial" w:cs="Arial" w:eastAsia="Arial" w:hAnsi="Arial"/>
          <w:b/>
          <w:bCs/>
          <w:color w:val="0D47A1"/>
          <w:sz w:val="36"/>
          <w:szCs w:val="36"/>
        </w:rPr>
        <w:t xml:space="preserve">3. Protokoll-Analyse: Die sechs Ziel-Plattformen</w:t>
      </w:r>
    </w:p>
    <w:p>
      <w:pPr>
        <w:pStyle w:val="Heading2"/>
        <w:spacing w:before="280" w:after="120"/>
      </w:pPr>
      <w:r>
        <w:rPr>
          <w:rFonts w:ascii="Arial" w:cs="Arial" w:eastAsia="Arial" w:hAnsi="Arial"/>
          <w:b/>
          <w:bCs/>
          <w:color w:val="0D47A1"/>
          <w:sz w:val="28"/>
          <w:szCs w:val="28"/>
        </w:rPr>
        <w:t xml:space="preserve">3.1 Flare Network – Die Layer-1-Datenbasis</w:t>
      </w:r>
    </w:p>
    <w:p>
      <w:pPr>
        <w:spacing w:before="60" w:after="100"/>
      </w:pPr>
      <w:r>
        <w:rPr>
          <w:rFonts w:ascii="Arial" w:cs="Arial" w:eastAsia="Arial" w:hAnsi="Arial"/>
          <w:color w:val="212121"/>
          <w:sz w:val="22"/>
          <w:szCs w:val="22"/>
        </w:rPr>
        <w:t xml:space="preserve">Flare ist ein EVM-kompatibler Layer-1-Blockchain, der 2023 seinen Mainnet startete und sich als 'Blockchain for Data' positioniert. Die Architektur basiert auf Proof-of-Stake (PoS) und integriert zwei proprietäre Datenprotokolle direkt in den Konsensus-Layer: den Flare Time Series Oracle (FTSO) und den Flare Data Connector (FDC).</w:t>
      </w:r>
    </w:p>
    <w:p>
      <w:pPr>
        <w:spacing w:before="80" w:after="0"/>
      </w:pPr>
      <w:r>
        <w:t xml:space="preserve"/>
      </w:r>
    </w:p>
    <w:p>
      <w:pPr>
        <w:pStyle w:val="Heading3"/>
        <w:spacing w:before="200" w:after="80"/>
      </w:pPr>
      <w:r>
        <w:rPr>
          <w:rFonts w:ascii="Arial" w:cs="Arial" w:eastAsia="Arial" w:hAnsi="Arial"/>
          <w:b/>
          <w:bCs/>
          <w:color w:val="0097A7"/>
          <w:sz w:val="24"/>
          <w:szCs w:val="24"/>
        </w:rPr>
        <w:t xml:space="preserve">3.1.1 Technische Architektur (Tracking-Relevanz)</w:t>
      </w:r>
    </w:p>
    <w:p>
      <w:pPr>
        <w:pStyle w:val="ListParagraph"/>
        <w:numPr>
          <w:ilvl w:val="0"/>
          <w:numId w:val="2"/>
        </w:numPr>
        <w:spacing w:before="40" w:after="40"/>
      </w:pPr>
      <w:r>
        <w:rPr>
          <w:rFonts w:ascii="Arial" w:cs="Arial" w:eastAsia="Arial" w:hAnsi="Arial"/>
          <w:b w:val="false"/>
          <w:bCs w:val="false"/>
          <w:color w:val="212121"/>
          <w:sz w:val="22"/>
          <w:szCs w:val="22"/>
        </w:rPr>
        <w:t xml:space="preserve">EVM-Kompatibilität: Alle Transaktionen sind per Standard-Ethereum-JSON-RPC abrufbar (eth_getTransactionReceipt, eth_getLogs)</w:t>
      </w:r>
    </w:p>
    <w:p>
      <w:pPr>
        <w:pStyle w:val="ListParagraph"/>
        <w:numPr>
          <w:ilvl w:val="0"/>
          <w:numId w:val="2"/>
        </w:numPr>
        <w:spacing w:before="40" w:after="40"/>
      </w:pPr>
      <w:r>
        <w:rPr>
          <w:rFonts w:ascii="Arial" w:cs="Arial" w:eastAsia="Arial" w:hAnsi="Arial"/>
          <w:b w:val="false"/>
          <w:bCs w:val="false"/>
          <w:color w:val="212121"/>
          <w:sz w:val="22"/>
          <w:szCs w:val="22"/>
        </w:rPr>
        <w:t xml:space="preserve">FTSO (Flare Time Series Oracle): Liefert dezentrale, minütlich aktualisierte EUR-Preisfeeds für FLR und alle wichtigen Token – essenziell für die steuerlich geforderte Tageskursbewertung (BMF 2025)</w:t>
      </w:r>
    </w:p>
    <w:p>
      <w:pPr>
        <w:pStyle w:val="ListParagraph"/>
        <w:numPr>
          <w:ilvl w:val="0"/>
          <w:numId w:val="2"/>
        </w:numPr>
        <w:spacing w:before="40" w:after="40"/>
      </w:pPr>
      <w:r>
        <w:rPr>
          <w:rFonts w:ascii="Arial" w:cs="Arial" w:eastAsia="Arial" w:hAnsi="Arial"/>
          <w:b w:val="false"/>
          <w:bCs w:val="false"/>
          <w:color w:val="212121"/>
          <w:sz w:val="22"/>
          <w:szCs w:val="22"/>
        </w:rPr>
        <w:t xml:space="preserve">FDC (Flare Data Connector): Ermöglicht vertrauenswürdigen Zugriff auf externe Blockchain-Events – relevant für Cross-Chain-Validierung</w:t>
      </w:r>
    </w:p>
    <w:p>
      <w:pPr>
        <w:pStyle w:val="ListParagraph"/>
        <w:numPr>
          <w:ilvl w:val="0"/>
          <w:numId w:val="2"/>
        </w:numPr>
        <w:spacing w:before="40" w:after="40"/>
      </w:pPr>
      <w:r>
        <w:rPr>
          <w:rFonts w:ascii="Arial" w:cs="Arial" w:eastAsia="Arial" w:hAnsi="Arial"/>
          <w:b w:val="false"/>
          <w:bCs w:val="false"/>
          <w:color w:val="212121"/>
          <w:sz w:val="22"/>
          <w:szCs w:val="22"/>
        </w:rPr>
        <w:t xml:space="preserve">FAssets: Tokenisierte Versionen von BTC (FBTC), XRP (FXRP) und DOGE (FDOGE) – erzeugen spezifische steuerliche Ereignisse bei Minting und Redemption</w:t>
      </w:r>
    </w:p>
    <w:p>
      <w:pPr>
        <w:pStyle w:val="ListParagraph"/>
        <w:numPr>
          <w:ilvl w:val="0"/>
          <w:numId w:val="2"/>
        </w:numPr>
        <w:spacing w:before="40" w:after="40"/>
      </w:pPr>
      <w:r>
        <w:rPr>
          <w:rFonts w:ascii="Arial" w:cs="Arial" w:eastAsia="Arial" w:hAnsi="Arial"/>
          <w:b w:val="false"/>
          <w:bCs w:val="false"/>
          <w:color w:val="212121"/>
          <w:sz w:val="22"/>
          <w:szCs w:val="22"/>
        </w:rPr>
        <w:t xml:space="preserve">Block Explorer: flare-explorer.flare.network und flarescan.com für Transaktionsvalidierung</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Flare-Komponente</w:t>
            </w:r>
          </w:p>
        </w:tc>
        <w:tc>
          <w:tcPr>
            <w:tcW w:type="dxa" w:w="32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Tracking-Relevanz</w:t>
            </w:r>
          </w:p>
        </w:tc>
        <w:tc>
          <w:tcPr>
            <w:tcW w:type="dxa" w:w="30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Steuerliche Behandlung</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FLR-Staking (PoS)</w:t>
            </w:r>
          </w:p>
        </w:tc>
        <w:tc>
          <w:tcPr>
            <w:tcW w:type="dxa" w:w="3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Delegationsrewards automatisch abrufen</w:t>
            </w:r>
          </w:p>
        </w:tc>
        <w:tc>
          <w:tcPr>
            <w:tcW w:type="dxa" w:w="3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3 EStG, Zufluss bei Claiming</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FlareDrops</w:t>
            </w:r>
          </w:p>
        </w:tc>
        <w:tc>
          <w:tcPr>
            <w:tcW w:type="dxa" w:w="3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Monatliche Token-Distributionen tracken</w:t>
            </w:r>
          </w:p>
        </w:tc>
        <w:tc>
          <w:tcPr>
            <w:tcW w:type="dxa" w:w="3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3 EStG als sonstige Einkünfte</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rFLR Emissions</w:t>
            </w:r>
          </w:p>
        </w:tc>
        <w:tc>
          <w:tcPr>
            <w:tcW w:type="dxa" w:w="3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Incentive-Rewards aus DeFi-Programmen</w:t>
            </w:r>
          </w:p>
        </w:tc>
        <w:tc>
          <w:tcPr>
            <w:tcW w:type="dxa" w:w="3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3 EStG, Tageskurs bei Zufluss</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FAssets (FXRP/FBTC)</w:t>
            </w:r>
          </w:p>
        </w:tc>
        <w:tc>
          <w:tcPr>
            <w:tcW w:type="dxa" w:w="3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Minting/Redemption als separates Ereignis</w:t>
            </w:r>
          </w:p>
        </w:tc>
        <w:tc>
          <w:tcPr>
            <w:tcW w:type="dxa" w:w="3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Tauschvorgang → neue Haltefrist</w:t>
            </w:r>
          </w:p>
        </w:tc>
      </w:tr>
    </w:tbl>
    <w:p>
      <w:pPr>
        <w:spacing w:before="120" w:after="0"/>
      </w:pPr>
      <w:r>
        <w:t xml:space="preserve"/>
      </w:r>
    </w:p>
    <w:p>
      <w:pPr>
        <w:pStyle w:val="Heading2"/>
        <w:spacing w:before="280" w:after="120"/>
      </w:pPr>
      <w:r>
        <w:rPr>
          <w:rFonts w:ascii="Arial" w:cs="Arial" w:eastAsia="Arial" w:hAnsi="Arial"/>
          <w:b/>
          <w:bCs/>
          <w:color w:val="0D47A1"/>
          <w:sz w:val="28"/>
          <w:szCs w:val="28"/>
        </w:rPr>
        <w:t xml:space="preserve">3.2 SparkDEX – AMM, Perps &amp; Liquidity Mining</w:t>
      </w:r>
    </w:p>
    <w:p>
      <w:pPr>
        <w:spacing w:before="60" w:after="100"/>
      </w:pPr>
      <w:r>
        <w:rPr>
          <w:rFonts w:ascii="Arial" w:cs="Arial" w:eastAsia="Arial" w:hAnsi="Arial"/>
          <w:color w:val="212121"/>
          <w:sz w:val="22"/>
          <w:szCs w:val="22"/>
        </w:rPr>
        <w:t xml:space="preserve">SparkDEX ist der führende DEX auf dem Flare Network mit über 4 Milliarden USD Gesamthandelsvolumen (Stand Anfang 2026). Die Plattform hat im Februar 2026 die Version V4 eingeführt, die auf Algebra Integral v1.2.2 basiert und programmierbare Liquidität in einem einheitlichen In-Memory-Accounting-Modell ermöglicht. Der $SPRK-Token dient als Governance- und Revenue-Sharing-Token.</w:t>
      </w:r>
    </w:p>
    <w:p>
      <w:pPr>
        <w:spacing w:before="80" w:after="0"/>
      </w:pPr>
      <w:r>
        <w:t xml:space="preserve"/>
      </w:r>
    </w:p>
    <w:p>
      <w:pPr>
        <w:pStyle w:val="Heading3"/>
        <w:spacing w:before="200" w:after="80"/>
      </w:pPr>
      <w:r>
        <w:rPr>
          <w:rFonts w:ascii="Arial" w:cs="Arial" w:eastAsia="Arial" w:hAnsi="Arial"/>
          <w:b/>
          <w:bCs/>
          <w:color w:val="0097A7"/>
          <w:sz w:val="24"/>
          <w:szCs w:val="24"/>
        </w:rPr>
        <w:t xml:space="preserve">3.2.1 Protokoll-Module und Transaktionstypen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126"/>
        <w:gridCol w:w="2200"/>
      </w:tblGrid>
      <w:tr>
        <w:trPr>
          <w:tblHeader/>
        </w:trPr>
        <w:tc>
          <w:tcPr>
            <w:tcW w:type="dxa" w:w="22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SparkDEX-Modul</w:t>
            </w:r>
          </w:p>
        </w:tc>
        <w:tc>
          <w:tcPr>
            <w:tcW w:type="dxa" w:w="25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Transaktionstyp</w:t>
            </w:r>
          </w:p>
        </w:tc>
        <w:tc>
          <w:tcPr>
            <w:tcW w:type="dxa" w:w="21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CoinTracking-Typ</w:t>
            </w:r>
          </w:p>
        </w:tc>
        <w:tc>
          <w:tcPr>
            <w:tcW w:type="dxa" w:w="22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 EStG</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V3/V4 AMM Swap</w:t>
            </w:r>
          </w:p>
        </w:tc>
        <w:tc>
          <w:tcPr>
            <w:tcW w:type="dxa" w:w="2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Token A → Token B (Sofortswap)</w:t>
            </w:r>
          </w:p>
        </w:tc>
        <w:tc>
          <w:tcPr>
            <w:tcW w:type="dxa" w:w="21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Trade</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23 EStG (Veräußerung)</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dTWAP Order</w:t>
            </w:r>
          </w:p>
        </w:tc>
        <w:tc>
          <w:tcPr>
            <w:tcW w:type="dxa" w:w="2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Zeitverteilter Swap (mehrere TX)</w:t>
            </w:r>
          </w:p>
        </w:tc>
        <w:tc>
          <w:tcPr>
            <w:tcW w:type="dxa" w:w="21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Trade (je TX)</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23 EStG</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dLimit Order</w:t>
            </w:r>
          </w:p>
        </w:tc>
        <w:tc>
          <w:tcPr>
            <w:tcW w:type="dxa" w:w="2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Limit-Order-Ausführung</w:t>
            </w:r>
          </w:p>
        </w:tc>
        <w:tc>
          <w:tcPr>
            <w:tcW w:type="dxa" w:w="21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Trade</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23 EStG</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Liquidity Provide</w:t>
            </w:r>
          </w:p>
        </w:tc>
        <w:tc>
          <w:tcPr>
            <w:tcW w:type="dxa" w:w="2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Einzahlung in Liquiditätspool (LP-Token erhalten)</w:t>
            </w:r>
          </w:p>
        </w:tc>
        <w:tc>
          <w:tcPr>
            <w:tcW w:type="dxa" w:w="21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Provide Liquidity + Receive LP Token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Graubereich BMF 2025</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Liquidity Remove</w:t>
            </w:r>
          </w:p>
        </w:tc>
        <w:tc>
          <w:tcPr>
            <w:tcW w:type="dxa" w:w="2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LP-Token zurückgeben, Tokens erhalten</w:t>
            </w:r>
          </w:p>
        </w:tc>
        <w:tc>
          <w:tcPr>
            <w:tcW w:type="dxa" w:w="21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Return LP Token + Remove Liquidity</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Graubereich BMF 2025</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Farming (LP Rewards)</w:t>
            </w:r>
          </w:p>
        </w:tc>
        <w:tc>
          <w:tcPr>
            <w:tcW w:type="dxa" w:w="2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rFLR/SPRK als Farming-Rewards</w:t>
            </w:r>
          </w:p>
        </w:tc>
        <w:tc>
          <w:tcPr>
            <w:tcW w:type="dxa" w:w="21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LP Rewards</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3 EStG, Zufluss-Zeitpunkt</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$SPRK Staking</w:t>
            </w:r>
          </w:p>
        </w:tc>
        <w:tc>
          <w:tcPr>
            <w:tcW w:type="dxa" w:w="2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SPRK einzahlen, Dividenden erhalten</w:t>
            </w:r>
          </w:p>
        </w:tc>
        <w:tc>
          <w:tcPr>
            <w:tcW w:type="dxa" w:w="21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Staking + Staking Rewards</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3 EStG</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Perps (100x Leverage)</w:t>
            </w:r>
          </w:p>
        </w:tc>
        <w:tc>
          <w:tcPr>
            <w:tcW w:type="dxa" w:w="2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Long/Short Position eröffnen/schließen</w:t>
            </w:r>
          </w:p>
        </w:tc>
        <w:tc>
          <w:tcPr>
            <w:tcW w:type="dxa" w:w="21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Margin Trade / Derivate</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23 EStG (Termingeschäft)</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Funding Rate</w:t>
            </w:r>
          </w:p>
        </w:tc>
        <w:tc>
          <w:tcPr>
            <w:tcW w:type="dxa" w:w="2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Periodische Zahlung/Erhalt</w:t>
            </w:r>
          </w:p>
        </w:tc>
        <w:tc>
          <w:tcPr>
            <w:tcW w:type="dxa" w:w="21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Sonstige Einnahme / Ausgabe</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3 EStG</w:t>
            </w:r>
          </w:p>
        </w:tc>
      </w:tr>
    </w:tbl>
    <w:p>
      <w:pPr>
        <w:spacing w:before="80" w:after="0"/>
      </w:pPr>
      <w:r>
        <w:t xml:space="preserve"/>
      </w:r>
    </w:p>
    <w:p>
      <w:pPr>
        <w:pStyle w:val="Heading3"/>
        <w:spacing w:before="200" w:after="80"/>
      </w:pPr>
      <w:r>
        <w:rPr>
          <w:rFonts w:ascii="Arial" w:cs="Arial" w:eastAsia="Arial" w:hAnsi="Arial"/>
          <w:b/>
          <w:bCs/>
          <w:color w:val="0097A7"/>
          <w:sz w:val="24"/>
          <w:szCs w:val="24"/>
        </w:rPr>
        <w:t xml:space="preserve">3.2.2 API-Zugang &amp; Datenverfügbarkeit</w:t>
      </w:r>
    </w:p>
    <w:p>
      <w:pPr>
        <w:pStyle w:val="ListParagraph"/>
        <w:numPr>
          <w:ilvl w:val="0"/>
          <w:numId w:val="2"/>
        </w:numPr>
        <w:spacing w:before="40" w:after="40"/>
      </w:pPr>
      <w:r>
        <w:rPr>
          <w:rFonts w:ascii="Arial" w:cs="Arial" w:eastAsia="Arial" w:hAnsi="Arial"/>
          <w:b w:val="false"/>
          <w:bCs w:val="false"/>
          <w:color w:val="212121"/>
          <w:sz w:val="22"/>
          <w:szCs w:val="22"/>
        </w:rPr>
        <w:t xml:space="preserve">On-Chain Subgraph (The Graph): SparkDEX stellt einen GraphQL-Subgraph bereit – präzise Abfrage von Pools, Swaps, Positionen und Rewards</w:t>
      </w:r>
    </w:p>
    <w:p>
      <w:pPr>
        <w:pStyle w:val="ListParagraph"/>
        <w:numPr>
          <w:ilvl w:val="0"/>
          <w:numId w:val="2"/>
        </w:numPr>
        <w:spacing w:before="40" w:after="40"/>
      </w:pPr>
      <w:r>
        <w:rPr>
          <w:rFonts w:ascii="Arial" w:cs="Arial" w:eastAsia="Arial" w:hAnsi="Arial"/>
          <w:b w:val="false"/>
          <w:bCs w:val="false"/>
          <w:color w:val="212121"/>
          <w:sz w:val="22"/>
          <w:szCs w:val="22"/>
        </w:rPr>
        <w:t xml:space="preserve">Event Logs: Uniswap V3-kompatible Events (Swap, Mint, Burn, Collect) – direkt per Flare JSON-RPC abrufbar</w:t>
      </w:r>
    </w:p>
    <w:p>
      <w:pPr>
        <w:pStyle w:val="ListParagraph"/>
        <w:numPr>
          <w:ilvl w:val="0"/>
          <w:numId w:val="2"/>
        </w:numPr>
        <w:spacing w:before="40" w:after="40"/>
      </w:pPr>
      <w:r>
        <w:rPr>
          <w:rFonts w:ascii="Arial" w:cs="Arial" w:eastAsia="Arial" w:hAnsi="Arial"/>
          <w:b w:val="false"/>
          <w:bCs w:val="false"/>
          <w:color w:val="212121"/>
          <w:sz w:val="22"/>
          <w:szCs w:val="22"/>
        </w:rPr>
        <w:t xml:space="preserve">FTSO-Preisintegration: Echtzeit-EUR/Token-Kurse über FTSO für Tageskursbewertung (BMF 2025 §43)</w:t>
      </w:r>
    </w:p>
    <w:p>
      <w:pPr>
        <w:pStyle w:val="ListParagraph"/>
        <w:numPr>
          <w:ilvl w:val="0"/>
          <w:numId w:val="2"/>
        </w:numPr>
        <w:spacing w:before="40" w:after="40"/>
      </w:pPr>
      <w:r>
        <w:rPr>
          <w:rFonts w:ascii="Arial" w:cs="Arial" w:eastAsia="Arial" w:hAnsi="Arial"/>
          <w:b w:val="false"/>
          <w:bCs w:val="false"/>
          <w:color w:val="212121"/>
          <w:sz w:val="22"/>
          <w:szCs w:val="22"/>
        </w:rPr>
        <w:t xml:space="preserve">Besonderheit V4: In-Memory-Accounting ermöglicht atomare Multi-Aktion-Transaktionen – Tracking-Tool muss zusammengesetzte TX korrekt dekodieren</w:t>
      </w:r>
    </w:p>
    <w:p>
      <w:pPr>
        <w:spacing w:before="120" w:after="0"/>
      </w:pPr>
      <w:r>
        <w:t xml:space="preserve"/>
      </w:r>
    </w:p>
    <w:p>
      <w:pPr>
        <w:pStyle w:val="Heading2"/>
        <w:spacing w:before="280" w:after="120"/>
      </w:pPr>
      <w:r>
        <w:rPr>
          <w:rFonts w:ascii="Arial" w:cs="Arial" w:eastAsia="Arial" w:hAnsi="Arial"/>
          <w:b/>
          <w:bCs/>
          <w:color w:val="0D47A1"/>
          <w:sz w:val="28"/>
          <w:szCs w:val="28"/>
        </w:rPr>
        <w:t xml:space="preserve">3.3 Ēnosys DEX – V3 AMM, CDP-Protokoll &amp; Bridge</w:t>
      </w:r>
    </w:p>
    <w:p>
      <w:pPr>
        <w:spacing w:before="60" w:after="100"/>
      </w:pPr>
      <w:r>
        <w:rPr>
          <w:rFonts w:ascii="Arial" w:cs="Arial" w:eastAsia="Arial" w:hAnsi="Arial"/>
          <w:color w:val="212121"/>
          <w:sz w:val="22"/>
          <w:szCs w:val="22"/>
        </w:rPr>
        <w:t xml:space="preserve">Ēnosys (ehemals FLR Finance) ist ein akademisch geprägtes DeFi-Forschungs- und Entwicklungsökosystem, das seit seiner Gründung auf dem Flare Network und dem Songbird Canary Network aktiv ist. Die Produktpalette umfasst vier miteinander verbundene Protokolle: DEX V3 (AMM), Farms (Yield Farming), Loans (CDP, seit Dezember 2025) und Bridge (Cross-Chain). Governance erfolgt über APS (Apsis) und HLN (Helion) Tokens.</w:t>
      </w:r>
    </w:p>
    <w:p>
      <w:pPr>
        <w:spacing w:before="80" w:after="0"/>
      </w:pPr>
      <w:r>
        <w:t xml:space="preserve"/>
      </w:r>
    </w:p>
    <w:p>
      <w:pPr>
        <w:pStyle w:val="Heading3"/>
        <w:spacing w:before="200" w:after="80"/>
      </w:pPr>
      <w:r>
        <w:rPr>
          <w:rFonts w:ascii="Arial" w:cs="Arial" w:eastAsia="Arial" w:hAnsi="Arial"/>
          <w:b/>
          <w:bCs/>
          <w:color w:val="0097A7"/>
          <w:sz w:val="24"/>
          <w:szCs w:val="24"/>
        </w:rPr>
        <w:t xml:space="preserve">3.3.1 Ēnosys Loans (CDP-Protokoll) – Steuerliche Sonderstellung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1"/>
              <w:left w:val="thick" w:color="E65100" w:sz="12"/>
              <w:bottom w:val="single" w:color="E65100" w:sz="1"/>
              <w:right w:val="single" w:color="E65100" w:sz="1"/>
            </w:tcBorders>
            <w:shd w:fill="FFF3E0" w:val="clear"/>
            <w:tcMar>
              <w:top w:type="dxa" w:w="120"/>
              <w:left w:type="dxa" w:w="200"/>
              <w:bottom w:type="dxa" w:w="120"/>
              <w:right w:type="dxa" w:w="120"/>
            </w:tcMar>
          </w:tcPr>
          <w:p>
            <w:pPr>
              <w:spacing w:before="0" w:after="40"/>
            </w:pPr>
            <w:r>
              <w:rPr>
                <w:rFonts w:ascii="Arial" w:cs="Arial" w:eastAsia="Arial" w:hAnsi="Arial"/>
                <w:b/>
                <w:bCs/>
                <w:color w:val="E65100"/>
                <w:sz w:val="22"/>
                <w:szCs w:val="22"/>
              </w:rPr>
              <w:t xml:space="preserve">Kritischer Hinweis – CDP-Protokoll</w:t>
            </w:r>
          </w:p>
          <w:p>
            <w:pPr>
              <w:spacing w:before="0" w:after="0"/>
            </w:pPr>
            <w:r>
              <w:rPr>
                <w:rFonts w:ascii="Arial" w:cs="Arial" w:eastAsia="Arial" w:hAnsi="Arial"/>
                <w:color w:val="212121"/>
                <w:sz w:val="20"/>
                <w:szCs w:val="20"/>
              </w:rPr>
              <w:t xml:space="preserve">Die Eröffnung einer Collateralized Debt Position (CDP) durch Einzahlung von FXRP oder wFLR als Sicherheit und das anschließende Minting eines Stablecoins ist nach BMF 2025 steuerlich unklar. Es bestehen zwei Interpretationsmodelle: (1) Das Minting stellt keinen steuerpflichtigen Tausch dar (Darlehensaufnahme), (2) Es handelt sich um einen Tausch, der eine neue Haltefrist für die erhaltenen Stablecoins begründet. Das SaaS-Tool muss beide Szenarien modellieren und dem Nutzer die Wahl lassen.</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tblHeader/>
        </w:trPr>
        <w:tc>
          <w:tcPr>
            <w:tcW w:type="dxa" w:w="24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Ēnosys-Protokoll</w:t>
            </w:r>
          </w:p>
        </w:tc>
        <w:tc>
          <w:tcPr>
            <w:tcW w:type="dxa" w:w="24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Transaktionstyp</w:t>
            </w:r>
          </w:p>
        </w:tc>
        <w:tc>
          <w:tcPr>
            <w:tcW w:type="dxa" w:w="22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CoinTracking-Typ</w:t>
            </w:r>
          </w:p>
        </w:tc>
        <w:tc>
          <w:tcPr>
            <w:tcW w:type="dxa" w:w="20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Besonderheit</w:t>
            </w:r>
          </w:p>
        </w:tc>
      </w:tr>
      <w:tr>
        <w:trPr>
          <w:tblHeader w:val="false"/>
        </w:trPr>
        <w:tc>
          <w:tcPr>
            <w:tcW w:type="dxa" w:w="24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DEX V3 Swap</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Token-Tausch</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Trade</w:t>
            </w:r>
          </w:p>
        </w:tc>
        <w:tc>
          <w:tcPr>
            <w:tcW w:type="dxa" w:w="2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Uniswap V3 Events</w:t>
            </w:r>
          </w:p>
        </w:tc>
      </w:tr>
      <w:tr>
        <w:trPr>
          <w:tblHeader w:val="false"/>
        </w:trPr>
        <w:tc>
          <w:tcPr>
            <w:tcW w:type="dxa" w:w="24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Liquidity Pool</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LP-Position (concentrated)</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Provide/Remove Liquidity</w:t>
            </w:r>
          </w:p>
        </w:tc>
        <w:tc>
          <w:tcPr>
            <w:tcW w:type="dxa" w:w="2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Price Range relevant</w:t>
            </w:r>
          </w:p>
        </w:tc>
      </w:tr>
      <w:tr>
        <w:trPr>
          <w:tblHeader w:val="false"/>
        </w:trPr>
        <w:tc>
          <w:tcPr>
            <w:tcW w:type="dxa" w:w="24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Farming Rewards</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APS/HLN/rFLR Rewards</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LP Rewards</w:t>
            </w:r>
          </w:p>
        </w:tc>
        <w:tc>
          <w:tcPr>
            <w:tcW w:type="dxa" w:w="2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Claiming-Zeitpunkt entscheidend</w:t>
            </w:r>
          </w:p>
        </w:tc>
      </w:tr>
      <w:tr>
        <w:trPr>
          <w:tblHeader w:val="false"/>
        </w:trPr>
        <w:tc>
          <w:tcPr>
            <w:tcW w:type="dxa" w:w="24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CDP öffnen (Loans)</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FXRP → Stablecoin minting</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Add Collateral + Darlehen erhalten</w:t>
            </w:r>
          </w:p>
        </w:tc>
        <w:tc>
          <w:tcPr>
            <w:tcW w:type="dxa" w:w="2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Steuerlich unklar – Nutzerauswahl</w:t>
            </w:r>
          </w:p>
        </w:tc>
      </w:tr>
      <w:tr>
        <w:trPr>
          <w:tblHeader w:val="false"/>
        </w:trPr>
        <w:tc>
          <w:tcPr>
            <w:tcW w:type="dxa" w:w="24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CDP schließen</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Stablecoin zurückzahlen → FXRP frei</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Darlehen zurückgezahlt + Remove Collateral</w:t>
            </w:r>
          </w:p>
        </w:tc>
        <w:tc>
          <w:tcPr>
            <w:tcW w:type="dxa" w:w="2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Zinsen = § 22 Nr. 3 EStG</w:t>
            </w:r>
          </w:p>
        </w:tc>
      </w:tr>
      <w:tr>
        <w:trPr>
          <w:tblHeader w:val="false"/>
        </w:trPr>
        <w:tc>
          <w:tcPr>
            <w:tcW w:type="dxa" w:w="24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Stability Pool</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Stablecoins einzahlen, Liquidations-Gains</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Provide Liquidity + Sonstige Einnahme</w:t>
            </w:r>
          </w:p>
        </w:tc>
        <w:tc>
          <w:tcPr>
            <w:tcW w:type="dxa" w:w="2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Liquidationsprämien steuerpflichtig</w:t>
            </w:r>
          </w:p>
        </w:tc>
      </w:tr>
      <w:tr>
        <w:trPr>
          <w:tblHeader w:val="false"/>
        </w:trPr>
        <w:tc>
          <w:tcPr>
            <w:tcW w:type="dxa" w:w="24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Bridge (Cross-Chain)</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Asset Transfer zwischen Chains</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Transfer intern</w:t>
            </w:r>
          </w:p>
        </w:tc>
        <w:tc>
          <w:tcPr>
            <w:tcW w:type="dxa" w:w="2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Kein Veräußerungsvorgang</w:t>
            </w:r>
          </w:p>
        </w:tc>
      </w:tr>
    </w:tbl>
    <w:p>
      <w:pPr>
        <w:spacing w:before="120" w:after="0"/>
      </w:pPr>
      <w:r>
        <w:t xml:space="preserve"/>
      </w:r>
    </w:p>
    <w:p>
      <w:pPr>
        <w:pStyle w:val="Heading2"/>
        <w:spacing w:before="280" w:after="120"/>
      </w:pPr>
      <w:r>
        <w:rPr>
          <w:rFonts w:ascii="Arial" w:cs="Arial" w:eastAsia="Arial" w:hAnsi="Arial"/>
          <w:b/>
          <w:bCs/>
          <w:color w:val="0D47A1"/>
          <w:sz w:val="28"/>
          <w:szCs w:val="28"/>
        </w:rPr>
        <w:t xml:space="preserve">3.4 Kinetic Market – Lending &amp; Borrowing auf Flare</w:t>
      </w:r>
    </w:p>
    <w:p>
      <w:pPr>
        <w:spacing w:before="60" w:after="100"/>
      </w:pPr>
      <w:r>
        <w:rPr>
          <w:rFonts w:ascii="Arial" w:cs="Arial" w:eastAsia="Arial" w:hAnsi="Arial"/>
          <w:color w:val="212121"/>
          <w:sz w:val="22"/>
          <w:szCs w:val="22"/>
        </w:rPr>
        <w:t xml:space="preserve">Kinetic Market ist das führende Lending- und Borrowing-Protokoll auf dem Flare Network, entwickelt in Zusammenarbeit mit Rome Blockchain Labs (RBL), die auch Benqi auf Avalanche entwickelt haben. Das Protokoll funktioniert als algorithmisches, nicht-verwahrtes Geldmarkt-System mit dynamischen Zinssätzen basierend auf der Nutzungsquote (Utilization Rate). Kinetic integriert neben dem Flare Network auch Soroban (Stellar Smart Contracts).</w:t>
      </w:r>
    </w:p>
    <w:p>
      <w:pPr>
        <w:spacing w:before="80" w:after="0"/>
      </w:pPr>
      <w:r>
        <w:t xml:space="preserve"/>
      </w:r>
    </w:p>
    <w:p>
      <w:pPr>
        <w:pStyle w:val="Heading3"/>
        <w:spacing w:before="200" w:after="80"/>
      </w:pPr>
      <w:r>
        <w:rPr>
          <w:rFonts w:ascii="Arial" w:cs="Arial" w:eastAsia="Arial" w:hAnsi="Arial"/>
          <w:b/>
          <w:bCs/>
          <w:color w:val="0097A7"/>
          <w:sz w:val="24"/>
          <w:szCs w:val="24"/>
        </w:rPr>
        <w:t xml:space="preserve">3.4.1 Transaktionstypen und steuerliche Behandlung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26"/>
        <w:gridCol w:w="2200"/>
      </w:tblGrid>
      <w:tr>
        <w:trPr>
          <w:tblHeader/>
        </w:trPr>
        <w:tc>
          <w:tcPr>
            <w:tcW w:type="dxa" w:w="24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Kinetic-Aktion</w:t>
            </w:r>
          </w:p>
        </w:tc>
        <w:tc>
          <w:tcPr>
            <w:tcW w:type="dxa" w:w="22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Mechanismus</w:t>
            </w:r>
          </w:p>
        </w:tc>
        <w:tc>
          <w:tcPr>
            <w:tcW w:type="dxa" w:w="22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CoinTracking-Typ</w:t>
            </w:r>
          </w:p>
        </w:tc>
        <w:tc>
          <w:tcPr>
            <w:tcW w:type="dxa" w:w="22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Steuerrecht Deutschland</w:t>
            </w:r>
          </w:p>
        </w:tc>
      </w:tr>
      <w:tr>
        <w:trPr>
          <w:tblHeader w:val="false"/>
        </w:trPr>
        <w:tc>
          <w:tcPr>
            <w:tcW w:type="dxa" w:w="24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Supply (Einzahlen)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Assets → kToken erhalten (z.B. kFLR, kUSDT)</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Provide Liquidity / Darlehen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Kein Veräußerungsvorgang (Graubereich)</w:t>
            </w:r>
          </w:p>
        </w:tc>
      </w:tr>
      <w:tr>
        <w:trPr>
          <w:tblHeader w:val="false"/>
        </w:trPr>
        <w:tc>
          <w:tcPr>
            <w:tcW w:type="dxa" w:w="24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Withdraw (Abheben)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kToken zurückgeben → Assets + Zinsen</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Remove Liquidity / Darlehen zurückgezahlt</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Zinserträge § 22 Nr. 3 EStG</w:t>
            </w:r>
          </w:p>
        </w:tc>
      </w:tr>
      <w:tr>
        <w:trPr>
          <w:tblHeader w:val="false"/>
        </w:trPr>
        <w:tc>
          <w:tcPr>
            <w:tcW w:type="dxa" w:w="24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Borrow (Leihen)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Überbessichertes Darlehen aufnehmen</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Darlehen erhalten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Kein steuerpflichtiges Ereignis</w:t>
            </w:r>
          </w:p>
        </w:tc>
      </w:tr>
      <w:tr>
        <w:trPr>
          <w:tblHeader w:val="false"/>
        </w:trPr>
        <w:tc>
          <w:tcPr>
            <w:tcW w:type="dxa" w:w="24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Repay (Zurückzahlen)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Darlehen + Zinsen tilgen</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Darlehen zurückgezahlt + Ausgabe (Zinsen)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Zinsen als Ausgabe absetzbar</w:t>
            </w:r>
          </w:p>
        </w:tc>
      </w:tr>
      <w:tr>
        <w:trPr>
          <w:tblHeader w:val="false"/>
        </w:trPr>
        <w:tc>
          <w:tcPr>
            <w:tcW w:type="dxa" w:w="24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Lending Rewards (kii)</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Governance-Token als Belohnung</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Lending Einnahme / LP Rewards</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3 EStG beim Claiming</w:t>
            </w:r>
          </w:p>
        </w:tc>
      </w:tr>
      <w:tr>
        <w:trPr>
          <w:tblHeader w:val="false"/>
        </w:trPr>
        <w:tc>
          <w:tcPr>
            <w:tcW w:type="dxa" w:w="24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Liquidation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Kollateral wird teilweise verwertet</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Liquidation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Veräußerungserlös § 23 EStG</w:t>
            </w:r>
          </w:p>
        </w:tc>
      </w:tr>
      <w:tr>
        <w:trPr>
          <w:tblHeader w:val="false"/>
        </w:trPr>
        <w:tc>
          <w:tcPr>
            <w:tcW w:type="dxa" w:w="24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Health Factor Events</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Automatische Margin-Calls</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Liquidation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Zwangsveräußerung – voller Erlös steuerlich</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97A7" w:sz="1"/>
              <w:left w:val="thick" w:color="0097A7" w:sz="12"/>
              <w:bottom w:val="single" w:color="0097A7" w:sz="1"/>
              <w:right w:val="single" w:color="0097A7" w:sz="1"/>
            </w:tcBorders>
            <w:shd w:fill="E3F2FD" w:val="clear"/>
            <w:tcMar>
              <w:top w:type="dxa" w:w="120"/>
              <w:left w:type="dxa" w:w="200"/>
              <w:bottom w:type="dxa" w:w="120"/>
              <w:right w:type="dxa" w:w="120"/>
            </w:tcMar>
          </w:tcPr>
          <w:p>
            <w:pPr>
              <w:spacing w:before="0" w:after="40"/>
            </w:pPr>
            <w:r>
              <w:rPr>
                <w:rFonts w:ascii="Arial" w:cs="Arial" w:eastAsia="Arial" w:hAnsi="Arial"/>
                <w:b/>
                <w:bCs/>
                <w:color w:val="0097A7"/>
                <w:sz w:val="22"/>
                <w:szCs w:val="22"/>
              </w:rPr>
              <w:t xml:space="preserve">Lending vs. Staking – Abgrenzung BMF 2025</w:t>
            </w:r>
          </w:p>
          <w:p>
            <w:pPr>
              <w:spacing w:before="0" w:after="0"/>
            </w:pPr>
            <w:r>
              <w:rPr>
                <w:rFonts w:ascii="Arial" w:cs="Arial" w:eastAsia="Arial" w:hAnsi="Arial"/>
                <w:color w:val="212121"/>
                <w:sz w:val="20"/>
                <w:szCs w:val="20"/>
              </w:rPr>
              <w:t xml:space="preserve">Das BMF-Schreiben 2025 bestätigt: Weder Staking noch Lending verlängern die einjährige Spekulationsfrist nach § 23 EStG. Eingezahlte Assets können nach Ablauf der Ein-Jahres-Frist steuerfrei veräußert werden. Die erhaltenen Zinsen/Rewards beginnen jedoch eine neue Haltefrist und sind im Zuflusszeitpunkt steuerpflichtig.</w:t>
            </w:r>
          </w:p>
        </w:tc>
      </w:tr>
    </w:tbl>
    <w:p>
      <w:pPr>
        <w:spacing w:before="120" w:after="0"/>
      </w:pPr>
      <w:r>
        <w:t xml:space="preserve"/>
      </w:r>
    </w:p>
    <w:p>
      <w:pPr>
        <w:pStyle w:val="Heading2"/>
        <w:spacing w:before="280" w:after="120"/>
      </w:pPr>
      <w:r>
        <w:rPr>
          <w:rFonts w:ascii="Arial" w:cs="Arial" w:eastAsia="Arial" w:hAnsi="Arial"/>
          <w:b/>
          <w:bCs/>
          <w:color w:val="0D47A1"/>
          <w:sz w:val="28"/>
          <w:szCs w:val="28"/>
        </w:rPr>
        <w:t xml:space="preserve">3.5 Stargate Finance – Omnichain Cross-Chain Bridge</w:t>
      </w:r>
    </w:p>
    <w:p>
      <w:pPr>
        <w:spacing w:before="60" w:after="100"/>
      </w:pPr>
      <w:r>
        <w:rPr>
          <w:rFonts w:ascii="Arial" w:cs="Arial" w:eastAsia="Arial" w:hAnsi="Arial"/>
          <w:color w:val="212121"/>
          <w:sz w:val="22"/>
          <w:szCs w:val="22"/>
        </w:rPr>
        <w:t xml:space="preserve">Stargate ist das führende Cross-Chain-Liquiditätsprotokoll, entwickelt von LayerZero Labs (März 2022) und nun in Version V2 verfügbar. Das Protokoll ermöglicht native Asset-Transfers über 80+ Chains ohne Wrapped Tokens, gestützt auf den Delta-Algorithmus für ausgewogene Chain-übergreifende Liquiditätspools. Stargate ist tief in Flare's DeFi-Ökosystem integriert.</w:t>
      </w:r>
    </w:p>
    <w:p>
      <w:pPr>
        <w:spacing w:before="80" w:after="0"/>
      </w:pPr>
      <w:r>
        <w:t xml:space="preserve"/>
      </w:r>
    </w:p>
    <w:p>
      <w:pPr>
        <w:pStyle w:val="Heading3"/>
        <w:spacing w:before="200" w:after="80"/>
      </w:pPr>
      <w:r>
        <w:rPr>
          <w:rFonts w:ascii="Arial" w:cs="Arial" w:eastAsia="Arial" w:hAnsi="Arial"/>
          <w:b/>
          <w:bCs/>
          <w:color w:val="0097A7"/>
          <w:sz w:val="24"/>
          <w:szCs w:val="24"/>
        </w:rPr>
        <w:t xml:space="preserve">3.5.1 Bridge-Transaktionen – Steuerliche Behandlung</w:t>
      </w:r>
    </w:p>
    <w:p>
      <w:pPr>
        <w:spacing w:before="60" w:after="100"/>
      </w:pPr>
      <w:r>
        <w:rPr>
          <w:rFonts w:ascii="Arial" w:cs="Arial" w:eastAsia="Arial" w:hAnsi="Arial"/>
          <w:color w:val="212121"/>
          <w:sz w:val="22"/>
          <w:szCs w:val="22"/>
        </w:rPr>
        <w:t xml:space="preserve">Ein reiner Cross-Chain-Transfer (z.B. USDC von Ethereum nach Flare) ist kein steuerpflichtiges Ereignis, da keine Veräußerung stattfindet. Das SaaS-Tool muss jedoch folgende Szenarien präzise unterscheiden:</w:t>
      </w:r>
    </w:p>
    <w:p>
      <w:pPr>
        <w:pStyle w:val="ListParagraph"/>
        <w:numPr>
          <w:ilvl w:val="0"/>
          <w:numId w:val="2"/>
        </w:numPr>
        <w:spacing w:before="40" w:after="40"/>
      </w:pPr>
      <w:r>
        <w:rPr>
          <w:rFonts w:ascii="Arial" w:cs="Arial" w:eastAsia="Arial" w:hAnsi="Arial"/>
          <w:b w:val="false"/>
          <w:bCs w:val="false"/>
          <w:color w:val="212121"/>
          <w:sz w:val="22"/>
          <w:szCs w:val="22"/>
        </w:rPr>
        <w:t xml:space="preserve">Reiner Transfer: Gleiches Asset, anderer Chain → Interner Transfer, kein steuerliches Ereignis</w:t>
      </w:r>
    </w:p>
    <w:p>
      <w:pPr>
        <w:pStyle w:val="ListParagraph"/>
        <w:numPr>
          <w:ilvl w:val="0"/>
          <w:numId w:val="2"/>
        </w:numPr>
        <w:spacing w:before="40" w:after="40"/>
      </w:pPr>
      <w:r>
        <w:rPr>
          <w:rFonts w:ascii="Arial" w:cs="Arial" w:eastAsia="Arial" w:hAnsi="Arial"/>
          <w:b w:val="false"/>
          <w:bCs w:val="false"/>
          <w:color w:val="212121"/>
          <w:sz w:val="22"/>
          <w:szCs w:val="22"/>
        </w:rPr>
        <w:t xml:space="preserve">Native Asset ↔ Wrapped Asset: Manche Bridges tauschen Tokens (z.B. USDT → USDT.e) → steuerrechtlich potenziell Tauschvorgang nach § 23 EStG</w:t>
      </w:r>
    </w:p>
    <w:p>
      <w:pPr>
        <w:pStyle w:val="ListParagraph"/>
        <w:numPr>
          <w:ilvl w:val="0"/>
          <w:numId w:val="2"/>
        </w:numPr>
        <w:spacing w:before="40" w:after="40"/>
      </w:pPr>
      <w:r>
        <w:rPr>
          <w:rFonts w:ascii="Arial" w:cs="Arial" w:eastAsia="Arial" w:hAnsi="Arial"/>
          <w:b w:val="false"/>
          <w:bCs w:val="false"/>
          <w:color w:val="212121"/>
          <w:sz w:val="22"/>
          <w:szCs w:val="22"/>
        </w:rPr>
        <w:t xml:space="preserve">LP-Bereitstellung auf Bridge: Liquidität in Stargate-Pools → Provide Liquidity (Graubereich BMF 2025)</w:t>
      </w:r>
    </w:p>
    <w:p>
      <w:pPr>
        <w:pStyle w:val="ListParagraph"/>
        <w:numPr>
          <w:ilvl w:val="0"/>
          <w:numId w:val="2"/>
        </w:numPr>
        <w:spacing w:before="40" w:after="40"/>
      </w:pPr>
      <w:r>
        <w:rPr>
          <w:rFonts w:ascii="Arial" w:cs="Arial" w:eastAsia="Arial" w:hAnsi="Arial"/>
          <w:b w:val="false"/>
          <w:bCs w:val="false"/>
          <w:color w:val="212121"/>
          <w:sz w:val="22"/>
          <w:szCs w:val="22"/>
        </w:rPr>
        <w:t xml:space="preserve">Bridge-Fees in nativer Currency: Gas-Fees auf Quell-Chain → deduktible Werbungskosten</w:t>
      </w:r>
    </w:p>
    <w:p>
      <w:pPr>
        <w:pStyle w:val="ListParagraph"/>
        <w:numPr>
          <w:ilvl w:val="0"/>
          <w:numId w:val="2"/>
        </w:numPr>
        <w:spacing w:before="40" w:after="40"/>
      </w:pPr>
      <w:r>
        <w:rPr>
          <w:rFonts w:ascii="Arial" w:cs="Arial" w:eastAsia="Arial" w:hAnsi="Arial"/>
          <w:b w:val="false"/>
          <w:bCs w:val="false"/>
          <w:color w:val="212121"/>
          <w:sz w:val="22"/>
          <w:szCs w:val="22"/>
        </w:rPr>
        <w:t xml:space="preserve">STG-Token Staking/Farming: ve(3,3)-Mechanismus, Rewards → § 22 Nr. 3 EStG</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26"/>
        <w:gridCol w:w="3000"/>
      </w:tblGrid>
      <w:tr>
        <w:trPr>
          <w:tblHeader/>
        </w:trPr>
        <w:tc>
          <w:tcPr>
            <w:tcW w:type="dxa" w:w="32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Stargate-Aktion</w:t>
            </w:r>
          </w:p>
        </w:tc>
        <w:tc>
          <w:tcPr>
            <w:tcW w:type="dxa" w:w="28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CoinTracking-Typ</w:t>
            </w:r>
          </w:p>
        </w:tc>
        <w:tc>
          <w:tcPr>
            <w:tcW w:type="dxa" w:w="30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Steuerliche Behandlung DE</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Asset Bridge (same token)</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Transfer intern</w:t>
            </w:r>
          </w:p>
        </w:tc>
        <w:tc>
          <w:tcPr>
            <w:tcW w:type="dxa" w:w="3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Kein steuerpflichtiges Ereignis</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Asset Bridge (token swap)</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Trade</w:t>
            </w:r>
          </w:p>
        </w:tc>
        <w:tc>
          <w:tcPr>
            <w:tcW w:type="dxa" w:w="3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23 EStG – neue Haltefrist</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LP Provide auf Bridge</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Provide Liquidity</w:t>
            </w:r>
          </w:p>
        </w:tc>
        <w:tc>
          <w:tcPr>
            <w:tcW w:type="dxa" w:w="3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Graubereich – Einzelfallprüfung</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LP Rewards (STG)</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LP Rewards</w:t>
            </w:r>
          </w:p>
        </w:tc>
        <w:tc>
          <w:tcPr>
            <w:tcW w:type="dxa" w:w="3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3 EStG, Tageskurs Zufluss</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STG Staking</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Staking</w:t>
            </w:r>
          </w:p>
        </w:tc>
        <w:tc>
          <w:tcPr>
            <w:tcW w:type="dxa" w:w="3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3 EStG</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Bridge Fee (Gas)</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Sonstige Gebühr</w:t>
            </w:r>
          </w:p>
        </w:tc>
        <w:tc>
          <w:tcPr>
            <w:tcW w:type="dxa" w:w="3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Werbungskosten absetzbar</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7C00" w:sz="1"/>
              <w:left w:val="thick" w:color="F57C00" w:sz="12"/>
              <w:bottom w:val="single" w:color="F57C00" w:sz="1"/>
              <w:right w:val="single" w:color="F57C00" w:sz="1"/>
            </w:tcBorders>
            <w:shd w:fill="FFF8E1" w:val="clear"/>
            <w:tcMar>
              <w:top w:type="dxa" w:w="120"/>
              <w:left w:type="dxa" w:w="200"/>
              <w:bottom w:type="dxa" w:w="120"/>
              <w:right w:type="dxa" w:w="120"/>
            </w:tcMar>
          </w:tcPr>
          <w:p>
            <w:pPr>
              <w:spacing w:before="0" w:after="40"/>
            </w:pPr>
            <w:r>
              <w:rPr>
                <w:rFonts w:ascii="Arial" w:cs="Arial" w:eastAsia="Arial" w:hAnsi="Arial"/>
                <w:b/>
                <w:bCs/>
                <w:color w:val="F57C00"/>
                <w:sz w:val="22"/>
                <w:szCs w:val="22"/>
              </w:rPr>
              <w:t xml:space="preserve">Tracking-Herausforderung Cross-Chain</w:t>
            </w:r>
          </w:p>
          <w:p>
            <w:pPr>
              <w:spacing w:before="0" w:after="0"/>
            </w:pPr>
            <w:r>
              <w:rPr>
                <w:rFonts w:ascii="Arial" w:cs="Arial" w:eastAsia="Arial" w:hAnsi="Arial"/>
                <w:color w:val="212121"/>
                <w:sz w:val="20"/>
                <w:szCs w:val="20"/>
              </w:rPr>
              <w:t xml:space="preserve">Die größte technische Herausforderung liegt in der chain-übergreifenden Transaktionsverfolgung. Ein Asset, das auf Chain A abgesendet und auf Chain B empfangen wird, generiert zwei separate On-Chain-Ereignisse auf unterschiedlichen Blockchains. Das SaaS-Tool muss diese via LayerZero Message-ID oder Stargate-interne TX-ID verknüpfen, um doppelte Erfassung zu vermeiden.</w:t>
            </w:r>
          </w:p>
        </w:tc>
      </w:tr>
    </w:tbl>
    <w:p>
      <w:pPr>
        <w:spacing w:before="120" w:after="0"/>
      </w:pPr>
      <w:r>
        <w:t xml:space="preserve"/>
      </w:r>
    </w:p>
    <w:p>
      <w:pPr>
        <w:pStyle w:val="Heading2"/>
        <w:spacing w:before="280" w:after="120"/>
      </w:pPr>
      <w:r>
        <w:rPr>
          <w:rFonts w:ascii="Arial" w:cs="Arial" w:eastAsia="Arial" w:hAnsi="Arial"/>
          <w:b/>
          <w:bCs/>
          <w:color w:val="0D47A1"/>
          <w:sz w:val="28"/>
          <w:szCs w:val="28"/>
        </w:rPr>
        <w:t xml:space="preserve">3.6 Aave – Multi-Chain Lending Protocol</w:t>
      </w:r>
    </w:p>
    <w:p>
      <w:pPr>
        <w:spacing w:before="60" w:after="100"/>
      </w:pPr>
      <w:r>
        <w:rPr>
          <w:rFonts w:ascii="Arial" w:cs="Arial" w:eastAsia="Arial" w:hAnsi="Arial"/>
          <w:color w:val="212121"/>
          <w:sz w:val="22"/>
          <w:szCs w:val="22"/>
        </w:rPr>
        <w:t xml:space="preserve">Aave ist eines der größten dezentralen Lending-Protokolle im DeFi-Ökosystem mit Milliarden USD TVL und ist auf über 12 Blockchain-Netzwerken verfügbar (Ethereum, Polygon, Arbitrum, Optimism, Avalanche, Gnosis u.a.). Aave V3 führte Effizienz-Modes (E-Mode), Cross-Chain Portale und Isolation Mode ein.</w:t>
      </w:r>
    </w:p>
    <w:p>
      <w:pPr>
        <w:spacing w:before="80" w:after="0"/>
      </w:pPr>
      <w:r>
        <w:t xml:space="preserve"/>
      </w:r>
    </w:p>
    <w:p>
      <w:pPr>
        <w:pStyle w:val="Heading3"/>
        <w:spacing w:before="200" w:after="80"/>
      </w:pPr>
      <w:r>
        <w:rPr>
          <w:rFonts w:ascii="Arial" w:cs="Arial" w:eastAsia="Arial" w:hAnsi="Arial"/>
          <w:b/>
          <w:bCs/>
          <w:color w:val="0097A7"/>
          <w:sz w:val="24"/>
          <w:szCs w:val="24"/>
        </w:rPr>
        <w:t xml:space="preserve">3.6.1 Aave-spezifische Transaktionstypen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2026"/>
        <w:gridCol w:w="1800"/>
      </w:tblGrid>
      <w:tr>
        <w:trPr>
          <w:tblHeader/>
        </w:trPr>
        <w:tc>
          <w:tcPr>
            <w:tcW w:type="dxa" w:w="25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Aave-Aktion</w:t>
            </w:r>
          </w:p>
        </w:tc>
        <w:tc>
          <w:tcPr>
            <w:tcW w:type="dxa" w:w="27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Mechanismus</w:t>
            </w:r>
          </w:p>
        </w:tc>
        <w:tc>
          <w:tcPr>
            <w:tcW w:type="dxa" w:w="20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CoinTracking-Typ</w:t>
            </w:r>
          </w:p>
        </w:tc>
        <w:tc>
          <w:tcPr>
            <w:tcW w:type="dxa" w:w="18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 EStG</w:t>
            </w:r>
          </w:p>
        </w:tc>
      </w:tr>
      <w:tr>
        <w:trPr>
          <w:tblHeader w:val="false"/>
        </w:trPr>
        <w:tc>
          <w:tcPr>
            <w:tcW w:type="dxa" w:w="2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Supply → aToken</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Assets einzahlen, aTokens als Zinsbescheinigung erhalten</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Lending Einnahme / Provide Liquidity</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3 EStG (Zinsen)</w:t>
            </w:r>
          </w:p>
        </w:tc>
      </w:tr>
      <w:tr>
        <w:trPr>
          <w:tblHeader w:val="false"/>
        </w:trPr>
        <w:tc>
          <w:tcPr>
            <w:tcW w:type="dxa" w:w="2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Borrow Variable/Stable</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Überbessichertes Darlehen</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Darlehen erhalten</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Steuerneutral</w:t>
            </w:r>
          </w:p>
        </w:tc>
      </w:tr>
      <w:tr>
        <w:trPr>
          <w:tblHeader w:val="false"/>
        </w:trPr>
        <w:tc>
          <w:tcPr>
            <w:tcW w:type="dxa" w:w="2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Repay</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Darlehen + Zinsen zurückzahlen</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Darlehen zurückgezahlt</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Zinsen als Kosten</w:t>
            </w:r>
          </w:p>
        </w:tc>
      </w:tr>
      <w:tr>
        <w:trPr>
          <w:tblHeader w:val="false"/>
        </w:trPr>
        <w:tc>
          <w:tcPr>
            <w:tcW w:type="dxa" w:w="2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Flash Loans</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Einblock-Darlehen ohne Kollateral</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Sonstige Einnahme/Ausgabe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Komplex – nettobasiert bewerten</w:t>
            </w:r>
          </w:p>
        </w:tc>
      </w:tr>
      <w:tr>
        <w:trPr>
          <w:tblHeader w:val="false"/>
        </w:trPr>
        <w:tc>
          <w:tcPr>
            <w:tcW w:type="dxa" w:w="2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GHO Minting</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Aave-eigener Stablecoin (GHO)</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Darlehen erhalten</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Wie CDP – Graubereich</w:t>
            </w:r>
          </w:p>
        </w:tc>
      </w:tr>
      <w:tr>
        <w:trPr>
          <w:tblHeader w:val="false"/>
        </w:trPr>
        <w:tc>
          <w:tcPr>
            <w:tcW w:type="dxa" w:w="2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Safety Module Staking</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stkAAVE, stkBPT einzahlen</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Staking</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3 EStG</w:t>
            </w:r>
          </w:p>
        </w:tc>
      </w:tr>
      <w:tr>
        <w:trPr>
          <w:tblHeader w:val="false"/>
        </w:trPr>
        <w:tc>
          <w:tcPr>
            <w:tcW w:type="dxa" w:w="2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Governance Rewards</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AAVE-Belohnungen</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Belohnung / Bonus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3 EStG</w:t>
            </w:r>
          </w:p>
        </w:tc>
      </w:tr>
      <w:tr>
        <w:trPr>
          <w:tblHeader w:val="false"/>
        </w:trPr>
        <w:tc>
          <w:tcPr>
            <w:tcW w:type="dxa" w:w="2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Liquidation</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Zwangsverwertung Kollateral</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Liquidation</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23 EStG (Zwangsveräußerung)</w:t>
            </w:r>
          </w:p>
        </w:tc>
      </w:tr>
    </w:tbl>
    <w:p>
      <w:pPr>
        <w:spacing w:before="80" w:after="0"/>
      </w:pPr>
      <w:r>
        <w:t xml:space="preserve"/>
      </w:r>
    </w:p>
    <w:p>
      <w:pPr>
        <w:spacing w:before="60" w:after="100"/>
      </w:pPr>
      <w:r>
        <w:rPr>
          <w:rFonts w:ascii="Arial" w:cs="Arial" w:eastAsia="Arial" w:hAnsi="Arial"/>
          <w:color w:val="212121"/>
          <w:sz w:val="22"/>
          <w:szCs w:val="22"/>
        </w:rPr>
        <w:t xml:space="preserve">Besonderheit Multi-Chain: Da Aave auf multiplen Chains aktiv ist, muss das Tracking-Tool chain-spezifische Kontoadressen zusammenführen. Ein Nutzer kann auf Ethereum wFLR supplyen und auf Polygon borgen – beide Transaktionen müssen in einem konsolidierten Portfolio-View und Steuerreport erscheinen.</w:t>
      </w:r>
    </w:p>
    <w:p>
      <w:r>
        <w:br/>
      </w:r>
    </w:p>
    <w:p>
      <w:pPr>
        <w:pStyle w:val="Heading1"/>
        <w:pBdr>
          <w:bottom w:val="single" w:color="0D47A1" w:sz="4" w:space="6"/>
        </w:pBdr>
        <w:spacing w:before="360" w:after="160"/>
      </w:pPr>
      <w:r>
        <w:rPr>
          <w:rFonts w:ascii="Arial" w:cs="Arial" w:eastAsia="Arial" w:hAnsi="Arial"/>
          <w:b/>
          <w:bCs/>
          <w:color w:val="0D47A1"/>
          <w:sz w:val="36"/>
          <w:szCs w:val="36"/>
        </w:rPr>
        <w:t xml:space="preserve">4. Deutsches Steuerrecht für DeFi – Rechtliche Analyse</w:t>
      </w:r>
    </w:p>
    <w:p>
      <w:pPr>
        <w:pStyle w:val="Heading2"/>
        <w:spacing w:before="280" w:after="120"/>
      </w:pPr>
      <w:r>
        <w:rPr>
          <w:rFonts w:ascii="Arial" w:cs="Arial" w:eastAsia="Arial" w:hAnsi="Arial"/>
          <w:b/>
          <w:bCs/>
          <w:color w:val="0D47A1"/>
          <w:sz w:val="28"/>
          <w:szCs w:val="28"/>
        </w:rPr>
        <w:t xml:space="preserve">4.1 Rechtsgrundlagen (Stand BMF-Schreiben 06.03.2025)</w:t>
      </w:r>
    </w:p>
    <w:p>
      <w:pPr>
        <w:spacing w:before="60" w:after="100"/>
      </w:pPr>
      <w:r>
        <w:rPr>
          <w:rFonts w:ascii="Arial" w:cs="Arial" w:eastAsia="Arial" w:hAnsi="Arial"/>
          <w:color w:val="212121"/>
          <w:sz w:val="22"/>
          <w:szCs w:val="22"/>
        </w:rPr>
        <w:t xml:space="preserve">Das Bundesministerium der Finanzen (BMF) hat am 6. März 2025 ein aktualisiertes Schreiben zur Besteuerung von Kryptowerten veröffentlicht (BStBl 2025 I S. 658). Dieses Schreiben löst das Vorgängerschreiben vom 10.05.2022 ab und konkretisiert erstmals die steuerliche Behandlung von DeFi-Aktivitäten im deutschen Recht.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Rechtsnorm</w:t>
            </w:r>
          </w:p>
        </w:tc>
        <w:tc>
          <w:tcPr>
            <w:tcW w:type="dxa" w:w="30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Anwendungsbereich</w:t>
            </w:r>
          </w:p>
        </w:tc>
        <w:tc>
          <w:tcPr>
            <w:tcW w:type="dxa" w:w="35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Konsequenz für DeFi</w:t>
            </w:r>
          </w:p>
        </w:tc>
      </w:tr>
      <w:tr>
        <w:trPr>
          <w:tblHeader w:val="false"/>
        </w:trPr>
        <w:tc>
          <w:tcPr>
            <w:tcW w:type="dxa" w:w="2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 23 Abs. 1 Nr. 2 EStG</w:t>
            </w:r>
          </w:p>
        </w:tc>
        <w:tc>
          <w:tcPr>
            <w:tcW w:type="dxa" w:w="3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Private Veräußerungsgeschäfte (Spekulationsgewinne)</w:t>
            </w:r>
          </w:p>
        </w:tc>
        <w:tc>
          <w:tcPr>
            <w:tcW w:type="dxa" w:w="35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Krypto-Handel, Swaps, Token-Tausch &lt; 1 Jahr Haltefrist</w:t>
            </w:r>
          </w:p>
        </w:tc>
      </w:tr>
      <w:tr>
        <w:trPr>
          <w:tblHeader w:val="false"/>
        </w:trPr>
        <w:tc>
          <w:tcPr>
            <w:tcW w:type="dxa" w:w="2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2 EStG</w:t>
            </w:r>
          </w:p>
        </w:tc>
        <w:tc>
          <w:tcPr>
            <w:tcW w:type="dxa" w:w="3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Sonstige Einkünfte (§ 23)</w:t>
            </w:r>
          </w:p>
        </w:tc>
        <w:tc>
          <w:tcPr>
            <w:tcW w:type="dxa" w:w="35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Verweisungsnorm für private Veräußerungsgeschäfte</w:t>
            </w:r>
          </w:p>
        </w:tc>
      </w:tr>
      <w:tr>
        <w:trPr>
          <w:tblHeader w:val="false"/>
        </w:trPr>
        <w:tc>
          <w:tcPr>
            <w:tcW w:type="dxa" w:w="2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3 EStG</w:t>
            </w:r>
          </w:p>
        </w:tc>
        <w:tc>
          <w:tcPr>
            <w:tcW w:type="dxa" w:w="3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Sonstige Einkünfte aus Leistungen</w:t>
            </w:r>
          </w:p>
        </w:tc>
        <w:tc>
          <w:tcPr>
            <w:tcW w:type="dxa" w:w="35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Staking, Lending, Mining, Liquidity Mining Rewards</w:t>
            </w:r>
          </w:p>
        </w:tc>
      </w:tr>
      <w:tr>
        <w:trPr>
          <w:tblHeader w:val="false"/>
        </w:trPr>
        <w:tc>
          <w:tcPr>
            <w:tcW w:type="dxa" w:w="2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 15 EStG</w:t>
            </w:r>
          </w:p>
        </w:tc>
        <w:tc>
          <w:tcPr>
            <w:tcW w:type="dxa" w:w="3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Gewerbliche Einkünfte</w:t>
            </w:r>
          </w:p>
        </w:tc>
        <w:tc>
          <w:tcPr>
            <w:tcW w:type="dxa" w:w="35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Professionelle/gewerbliche DeFi-Aktivität</w:t>
            </w:r>
          </w:p>
        </w:tc>
      </w:tr>
      <w:tr>
        <w:trPr>
          <w:tblHeader w:val="false"/>
        </w:trPr>
        <w:tc>
          <w:tcPr>
            <w:tcW w:type="dxa" w:w="2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 6 Abs. 6 EStG</w:t>
            </w:r>
          </w:p>
        </w:tc>
        <w:tc>
          <w:tcPr>
            <w:tcW w:type="dxa" w:w="3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Marktkursbewertung</w:t>
            </w:r>
          </w:p>
        </w:tc>
        <w:tc>
          <w:tcPr>
            <w:tcW w:type="dxa" w:w="35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Tageswert in EUR bei Erwerb/Veräußerung</w:t>
            </w:r>
          </w:p>
        </w:tc>
      </w:tr>
      <w:tr>
        <w:trPr>
          <w:tblHeader w:val="false"/>
        </w:trPr>
        <w:tc>
          <w:tcPr>
            <w:tcW w:type="dxa" w:w="2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DAC8 (ab 2026)</w:t>
            </w:r>
          </w:p>
        </w:tc>
        <w:tc>
          <w:tcPr>
            <w:tcW w:type="dxa" w:w="3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EU-Datenaustausch-Richtlinie</w:t>
            </w:r>
          </w:p>
        </w:tc>
        <w:tc>
          <w:tcPr>
            <w:tcW w:type="dxa" w:w="35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Automatische Meldung durch Exchanges an BZSt</w:t>
            </w:r>
          </w:p>
        </w:tc>
      </w:tr>
    </w:tbl>
    <w:p>
      <w:pPr>
        <w:spacing w:before="120" w:after="0"/>
      </w:pPr>
      <w:r>
        <w:t xml:space="preserve"/>
      </w:r>
    </w:p>
    <w:p>
      <w:pPr>
        <w:pStyle w:val="Heading2"/>
        <w:spacing w:before="280" w:after="120"/>
      </w:pPr>
      <w:r>
        <w:rPr>
          <w:rFonts w:ascii="Arial" w:cs="Arial" w:eastAsia="Arial" w:hAnsi="Arial"/>
          <w:b/>
          <w:bCs/>
          <w:color w:val="0D47A1"/>
          <w:sz w:val="28"/>
          <w:szCs w:val="28"/>
        </w:rPr>
        <w:t xml:space="preserve">4.2 Haltefristen und Freigrenzen</w:t>
      </w:r>
    </w:p>
    <w:p>
      <w:pPr>
        <w:pStyle w:val="Heading3"/>
        <w:spacing w:before="200" w:after="80"/>
      </w:pPr>
      <w:r>
        <w:rPr>
          <w:rFonts w:ascii="Arial" w:cs="Arial" w:eastAsia="Arial" w:hAnsi="Arial"/>
          <w:b/>
          <w:bCs/>
          <w:color w:val="0097A7"/>
          <w:sz w:val="24"/>
          <w:szCs w:val="24"/>
        </w:rPr>
        <w:t xml:space="preserve">4.2.1 Einjährige Haltefrist (§ 23 EStG)</w:t>
      </w:r>
    </w:p>
    <w:p>
      <w:pPr>
        <w:spacing w:before="60" w:after="100"/>
      </w:pPr>
      <w:r>
        <w:rPr>
          <w:rFonts w:ascii="Arial" w:cs="Arial" w:eastAsia="Arial" w:hAnsi="Arial"/>
          <w:color w:val="212121"/>
          <w:sz w:val="22"/>
          <w:szCs w:val="22"/>
        </w:rPr>
        <w:t xml:space="preserve">Kryptowerte sind im deutschen Privatrecht als 'andere Wirtschaftsgüter' klassifiziert (bestätigt durch BFH-Urteil IX R 3/22 vom 14.02.2023). Für private Anleger gilt:</w:t>
      </w:r>
    </w:p>
    <w:p>
      <w:pPr>
        <w:pStyle w:val="ListParagraph"/>
        <w:numPr>
          <w:ilvl w:val="0"/>
          <w:numId w:val="2"/>
        </w:numPr>
        <w:spacing w:before="40" w:after="40"/>
      </w:pPr>
      <w:r>
        <w:rPr>
          <w:rFonts w:ascii="Arial" w:cs="Arial" w:eastAsia="Arial" w:hAnsi="Arial"/>
          <w:b w:val="false"/>
          <w:bCs w:val="false"/>
          <w:color w:val="212121"/>
          <w:sz w:val="22"/>
          <w:szCs w:val="22"/>
        </w:rPr>
        <w:t xml:space="preserve">Haltedauer &gt; 12 Monate: Veräußerungsgewinne vollständig steuerfrei</w:t>
      </w:r>
    </w:p>
    <w:p>
      <w:pPr>
        <w:pStyle w:val="ListParagraph"/>
        <w:numPr>
          <w:ilvl w:val="0"/>
          <w:numId w:val="2"/>
        </w:numPr>
        <w:spacing w:before="40" w:after="40"/>
      </w:pPr>
      <w:r>
        <w:rPr>
          <w:rFonts w:ascii="Arial" w:cs="Arial" w:eastAsia="Arial" w:hAnsi="Arial"/>
          <w:b w:val="false"/>
          <w:bCs w:val="false"/>
          <w:color w:val="212121"/>
          <w:sz w:val="22"/>
          <w:szCs w:val="22"/>
        </w:rPr>
        <w:t xml:space="preserve">Haltedauer &lt; 12 Monate: Steuerpflichtig zum persönlichen Einkommensteuersatz (14–45% + 5,5% Solidaritätszuschlag)</w:t>
      </w:r>
    </w:p>
    <w:p>
      <w:pPr>
        <w:pStyle w:val="ListParagraph"/>
        <w:numPr>
          <w:ilvl w:val="0"/>
          <w:numId w:val="2"/>
        </w:numPr>
        <w:spacing w:before="40" w:after="40"/>
      </w:pPr>
      <w:r>
        <w:rPr>
          <w:rFonts w:ascii="Arial" w:cs="Arial" w:eastAsia="Arial" w:hAnsi="Arial"/>
          <w:b w:val="false"/>
          <w:bCs w:val="false"/>
          <w:color w:val="212121"/>
          <w:sz w:val="22"/>
          <w:szCs w:val="22"/>
        </w:rPr>
        <w:t xml:space="preserve">Freigrenze: Gesamtgewinn &lt; € 1.000/Jahr steuerfrei (ab VZ 2024; vorher € 600)</w:t>
      </w:r>
    </w:p>
    <w:p>
      <w:pPr>
        <w:pStyle w:val="ListParagraph"/>
        <w:numPr>
          <w:ilvl w:val="0"/>
          <w:numId w:val="2"/>
        </w:numPr>
        <w:spacing w:before="40" w:after="40"/>
      </w:pPr>
      <w:r>
        <w:rPr>
          <w:rFonts w:ascii="Arial" w:cs="Arial" w:eastAsia="Arial" w:hAnsi="Arial"/>
          <w:b w:val="false"/>
          <w:bCs w:val="false"/>
          <w:color w:val="212121"/>
          <w:sz w:val="22"/>
          <w:szCs w:val="22"/>
        </w:rPr>
        <w:t xml:space="preserve">Staking/Lending verlängert die Haltefrist NICHT (ausdrücklich bestätigt im BMF 2025)</w:t>
      </w:r>
    </w:p>
    <w:p>
      <w:pPr>
        <w:pStyle w:val="ListParagraph"/>
        <w:numPr>
          <w:ilvl w:val="0"/>
          <w:numId w:val="2"/>
        </w:numPr>
        <w:spacing w:before="40" w:after="40"/>
      </w:pPr>
      <w:r>
        <w:rPr>
          <w:rFonts w:ascii="Arial" w:cs="Arial" w:eastAsia="Arial" w:hAnsi="Arial"/>
          <w:b w:val="false"/>
          <w:bCs w:val="false"/>
          <w:color w:val="212121"/>
          <w:sz w:val="22"/>
          <w:szCs w:val="22"/>
        </w:rPr>
        <w:t xml:space="preserve">Neue Coins (Rewards) beginnen eigene Haltefrist ab Zuflussdatum</w:t>
      </w:r>
    </w:p>
    <w:p>
      <w:pPr>
        <w:spacing w:before="80" w:after="0"/>
      </w:pPr>
      <w:r>
        <w:t xml:space="preserve"/>
      </w:r>
    </w:p>
    <w:p>
      <w:pPr>
        <w:pStyle w:val="Heading3"/>
        <w:spacing w:before="200" w:after="80"/>
      </w:pPr>
      <w:r>
        <w:rPr>
          <w:rFonts w:ascii="Arial" w:cs="Arial" w:eastAsia="Arial" w:hAnsi="Arial"/>
          <w:b/>
          <w:bCs/>
          <w:color w:val="0097A7"/>
          <w:sz w:val="24"/>
          <w:szCs w:val="24"/>
        </w:rPr>
        <w:t xml:space="preserve">4.2.2 Freigrenze Sonstige Einkünfte (§ 22 Nr. 3 EStG)</w:t>
      </w:r>
    </w:p>
    <w:p>
      <w:pPr>
        <w:pStyle w:val="ListParagraph"/>
        <w:numPr>
          <w:ilvl w:val="0"/>
          <w:numId w:val="2"/>
        </w:numPr>
        <w:spacing w:before="40" w:after="40"/>
      </w:pPr>
      <w:r>
        <w:rPr>
          <w:rFonts w:ascii="Arial" w:cs="Arial" w:eastAsia="Arial" w:hAnsi="Arial"/>
          <w:b w:val="false"/>
          <w:bCs w:val="false"/>
          <w:color w:val="212121"/>
          <w:sz w:val="22"/>
          <w:szCs w:val="22"/>
        </w:rPr>
        <w:t xml:space="preserve">Freigrenze: € 256/Jahr für alle sonstigen Einkünfte (Staking Rewards, Lending Zinsen, Mining)</w:t>
      </w:r>
    </w:p>
    <w:p>
      <w:pPr>
        <w:pStyle w:val="ListParagraph"/>
        <w:numPr>
          <w:ilvl w:val="0"/>
          <w:numId w:val="2"/>
        </w:numPr>
        <w:spacing w:before="40" w:after="40"/>
      </w:pPr>
      <w:r>
        <w:rPr>
          <w:rFonts w:ascii="Arial" w:cs="Arial" w:eastAsia="Arial" w:hAnsi="Arial"/>
          <w:b w:val="false"/>
          <w:bCs w:val="false"/>
          <w:color w:val="212121"/>
          <w:sz w:val="22"/>
          <w:szCs w:val="22"/>
        </w:rPr>
        <w:t xml:space="preserve">Überschreitung: Gesamter Betrag steuerpflichtig (keine Sockelfreibetragsregelung)</w:t>
      </w:r>
    </w:p>
    <w:p>
      <w:pPr>
        <w:pStyle w:val="ListParagraph"/>
        <w:numPr>
          <w:ilvl w:val="0"/>
          <w:numId w:val="2"/>
        </w:numPr>
        <w:spacing w:before="40" w:after="40"/>
      </w:pPr>
      <w:r>
        <w:rPr>
          <w:rFonts w:ascii="Arial" w:cs="Arial" w:eastAsia="Arial" w:hAnsi="Arial"/>
          <w:b w:val="false"/>
          <w:bCs w:val="false"/>
          <w:color w:val="212121"/>
          <w:sz w:val="22"/>
          <w:szCs w:val="22"/>
        </w:rPr>
        <w:t xml:space="preserve">Besonderheit Claiming: Das BMF 2025 erlaubt Besteuerung zum Claiming-Zeitpunkt bei passivem Staking</w:t>
      </w:r>
    </w:p>
    <w:p>
      <w:pPr>
        <w:pStyle w:val="ListParagraph"/>
        <w:numPr>
          <w:ilvl w:val="0"/>
          <w:numId w:val="2"/>
        </w:numPr>
        <w:spacing w:before="40" w:after="40"/>
      </w:pPr>
      <w:r>
        <w:rPr>
          <w:rFonts w:ascii="Arial" w:cs="Arial" w:eastAsia="Arial" w:hAnsi="Arial"/>
          <w:b w:val="false"/>
          <w:bCs w:val="false"/>
          <w:color w:val="212121"/>
          <w:sz w:val="22"/>
          <w:szCs w:val="22"/>
        </w:rPr>
        <w:t xml:space="preserve">Wirtschaftliche Verfügbarkeit: Spätestens 31.12. eines Jahres gelten Rewards als zugeflossen</w:t>
      </w:r>
    </w:p>
    <w:p>
      <w:pPr>
        <w:spacing w:before="80" w:after="0"/>
      </w:pPr>
      <w:r>
        <w:t xml:space="preserve"/>
      </w:r>
    </w:p>
    <w:p>
      <w:pPr>
        <w:pStyle w:val="Heading2"/>
        <w:spacing w:before="280" w:after="120"/>
      </w:pPr>
      <w:r>
        <w:rPr>
          <w:rFonts w:ascii="Arial" w:cs="Arial" w:eastAsia="Arial" w:hAnsi="Arial"/>
          <w:b/>
          <w:bCs/>
          <w:color w:val="0D47A1"/>
          <w:sz w:val="28"/>
          <w:szCs w:val="28"/>
        </w:rPr>
        <w:t xml:space="preserve">4.3 DeFi-Spezifische Steuerliche Graubereiche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1"/>
              <w:left w:val="thick" w:color="E65100" w:sz="12"/>
              <w:bottom w:val="single" w:color="E65100" w:sz="1"/>
              <w:right w:val="single" w:color="E65100" w:sz="1"/>
            </w:tcBorders>
            <w:shd w:fill="FFF3E0" w:val="clear"/>
            <w:tcMar>
              <w:top w:type="dxa" w:w="120"/>
              <w:left w:type="dxa" w:w="200"/>
              <w:bottom w:type="dxa" w:w="120"/>
              <w:right w:type="dxa" w:w="120"/>
            </w:tcMar>
          </w:tcPr>
          <w:p>
            <w:pPr>
              <w:spacing w:before="0" w:after="40"/>
            </w:pPr>
            <w:r>
              <w:rPr>
                <w:rFonts w:ascii="Arial" w:cs="Arial" w:eastAsia="Arial" w:hAnsi="Arial"/>
                <w:b/>
                <w:bCs/>
                <w:color w:val="E65100"/>
                <w:sz w:val="22"/>
                <w:szCs w:val="22"/>
              </w:rPr>
              <w:t xml:space="preserve">Hinweis für Compliance-Design</w:t>
            </w:r>
          </w:p>
          <w:p>
            <w:pPr>
              <w:spacing w:before="0" w:after="0"/>
            </w:pPr>
            <w:r>
              <w:rPr>
                <w:rFonts w:ascii="Arial" w:cs="Arial" w:eastAsia="Arial" w:hAnsi="Arial"/>
                <w:color w:val="212121"/>
                <w:sz w:val="20"/>
                <w:szCs w:val="20"/>
              </w:rPr>
              <w:t xml:space="preserve">Das BMF-Schreiben 2025 lässt mehrere DeFi-Bereiche bewusst offen (Liquidity Mining, NFTs, komplexe CDP-Strukturen). Das SaaS-Tool muss für diese Graubereiche konservative und progressive Steuerszenarien anbieten und den Nutzer auf die Notwendigkeit steuerlicher Beratung hinweisen. Ein automatischer Disclaimer bei jeder Steuerschätzung ist rechtlich empfehlenswert.</w:t>
            </w:r>
          </w:p>
        </w:tc>
      </w:tr>
    </w:tbl>
    <w:p>
      <w:pPr>
        <w:spacing w:before="80" w:after="0"/>
      </w:pPr>
      <w:r>
        <w:t xml:space="preserve"/>
      </w:r>
    </w:p>
    <w:p>
      <w:pPr>
        <w:pStyle w:val="Heading3"/>
        <w:spacing w:before="200" w:after="80"/>
      </w:pPr>
      <w:r>
        <w:rPr>
          <w:rFonts w:ascii="Arial" w:cs="Arial" w:eastAsia="Arial" w:hAnsi="Arial"/>
          <w:b/>
          <w:bCs/>
          <w:color w:val="0097A7"/>
          <w:sz w:val="24"/>
          <w:szCs w:val="24"/>
        </w:rPr>
        <w:t xml:space="preserve">4.3.1 Liquidity Pool (LP) Providing</w:t>
      </w:r>
    </w:p>
    <w:p>
      <w:pPr>
        <w:spacing w:before="60" w:after="100"/>
      </w:pPr>
      <w:r>
        <w:rPr>
          <w:rFonts w:ascii="Arial" w:cs="Arial" w:eastAsia="Arial" w:hAnsi="Arial"/>
          <w:color w:val="212121"/>
          <w:sz w:val="22"/>
          <w:szCs w:val="22"/>
        </w:rPr>
        <w:t xml:space="preserve">Das BMF 2025 behandelt Liquidity Mining nur am Rande. Zwei Interpretationsansätze existieren in der steuerlichen Fachliteratur:</w:t>
      </w:r>
    </w:p>
    <w:p>
      <w:pPr>
        <w:pStyle w:val="ListParagraph"/>
        <w:numPr>
          <w:ilvl w:val="0"/>
          <w:numId w:val="2"/>
        </w:numPr>
        <w:spacing w:before="40" w:after="40"/>
      </w:pPr>
      <w:r>
        <w:rPr>
          <w:rFonts w:ascii="Arial" w:cs="Arial" w:eastAsia="Arial" w:hAnsi="Arial"/>
          <w:b w:val="false"/>
          <w:bCs w:val="false"/>
          <w:color w:val="212121"/>
          <w:sz w:val="22"/>
          <w:szCs w:val="22"/>
        </w:rPr>
        <w:t xml:space="preserve">Ansatz 1 (Konservativ): Einzahlung in LP = Tausch der Token gegen LP-Token → Veräußerungsvorgang § 23 EStG, neue Haltefrist für LP-Token. Entnahme = erneuter Tausch.</w:t>
      </w:r>
    </w:p>
    <w:p>
      <w:pPr>
        <w:pStyle w:val="ListParagraph"/>
        <w:numPr>
          <w:ilvl w:val="0"/>
          <w:numId w:val="2"/>
        </w:numPr>
        <w:spacing w:before="40" w:after="40"/>
      </w:pPr>
      <w:r>
        <w:rPr>
          <w:rFonts w:ascii="Arial" w:cs="Arial" w:eastAsia="Arial" w:hAnsi="Arial"/>
          <w:b w:val="false"/>
          <w:bCs w:val="false"/>
          <w:color w:val="212121"/>
          <w:sz w:val="22"/>
          <w:szCs w:val="22"/>
        </w:rPr>
        <w:t xml:space="preserve">Ansatz 2 (Liberal): LP-Bereitstellung ist kein Tausch, sondern eine Nutzungsüberlassung. Rewards = § 22 Nr. 3 EStG. Rücknahme ohne Veräußerungsgewinn.</w:t>
      </w:r>
    </w:p>
    <w:p>
      <w:pPr>
        <w:pStyle w:val="ListParagraph"/>
        <w:numPr>
          <w:ilvl w:val="0"/>
          <w:numId w:val="2"/>
        </w:numPr>
        <w:spacing w:before="40" w:after="40"/>
      </w:pPr>
      <w:r>
        <w:rPr>
          <w:rFonts w:ascii="Arial" w:cs="Arial" w:eastAsia="Arial" w:hAnsi="Arial"/>
          <w:b w:val="false"/>
          <w:bCs w:val="false"/>
          <w:color w:val="212121"/>
          <w:sz w:val="22"/>
          <w:szCs w:val="22"/>
        </w:rPr>
        <w:t xml:space="preserve">Empfehlung Tool: Beide Szenarien berechnen, konservativen Ansatz als Default, Hinweis auf Steuerberater.</w:t>
      </w:r>
    </w:p>
    <w:p>
      <w:pPr>
        <w:spacing w:before="80" w:after="0"/>
      </w:pPr>
      <w:r>
        <w:t xml:space="preserve"/>
      </w:r>
    </w:p>
    <w:p>
      <w:pPr>
        <w:pStyle w:val="Heading3"/>
        <w:spacing w:before="200" w:after="80"/>
      </w:pPr>
      <w:r>
        <w:rPr>
          <w:rFonts w:ascii="Arial" w:cs="Arial" w:eastAsia="Arial" w:hAnsi="Arial"/>
          <w:b/>
          <w:bCs/>
          <w:color w:val="0097A7"/>
          <w:sz w:val="24"/>
          <w:szCs w:val="24"/>
        </w:rPr>
        <w:t xml:space="preserve">4.3.2 Cross-Chain Bridge Transaktionen</w:t>
      </w:r>
    </w:p>
    <w:p>
      <w:pPr>
        <w:pStyle w:val="ListParagraph"/>
        <w:numPr>
          <w:ilvl w:val="0"/>
          <w:numId w:val="2"/>
        </w:numPr>
        <w:spacing w:before="40" w:after="40"/>
      </w:pPr>
      <w:r>
        <w:rPr>
          <w:rFonts w:ascii="Arial" w:cs="Arial" w:eastAsia="Arial" w:hAnsi="Arial"/>
          <w:b w:val="false"/>
          <w:bCs w:val="false"/>
          <w:color w:val="212121"/>
          <w:sz w:val="22"/>
          <w:szCs w:val="22"/>
        </w:rPr>
        <w:t xml:space="preserve">Gleicher Asset-Type, gleiche wirtschaftliche Funktion → Kein Tausch, kein steuerliches Ereignis (reiner Transfer)</w:t>
      </w:r>
    </w:p>
    <w:p>
      <w:pPr>
        <w:pStyle w:val="ListParagraph"/>
        <w:numPr>
          <w:ilvl w:val="0"/>
          <w:numId w:val="2"/>
        </w:numPr>
        <w:spacing w:before="40" w:after="40"/>
      </w:pPr>
      <w:r>
        <w:rPr>
          <w:rFonts w:ascii="Arial" w:cs="Arial" w:eastAsia="Arial" w:hAnsi="Arial"/>
          <w:b w:val="false"/>
          <w:bCs w:val="false"/>
          <w:color w:val="212121"/>
          <w:sz w:val="22"/>
          <w:szCs w:val="22"/>
        </w:rPr>
        <w:t xml:space="preserve">Technisch verschiedene Token-Contracts (z.B. native USDC ≠ bridged USDC.e) → Potenziell Tauschvorgang nach § 23 EStG</w:t>
      </w:r>
    </w:p>
    <w:p>
      <w:pPr>
        <w:pStyle w:val="ListParagraph"/>
        <w:numPr>
          <w:ilvl w:val="0"/>
          <w:numId w:val="2"/>
        </w:numPr>
        <w:spacing w:before="40" w:after="40"/>
      </w:pPr>
      <w:r>
        <w:rPr>
          <w:rFonts w:ascii="Arial" w:cs="Arial" w:eastAsia="Arial" w:hAnsi="Arial"/>
          <w:b w:val="false"/>
          <w:bCs w:val="false"/>
          <w:color w:val="212121"/>
          <w:sz w:val="22"/>
          <w:szCs w:val="22"/>
        </w:rPr>
        <w:t xml:space="preserve">BMF 2025 schweigt explizit zu Bridges → Vorsichtigere Interpretation empfohlen</w:t>
      </w:r>
    </w:p>
    <w:p>
      <w:pPr>
        <w:spacing w:before="80" w:after="0"/>
      </w:pPr>
      <w:r>
        <w:t xml:space="preserve"/>
      </w:r>
    </w:p>
    <w:p>
      <w:pPr>
        <w:pStyle w:val="Heading3"/>
        <w:spacing w:before="200" w:after="80"/>
      </w:pPr>
      <w:r>
        <w:rPr>
          <w:rFonts w:ascii="Arial" w:cs="Arial" w:eastAsia="Arial" w:hAnsi="Arial"/>
          <w:b/>
          <w:bCs/>
          <w:color w:val="0097A7"/>
          <w:sz w:val="24"/>
          <w:szCs w:val="24"/>
        </w:rPr>
        <w:t xml:space="preserve">4.3.3 Perpetual Futures und Margin Trading</w:t>
      </w:r>
    </w:p>
    <w:p>
      <w:pPr>
        <w:pStyle w:val="ListParagraph"/>
        <w:numPr>
          <w:ilvl w:val="0"/>
          <w:numId w:val="2"/>
        </w:numPr>
        <w:spacing w:before="40" w:after="40"/>
      </w:pPr>
      <w:r>
        <w:rPr>
          <w:rFonts w:ascii="Arial" w:cs="Arial" w:eastAsia="Arial" w:hAnsi="Arial"/>
          <w:b w:val="false"/>
          <w:bCs w:val="false"/>
          <w:color w:val="212121"/>
          <w:sz w:val="22"/>
          <w:szCs w:val="22"/>
        </w:rPr>
        <w:t xml:space="preserve">Derivatgeschäfte unterliegen nicht der einjährigen Steuerfreiheit nach § 23 EStG</w:t>
      </w:r>
    </w:p>
    <w:p>
      <w:pPr>
        <w:pStyle w:val="ListParagraph"/>
        <w:numPr>
          <w:ilvl w:val="0"/>
          <w:numId w:val="2"/>
        </w:numPr>
        <w:spacing w:before="40" w:after="40"/>
      </w:pPr>
      <w:r>
        <w:rPr>
          <w:rFonts w:ascii="Arial" w:cs="Arial" w:eastAsia="Arial" w:hAnsi="Arial"/>
          <w:b w:val="false"/>
          <w:bCs w:val="false"/>
          <w:color w:val="212121"/>
          <w:sz w:val="22"/>
          <w:szCs w:val="22"/>
        </w:rPr>
        <w:t xml:space="preserve">Funding Rates: Zahlungen → § 22 Nr. 3 EStG; Einnahmen → steuerpflichtig</w:t>
      </w:r>
    </w:p>
    <w:p>
      <w:pPr>
        <w:pStyle w:val="ListParagraph"/>
        <w:numPr>
          <w:ilvl w:val="0"/>
          <w:numId w:val="2"/>
        </w:numPr>
        <w:spacing w:before="40" w:after="40"/>
      </w:pPr>
      <w:r>
        <w:rPr>
          <w:rFonts w:ascii="Arial" w:cs="Arial" w:eastAsia="Arial" w:hAnsi="Arial"/>
          <w:b w:val="false"/>
          <w:bCs w:val="false"/>
          <w:color w:val="212121"/>
          <w:sz w:val="22"/>
          <w:szCs w:val="22"/>
        </w:rPr>
        <w:t xml:space="preserve">Liquidationen: Realisierter Verlust voll absetzbar gegen Krypto-Gewinne desselben Jahres</w:t>
      </w:r>
    </w:p>
    <w:p>
      <w:pPr>
        <w:pStyle w:val="ListParagraph"/>
        <w:numPr>
          <w:ilvl w:val="0"/>
          <w:numId w:val="2"/>
        </w:numPr>
        <w:spacing w:before="40" w:after="40"/>
      </w:pPr>
      <w:r>
        <w:rPr>
          <w:rFonts w:ascii="Arial" w:cs="Arial" w:eastAsia="Arial" w:hAnsi="Arial"/>
          <w:b w:val="false"/>
          <w:bCs w:val="false"/>
          <w:color w:val="212121"/>
          <w:sz w:val="22"/>
          <w:szCs w:val="22"/>
        </w:rPr>
        <w:t xml:space="preserve">Flash Loans: Netto-Ergebnis des Gesamtvorgangs (Darlehen + Zinsen + Profit/Loss) ist steuerrelevant</w:t>
      </w:r>
    </w:p>
    <w:p>
      <w:pPr>
        <w:spacing w:before="120" w:after="0"/>
      </w:pPr>
      <w:r>
        <w:t xml:space="preserve"/>
      </w:r>
    </w:p>
    <w:p>
      <w:pPr>
        <w:pStyle w:val="Heading2"/>
        <w:spacing w:before="280" w:after="120"/>
      </w:pPr>
      <w:r>
        <w:rPr>
          <w:rFonts w:ascii="Arial" w:cs="Arial" w:eastAsia="Arial" w:hAnsi="Arial"/>
          <w:b/>
          <w:bCs/>
          <w:color w:val="0D47A1"/>
          <w:sz w:val="28"/>
          <w:szCs w:val="28"/>
        </w:rPr>
        <w:t xml:space="preserve">4.4 Dokumentations- und Mitwirkungspflichten</w:t>
      </w:r>
    </w:p>
    <w:p>
      <w:pPr>
        <w:spacing w:before="60" w:after="100"/>
      </w:pPr>
      <w:r>
        <w:rPr>
          <w:rFonts w:ascii="Arial" w:cs="Arial" w:eastAsia="Arial" w:hAnsi="Arial"/>
          <w:color w:val="212121"/>
          <w:sz w:val="22"/>
          <w:szCs w:val="22"/>
        </w:rPr>
        <w:t xml:space="preserve">Das BMF 2025 konkretisiert erstmals die Dokumentationspflichten für Krypto-Anleger. Das SaaS-Tool muss alle geforderten Datenfelder lückenlos erfassen: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Pflichtfeld (BMF 2025)</w:t>
            </w:r>
          </w:p>
        </w:tc>
        <w:tc>
          <w:tcPr>
            <w:tcW w:type="dxa" w:w="48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Technische Umsetzung im Tool</w:t>
            </w:r>
          </w:p>
        </w:tc>
      </w:tr>
      <w:tr>
        <w:trPr>
          <w:tblHeader w:val="false"/>
        </w:trPr>
        <w:tc>
          <w:tcPr>
            <w:tcW w:type="dxa" w:w="4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Transaktionszeitpunkt (sekundengenau)</w:t>
            </w:r>
          </w:p>
        </w:tc>
        <w:tc>
          <w:tcPr>
            <w:tcW w:type="dxa" w:w="4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Blockchain-Timestamp (Unix) → ISO 8601 Konvertierung</w:t>
            </w:r>
          </w:p>
        </w:tc>
      </w:tr>
      <w:tr>
        <w:trPr>
          <w:tblHeader w:val="false"/>
        </w:trPr>
        <w:tc>
          <w:tcPr>
            <w:tcW w:type="dxa" w:w="4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Anschaffungskosten in EUR</w:t>
            </w:r>
          </w:p>
        </w:tc>
        <w:tc>
          <w:tcPr>
            <w:tcW w:type="dxa" w:w="4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FTSO/Coinmarketcap Tageskurs × Token-Menge</w:t>
            </w:r>
          </w:p>
        </w:tc>
      </w:tr>
      <w:tr>
        <w:trPr>
          <w:tblHeader w:val="false"/>
        </w:trPr>
        <w:tc>
          <w:tcPr>
            <w:tcW w:type="dxa" w:w="4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Veräußerungserlös in EUR</w:t>
            </w:r>
          </w:p>
        </w:tc>
        <w:tc>
          <w:tcPr>
            <w:tcW w:type="dxa" w:w="4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Tageskurs × Token-Menge bei Veräußerung</w:t>
            </w:r>
          </w:p>
        </w:tc>
      </w:tr>
      <w:tr>
        <w:trPr>
          <w:tblHeader w:val="false"/>
        </w:trPr>
        <w:tc>
          <w:tcPr>
            <w:tcW w:type="dxa" w:w="4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Wallet-Adressen (nicht ausreichend allein)</w:t>
            </w:r>
          </w:p>
        </w:tc>
        <w:tc>
          <w:tcPr>
            <w:tcW w:type="dxa" w:w="4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TX-Hash + Block-Number + Event-Log-Index als Nachweis</w:t>
            </w:r>
          </w:p>
        </w:tc>
      </w:tr>
      <w:tr>
        <w:trPr>
          <w:tblHeader w:val="false"/>
        </w:trPr>
        <w:tc>
          <w:tcPr>
            <w:tcW w:type="dxa" w:w="4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Transaktions-IDs (TX-Hash)</w:t>
            </w:r>
          </w:p>
        </w:tc>
        <w:tc>
          <w:tcPr>
            <w:tcW w:type="dxa" w:w="4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On-Chain abrufbar, unveränderbar</w:t>
            </w:r>
          </w:p>
        </w:tc>
      </w:tr>
      <w:tr>
        <w:trPr>
          <w:tblHeader w:val="false"/>
        </w:trPr>
        <w:tc>
          <w:tcPr>
            <w:tcW w:type="dxa" w:w="4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Exchange-/Protokoll-Name</w:t>
            </w:r>
          </w:p>
        </w:tc>
        <w:tc>
          <w:tcPr>
            <w:tcW w:type="dxa" w:w="4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Protokoll-Smart-Contract-Adresse → Name-Mapping</w:t>
            </w:r>
          </w:p>
        </w:tc>
      </w:tr>
      <w:tr>
        <w:trPr>
          <w:tblHeader w:val="false"/>
        </w:trPr>
        <w:tc>
          <w:tcPr>
            <w:tcW w:type="dxa" w:w="4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Bewertungsmethode (FiFo/LIFO/HIFO)</w:t>
            </w:r>
          </w:p>
        </w:tc>
        <w:tc>
          <w:tcPr>
            <w:tcW w:type="dxa" w:w="4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Konfigurierbar je Nutzer, konsistent pro Jahr</w:t>
            </w:r>
          </w:p>
        </w:tc>
      </w:tr>
      <w:tr>
        <w:trPr>
          <w:tblHeader w:val="false"/>
        </w:trPr>
        <w:tc>
          <w:tcPr>
            <w:tcW w:type="dxa" w:w="4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Kostennachweis (Gas/Fees)</w:t>
            </w:r>
          </w:p>
        </w:tc>
        <w:tc>
          <w:tcPr>
            <w:tcW w:type="dxa" w:w="4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Alle gezahlten Fees als Werbungskosten dokumentieren</w:t>
            </w:r>
          </w:p>
        </w:tc>
      </w:tr>
    </w:tbl>
    <w:p>
      <w:r>
        <w:br/>
      </w:r>
    </w:p>
    <w:p>
      <w:pPr>
        <w:pStyle w:val="Heading1"/>
        <w:pBdr>
          <w:bottom w:val="single" w:color="0D47A1" w:sz="4" w:space="6"/>
        </w:pBdr>
        <w:spacing w:before="360" w:after="160"/>
      </w:pPr>
      <w:r>
        <w:rPr>
          <w:rFonts w:ascii="Arial" w:cs="Arial" w:eastAsia="Arial" w:hAnsi="Arial"/>
          <w:b/>
          <w:bCs/>
          <w:color w:val="0D47A1"/>
          <w:sz w:val="36"/>
          <w:szCs w:val="36"/>
        </w:rPr>
        <w:t xml:space="preserve">5. CoinTracking-Exportformat – Technische Spezifikation</w:t>
      </w:r>
    </w:p>
    <w:p>
      <w:pPr>
        <w:pStyle w:val="Heading2"/>
        <w:spacing w:before="280" w:after="120"/>
      </w:pPr>
      <w:r>
        <w:rPr>
          <w:rFonts w:ascii="Arial" w:cs="Arial" w:eastAsia="Arial" w:hAnsi="Arial"/>
          <w:b/>
          <w:bCs/>
          <w:color w:val="0D47A1"/>
          <w:sz w:val="28"/>
          <w:szCs w:val="28"/>
        </w:rPr>
        <w:t xml:space="preserve">5.1 CoinTracking CSV-Format (Standard-Import)</w:t>
      </w:r>
    </w:p>
    <w:p>
      <w:pPr>
        <w:spacing w:before="60" w:after="100"/>
      </w:pPr>
      <w:r>
        <w:rPr>
          <w:rFonts w:ascii="Arial" w:cs="Arial" w:eastAsia="Arial" w:hAnsi="Arial"/>
          <w:color w:val="212121"/>
          <w:sz w:val="22"/>
          <w:szCs w:val="22"/>
        </w:rPr>
        <w:t xml:space="preserve">CoinTracking unterstützt einen standardisierten CSV-Import mit 11 Pflichtfeldern und 4 optionalen Feldern. Das SaaS-Tool muss exakt dieses Format generieren, um nahtlose Kompatibilität zu gewährleisten.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
              <w:left w:val="thick" w:color="0D47A1" w:sz="12"/>
              <w:bottom w:val="single" w:color="0D47A1" w:sz="1"/>
              <w:right w:val="single" w:color="0D47A1" w:sz="1"/>
            </w:tcBorders>
            <w:shd w:fill="E3F2FD" w:val="clear"/>
            <w:tcMar>
              <w:top w:type="dxa" w:w="120"/>
              <w:left w:type="dxa" w:w="200"/>
              <w:bottom w:type="dxa" w:w="120"/>
              <w:right w:type="dxa" w:w="120"/>
            </w:tcMar>
          </w:tcPr>
          <w:p>
            <w:pPr>
              <w:spacing w:before="0" w:after="40"/>
            </w:pPr>
            <w:r>
              <w:rPr>
                <w:rFonts w:ascii="Arial" w:cs="Arial" w:eastAsia="Arial" w:hAnsi="Arial"/>
                <w:b/>
                <w:bCs/>
                <w:color w:val="0D47A1"/>
                <w:sz w:val="22"/>
                <w:szCs w:val="22"/>
              </w:rPr>
              <w:t xml:space="preserve">CoinTracking Standard-CSV Header (Pflichtfelder)</w:t>
            </w:r>
          </w:p>
          <w:p>
            <w:pPr>
              <w:spacing w:before="0" w:after="0"/>
            </w:pPr>
            <w:r>
              <w:rPr>
                <w:rFonts w:ascii="Arial" w:cs="Arial" w:eastAsia="Arial" w:hAnsi="Arial"/>
                <w:color w:val="212121"/>
                <w:sz w:val="20"/>
                <w:szCs w:val="20"/>
              </w:rPr>
              <w:t xml:space="preserve">"Type","Buy Amount","Buy Currency","Sell Amount","Sell Currency","Fee","Fee Currency","Exchange","Trade-Group","Comment","Date"</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97A7" w:sz="1"/>
              <w:left w:val="thick" w:color="0097A7" w:sz="12"/>
              <w:bottom w:val="single" w:color="0097A7" w:sz="1"/>
              <w:right w:val="single" w:color="0097A7" w:sz="1"/>
            </w:tcBorders>
            <w:shd w:fill="ECEFF1" w:val="clear"/>
            <w:tcMar>
              <w:top w:type="dxa" w:w="120"/>
              <w:left w:type="dxa" w:w="200"/>
              <w:bottom w:type="dxa" w:w="120"/>
              <w:right w:type="dxa" w:w="120"/>
            </w:tcMar>
          </w:tcPr>
          <w:p>
            <w:pPr>
              <w:spacing w:before="0" w:after="40"/>
            </w:pPr>
            <w:r>
              <w:rPr>
                <w:rFonts w:ascii="Arial" w:cs="Arial" w:eastAsia="Arial" w:hAnsi="Arial"/>
                <w:b/>
                <w:bCs/>
                <w:color w:val="0097A7"/>
                <w:sz w:val="22"/>
                <w:szCs w:val="22"/>
              </w:rPr>
              <w:t xml:space="preserve">CoinTracking Standard-CSV Header (Optionale Felder)</w:t>
            </w:r>
          </w:p>
          <w:p>
            <w:pPr>
              <w:spacing w:before="0" w:after="0"/>
            </w:pPr>
            <w:r>
              <w:rPr>
                <w:rFonts w:ascii="Arial" w:cs="Arial" w:eastAsia="Arial" w:hAnsi="Arial"/>
                <w:color w:val="212121"/>
                <w:sz w:val="20"/>
                <w:szCs w:val="20"/>
              </w:rPr>
              <w:t xml:space="preserve">"Liquidity pool (optional)","Tx-ID (optional)","Buy Value in Account Currency (optional)","Sell Value in Account Currency (optional)"</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700"/>
        <w:gridCol w:w="2826"/>
      </w:tblGrid>
      <w:tr>
        <w:trPr>
          <w:tblHeader/>
        </w:trPr>
        <w:tc>
          <w:tcPr>
            <w:tcW w:type="dxa" w:w="22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Spalte</w:t>
            </w:r>
          </w:p>
        </w:tc>
        <w:tc>
          <w:tcPr>
            <w:tcW w:type="dxa" w:w="13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Pflicht</w:t>
            </w:r>
          </w:p>
        </w:tc>
        <w:tc>
          <w:tcPr>
            <w:tcW w:type="dxa" w:w="27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Format / Beispiel</w:t>
            </w:r>
          </w:p>
        </w:tc>
        <w:tc>
          <w:tcPr>
            <w:tcW w:type="dxa" w:w="28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Beschreibung</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Type</w:t>
            </w:r>
          </w:p>
        </w:tc>
        <w:tc>
          <w:tcPr>
            <w:tcW w:type="dxa" w:w="13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Ja</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Trade, Staking, LP Rewards, ...</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Transaktionstyp (s. Abschnitt 5.2)</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Buy Amount</w:t>
            </w:r>
          </w:p>
        </w:tc>
        <w:tc>
          <w:tcPr>
            <w:tcW w:type="dxa" w:w="13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Bedingt</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0.5 (Dezimalpunkt, kein Komma)</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Empfangene Token-Menge</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Buy Currency</w:t>
            </w:r>
          </w:p>
        </w:tc>
        <w:tc>
          <w:tcPr>
            <w:tcW w:type="dxa" w:w="13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Bedingt</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ETH, FLR, USDT</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Symbol des empfangenen Tokens</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Sell Amount</w:t>
            </w:r>
          </w:p>
        </w:tc>
        <w:tc>
          <w:tcPr>
            <w:tcW w:type="dxa" w:w="13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Bedingt</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1000.00</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Gesendete Token-Menge</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Sell Currency</w:t>
            </w:r>
          </w:p>
        </w:tc>
        <w:tc>
          <w:tcPr>
            <w:tcW w:type="dxa" w:w="13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Bedingt</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USDT, wFLR</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Symbol des gesendeten Tokens</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Fee</w:t>
            </w:r>
          </w:p>
        </w:tc>
        <w:tc>
          <w:tcPr>
            <w:tcW w:type="dxa" w:w="13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Nein</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0.003</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Transaktionsgebühr</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Fee Currency</w:t>
            </w:r>
          </w:p>
        </w:tc>
        <w:tc>
          <w:tcPr>
            <w:tcW w:type="dxa" w:w="13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Nein</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FLR, ETH</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Währung der Gebühr</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Exchange</w:t>
            </w:r>
          </w:p>
        </w:tc>
        <w:tc>
          <w:tcPr>
            <w:tcW w:type="dxa" w:w="13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Nein</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SparkDEX, Kinetic, Stargate</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Name des Protokolls</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Trade-Group</w:t>
            </w:r>
          </w:p>
        </w:tc>
        <w:tc>
          <w:tcPr>
            <w:tcW w:type="dxa" w:w="13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Nein</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DeFi, Flare, Lending</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Freie Kategorisierung</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Comment</w:t>
            </w:r>
          </w:p>
        </w:tc>
        <w:tc>
          <w:tcPr>
            <w:tcW w:type="dxa" w:w="13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Nein</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TX-Hash: 0x1234...</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Freitext + TX-Hash für Nachweis</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Date</w:t>
            </w:r>
          </w:p>
        </w:tc>
        <w:tc>
          <w:tcPr>
            <w:tcW w:type="dxa" w:w="13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Ja</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12.03.2026 14:32:01</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Datum &amp; Uhrzeit (DD.MM.YYYY HH:MM:SS)</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Liquidity pool</w:t>
            </w:r>
          </w:p>
        </w:tc>
        <w:tc>
          <w:tcPr>
            <w:tcW w:type="dxa" w:w="13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Optional</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wFLR/USDT-Pool SparkDEX</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Pool-Name für LP-Transaktionen</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Tx-ID</w:t>
            </w:r>
          </w:p>
        </w:tc>
        <w:tc>
          <w:tcPr>
            <w:tcW w:type="dxa" w:w="13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Optional</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0xabcdef1234567890...</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Blockchain-Transaktions-ID</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Buy Value in EUR</w:t>
            </w:r>
          </w:p>
        </w:tc>
        <w:tc>
          <w:tcPr>
            <w:tcW w:type="dxa" w:w="13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Optional</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250.00</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EUR-Wert zum Transaktionszeitpunkt</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Sell Value in EUR</w:t>
            </w:r>
          </w:p>
        </w:tc>
        <w:tc>
          <w:tcPr>
            <w:tcW w:type="dxa" w:w="13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Optional</w:t>
            </w:r>
          </w:p>
        </w:tc>
        <w:tc>
          <w:tcPr>
            <w:tcW w:type="dxa" w:w="27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500.00</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EUR-Wert zum Transaktionszeitpunkt</w:t>
            </w:r>
          </w:p>
        </w:tc>
      </w:tr>
    </w:tbl>
    <w:p>
      <w:pPr>
        <w:spacing w:before="120" w:after="0"/>
      </w:pPr>
      <w:r>
        <w:t xml:space="preserve"/>
      </w:r>
    </w:p>
    <w:p>
      <w:pPr>
        <w:pStyle w:val="Heading2"/>
        <w:spacing w:before="280" w:after="120"/>
      </w:pPr>
      <w:r>
        <w:rPr>
          <w:rFonts w:ascii="Arial" w:cs="Arial" w:eastAsia="Arial" w:hAnsi="Arial"/>
          <w:b/>
          <w:bCs/>
          <w:color w:val="0D47A1"/>
          <w:sz w:val="28"/>
          <w:szCs w:val="28"/>
        </w:rPr>
        <w:t xml:space="preserve">5.2 CoinTracking Transaktionstypen – DeFi-Mapping</w:t>
      </w:r>
    </w:p>
    <w:p>
      <w:pPr>
        <w:spacing w:before="60" w:after="100"/>
      </w:pPr>
      <w:r>
        <w:rPr>
          <w:rFonts w:ascii="Arial" w:cs="Arial" w:eastAsia="Arial" w:hAnsi="Arial"/>
          <w:color w:val="212121"/>
          <w:sz w:val="22"/>
          <w:szCs w:val="22"/>
        </w:rPr>
        <w:t xml:space="preserve">CoinTracking unterscheidet über 35 Transaktionstypen. Nachfolgend das vollständige Mapping aller DeFi-Aktionen der sechs analysierten Protokolle auf CoinTracking-Typen: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600"/>
        <w:gridCol w:w="2026"/>
      </w:tblGrid>
      <w:tr>
        <w:trPr>
          <w:tblHeader/>
        </w:trPr>
        <w:tc>
          <w:tcPr>
            <w:tcW w:type="dxa" w:w="32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DeFi-Aktion (Protokoll)</w:t>
            </w:r>
          </w:p>
        </w:tc>
        <w:tc>
          <w:tcPr>
            <w:tcW w:type="dxa" w:w="22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CoinTracking Type</w:t>
            </w:r>
          </w:p>
        </w:tc>
        <w:tc>
          <w:tcPr>
            <w:tcW w:type="dxa" w:w="16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Richtung</w:t>
            </w:r>
          </w:p>
        </w:tc>
        <w:tc>
          <w:tcPr>
            <w:tcW w:type="dxa" w:w="20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 EStG Relevanz</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Token Swap (SparkDEX/Ēnosys)</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Trade</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Kauf + Verkauf</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23 EStG</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Perps Eröffnen (SparkDEX)</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Margin Trade</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Kauf</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23 EStG Termingeschäft</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Perps Schließen (SparkDEX)</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Margin Trade</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Verkauf</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23 EStG</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FLR-Staking Rewards</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Staking</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Kauf (Einnahme)</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3 EStG</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FlareDrops</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Airdrop</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Kauf (Einnahme)</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3 EStG</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rFLR Emissions / Farming</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LP Rewards</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Kauf (Einnahme)</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3 EStG</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Lending-Zinsen (Kinetic/Aave)</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Lending Einnahme</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Kauf (Einnahme)</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3 EStG</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CDP-Darlehen (Ēnosys/Aave GHO)</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Darlehen erhalten</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Kauf</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Steuerneutral</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Kollateral zurück (CDP close)</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Remove Collateral</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Kauf</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Steuerneutral</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LP-Token erhalten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Receive LP Token</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Kauf</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Graubereich</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Assets aus LP entnehmen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Remove Liquidity</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Kauf</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23 EStG möglich</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Perps-Gewinn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Derivate / Futures Gewinn</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Kauf</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23 EStG</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Borrowing-Zinsen Einnahme</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Zinsen</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Kauf (Einnahme)</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3 EStG</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Gas-Gebühren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Sonstige Gebühr</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Verkauf (Ausgabe)</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Werbungskosten</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Assets in LP einzahlen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Provide Liquidity</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Verkauf</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Graubereich</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LP-Token zurückgeben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Return LP Token</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Verkauf</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Graubereich</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Kollateral hinterlegen (CDP)</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Add Collateral</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Verkauf</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Steuerneutral</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CDP-Schuld tilgen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Darlehen zurückgezahlt</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Verkauf</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Steuerneutral</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Liquidation erhalten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Liquidation</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Beide</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23 EStG</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Bridge Transfer (gleiches Asset)</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Transfer intern</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Beide</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Kein Ereignis</w:t>
            </w:r>
          </w:p>
        </w:tc>
      </w:tr>
      <w:tr>
        <w:trPr>
          <w:tblHeader w:val="false"/>
        </w:trPr>
        <w:tc>
          <w:tcPr>
            <w:tcW w:type="dxa" w:w="3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Wallet-zu-Wallet intern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Transfer intern</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Beide</w:t>
            </w:r>
          </w:p>
        </w:tc>
        <w:tc>
          <w:tcPr>
            <w:tcW w:type="dxa" w:w="2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Kein Ereignis</w:t>
            </w:r>
          </w:p>
        </w:tc>
      </w:tr>
    </w:tbl>
    <w:p>
      <w:pPr>
        <w:spacing w:before="120" w:after="0"/>
      </w:pPr>
      <w:r>
        <w:t xml:space="preserve"/>
      </w:r>
    </w:p>
    <w:p>
      <w:pPr>
        <w:pStyle w:val="Heading2"/>
        <w:spacing w:before="280" w:after="120"/>
      </w:pPr>
      <w:r>
        <w:rPr>
          <w:rFonts w:ascii="Arial" w:cs="Arial" w:eastAsia="Arial" w:hAnsi="Arial"/>
          <w:b/>
          <w:bCs/>
          <w:color w:val="0D47A1"/>
          <w:sz w:val="28"/>
          <w:szCs w:val="28"/>
        </w:rPr>
        <w:t xml:space="preserve">5.3 Bewertungsmethode: FIFO, LIFO, HIFO</w:t>
      </w:r>
    </w:p>
    <w:p>
      <w:pPr>
        <w:spacing w:before="60" w:after="100"/>
      </w:pPr>
      <w:r>
        <w:rPr>
          <w:rFonts w:ascii="Arial" w:cs="Arial" w:eastAsia="Arial" w:hAnsi="Arial"/>
          <w:color w:val="212121"/>
          <w:sz w:val="22"/>
          <w:szCs w:val="22"/>
        </w:rPr>
        <w:t xml:space="preserve">CoinTracking unterstützt alle drei Bewertungsmethoden für die Ermittlung von Anschaffungskosten. Das SaaS-Tool muss die deutsche Standardmethode korrekt vorbelegen:</w:t>
      </w:r>
    </w:p>
    <w:p>
      <w:pPr>
        <w:pStyle w:val="ListParagraph"/>
        <w:numPr>
          <w:ilvl w:val="0"/>
          <w:numId w:val="2"/>
        </w:numPr>
        <w:spacing w:before="40" w:after="40"/>
      </w:pPr>
      <w:r>
        <w:rPr>
          <w:rFonts w:ascii="Arial" w:cs="Arial" w:eastAsia="Arial" w:hAnsi="Arial"/>
          <w:b w:val="false"/>
          <w:bCs w:val="false"/>
          <w:color w:val="212121"/>
          <w:sz w:val="22"/>
          <w:szCs w:val="22"/>
        </w:rPr>
        <w:t xml:space="preserve">FiFo (First in, First out): In Deutschland von der Finanzverwaltung akzeptiert und empfohlen. Standard-Methode des Tools.</w:t>
      </w:r>
    </w:p>
    <w:p>
      <w:pPr>
        <w:pStyle w:val="ListParagraph"/>
        <w:numPr>
          <w:ilvl w:val="0"/>
          <w:numId w:val="2"/>
        </w:numPr>
        <w:spacing w:before="40" w:after="40"/>
      </w:pPr>
      <w:r>
        <w:rPr>
          <w:rFonts w:ascii="Arial" w:cs="Arial" w:eastAsia="Arial" w:hAnsi="Arial"/>
          <w:b w:val="false"/>
          <w:bCs w:val="false"/>
          <w:color w:val="212121"/>
          <w:sz w:val="22"/>
          <w:szCs w:val="22"/>
        </w:rPr>
        <w:t xml:space="preserve">LIFO (Last in, First out): Zulässig, kann steueroptimierend wirken. Nutzerauswahl möglich.</w:t>
      </w:r>
    </w:p>
    <w:p>
      <w:pPr>
        <w:pStyle w:val="ListParagraph"/>
        <w:numPr>
          <w:ilvl w:val="0"/>
          <w:numId w:val="2"/>
        </w:numPr>
        <w:spacing w:before="40" w:after="40"/>
      </w:pPr>
      <w:r>
        <w:rPr>
          <w:rFonts w:ascii="Arial" w:cs="Arial" w:eastAsia="Arial" w:hAnsi="Arial"/>
          <w:b w:val="false"/>
          <w:bCs w:val="false"/>
          <w:color w:val="212121"/>
          <w:sz w:val="22"/>
          <w:szCs w:val="22"/>
        </w:rPr>
        <w:t xml:space="preserve">HIFO (Highest in, First out): Steuerminimierungsstrategie, international üblich. Finanzamts-Akzeptanz in DE nicht gesichert – Warnung im Tool erforderlich.</w:t>
      </w:r>
    </w:p>
    <w:p>
      <w:pPr>
        <w:pStyle w:val="ListParagraph"/>
        <w:numPr>
          <w:ilvl w:val="0"/>
          <w:numId w:val="2"/>
        </w:numPr>
        <w:spacing w:before="40" w:after="40"/>
      </w:pPr>
      <w:r>
        <w:rPr>
          <w:rFonts w:ascii="Arial" w:cs="Arial" w:eastAsia="Arial" w:hAnsi="Arial"/>
          <w:b w:val="false"/>
          <w:bCs w:val="false"/>
          <w:color w:val="212121"/>
          <w:sz w:val="22"/>
          <w:szCs w:val="22"/>
        </w:rPr>
        <w:t xml:space="preserve">Durchschnittskosten: Alternativ zulässig, wenn individuelle Zuordnung unmöglich (BMF 2025, Rz. 43).</w:t>
      </w:r>
    </w:p>
    <w:p>
      <w:pPr>
        <w:pStyle w:val="ListParagraph"/>
        <w:numPr>
          <w:ilvl w:val="0"/>
          <w:numId w:val="2"/>
        </w:numPr>
        <w:spacing w:before="40" w:after="40"/>
      </w:pPr>
      <w:r>
        <w:rPr>
          <w:rFonts w:ascii="Arial" w:cs="Arial" w:eastAsia="Arial" w:hAnsi="Arial"/>
          <w:b w:val="false"/>
          <w:bCs w:val="false"/>
          <w:color w:val="212121"/>
          <w:sz w:val="22"/>
          <w:szCs w:val="22"/>
        </w:rPr>
        <w:t xml:space="preserve">Wichtig: Die Methode muss pro Steuerjahr konsistent angewandt werden. Das Tool muss vor Methodenwechsel warnen.</w:t>
      </w:r>
    </w:p>
    <w:p>
      <w:r>
        <w:br/>
      </w:r>
    </w:p>
    <w:p>
      <w:pPr>
        <w:pStyle w:val="Heading1"/>
        <w:pBdr>
          <w:bottom w:val="single" w:color="0D47A1" w:sz="4" w:space="6"/>
        </w:pBdr>
        <w:spacing w:before="360" w:after="160"/>
      </w:pPr>
      <w:r>
        <w:rPr>
          <w:rFonts w:ascii="Arial" w:cs="Arial" w:eastAsia="Arial" w:hAnsi="Arial"/>
          <w:b/>
          <w:bCs/>
          <w:color w:val="0D47A1"/>
          <w:sz w:val="36"/>
          <w:szCs w:val="36"/>
        </w:rPr>
        <w:t xml:space="preserve">6. Technische Architektur des SaaS-Tools</w:t>
      </w:r>
    </w:p>
    <w:p>
      <w:pPr>
        <w:pStyle w:val="Heading2"/>
        <w:spacing w:before="280" w:after="120"/>
      </w:pPr>
      <w:r>
        <w:rPr>
          <w:rFonts w:ascii="Arial" w:cs="Arial" w:eastAsia="Arial" w:hAnsi="Arial"/>
          <w:b/>
          <w:bCs/>
          <w:color w:val="0D47A1"/>
          <w:sz w:val="28"/>
          <w:szCs w:val="28"/>
        </w:rPr>
        <w:t xml:space="preserve">6.1 System-Überblick</w:t>
      </w:r>
    </w:p>
    <w:p>
      <w:pPr>
        <w:spacing w:before="60" w:after="100"/>
      </w:pPr>
      <w:r>
        <w:rPr>
          <w:rFonts w:ascii="Arial" w:cs="Arial" w:eastAsia="Arial" w:hAnsi="Arial"/>
          <w:color w:val="212121"/>
          <w:sz w:val="22"/>
          <w:szCs w:val="22"/>
        </w:rPr>
        <w:t xml:space="preserve">Das DeFi Tracker SaaS-Tool ist als cloudnative Multi-Tenant-Applikation konzipiert, die on-chain Daten über mehrere Blockchain-Netzwerke hinweg aggregiert, steuerrechtlich kategorisiert und als CoinTracking-kompatible CSV-Datei exportiert.</w:t>
      </w:r>
    </w:p>
    <w:p>
      <w:pPr>
        <w:spacing w:before="80" w:after="0"/>
      </w:pPr>
      <w:r>
        <w:t xml:space="preserve"/>
      </w:r>
    </w:p>
    <w:p>
      <w:pPr>
        <w:pStyle w:val="Heading3"/>
        <w:spacing w:before="200" w:after="80"/>
      </w:pPr>
      <w:r>
        <w:rPr>
          <w:rFonts w:ascii="Arial" w:cs="Arial" w:eastAsia="Arial" w:hAnsi="Arial"/>
          <w:b/>
          <w:bCs/>
          <w:color w:val="0097A7"/>
          <w:sz w:val="24"/>
          <w:szCs w:val="24"/>
        </w:rPr>
        <w:t xml:space="preserve">6.1.1 Technologie-Stack (Empfehlung)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Schicht</w:t>
            </w:r>
          </w:p>
        </w:tc>
        <w:tc>
          <w:tcPr>
            <w:tcW w:type="dxa" w:w="32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Technologie</w:t>
            </w:r>
          </w:p>
        </w:tc>
        <w:tc>
          <w:tcPr>
            <w:tcW w:type="dxa" w:w="36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Begründung</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Frontend</w:t>
            </w:r>
          </w:p>
        </w:tc>
        <w:tc>
          <w:tcPr>
            <w:tcW w:type="dxa" w:w="3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Next.js 15 (App Router) + shadcn/ui</w:t>
            </w:r>
          </w:p>
        </w:tc>
        <w:tc>
          <w:tcPr>
            <w:tcW w:type="dxa" w:w="36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React Server Components, optimierte DX</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Backend API</w:t>
            </w:r>
          </w:p>
        </w:tc>
        <w:tc>
          <w:tcPr>
            <w:tcW w:type="dxa" w:w="3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Node.js / tRPC + Zod Validation</w:t>
            </w:r>
          </w:p>
        </w:tc>
        <w:tc>
          <w:tcPr>
            <w:tcW w:type="dxa" w:w="36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Type-safe API, automatische Validierung</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Datenbank</w:t>
            </w:r>
          </w:p>
        </w:tc>
        <w:tc>
          <w:tcPr>
            <w:tcW w:type="dxa" w:w="3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PostgreSQL + Prisma ORM v6</w:t>
            </w:r>
          </w:p>
        </w:tc>
        <w:tc>
          <w:tcPr>
            <w:tcW w:type="dxa" w:w="36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Relational, ACID-konform, GoBD-tauglich</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Blockchain-Indexer</w:t>
            </w:r>
          </w:p>
        </w:tc>
        <w:tc>
          <w:tcPr>
            <w:tcW w:type="dxa" w:w="3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The Graph Protocol (Subgraph) + direkter RPC</w:t>
            </w:r>
          </w:p>
        </w:tc>
        <w:tc>
          <w:tcPr>
            <w:tcW w:type="dxa" w:w="36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Effiziente On-Chain-Abfragen</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Preisfeeds</w:t>
            </w:r>
          </w:p>
        </w:tc>
        <w:tc>
          <w:tcPr>
            <w:tcW w:type="dxa" w:w="3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Flare FTSO + CoinGecko/CoinMarketCap API</w:t>
            </w:r>
          </w:p>
        </w:tc>
        <w:tc>
          <w:tcPr>
            <w:tcW w:type="dxa" w:w="36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Dezentral (FTSO) + zentrales Backup</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Job Queue</w:t>
            </w:r>
          </w:p>
        </w:tc>
        <w:tc>
          <w:tcPr>
            <w:tcW w:type="dxa" w:w="3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Redis + BullMQ</w:t>
            </w:r>
          </w:p>
        </w:tc>
        <w:tc>
          <w:tcPr>
            <w:tcW w:type="dxa" w:w="36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Asynchrone TX-Indexierung, Retry-Logik</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Exportgenerator</w:t>
            </w:r>
          </w:p>
        </w:tc>
        <w:tc>
          <w:tcPr>
            <w:tcW w:type="dxa" w:w="3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Node.js csv-writer + ExcelJS</w:t>
            </w:r>
          </w:p>
        </w:tc>
        <w:tc>
          <w:tcPr>
            <w:tcW w:type="dxa" w:w="36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CSV und XLSX Export</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Hosting</w:t>
            </w:r>
          </w:p>
        </w:tc>
        <w:tc>
          <w:tcPr>
            <w:tcW w:type="dxa" w:w="3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Docker + Coolify (Hetzner Nürnberg)</w:t>
            </w:r>
          </w:p>
        </w:tc>
        <w:tc>
          <w:tcPr>
            <w:tcW w:type="dxa" w:w="36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DSGVO-konform, EU-Serverstandort</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Auth</w:t>
            </w:r>
          </w:p>
        </w:tc>
        <w:tc>
          <w:tcPr>
            <w:tcW w:type="dxa" w:w="3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NextAuth.js + 2FA (TOTP)</w:t>
            </w:r>
          </w:p>
        </w:tc>
        <w:tc>
          <w:tcPr>
            <w:tcW w:type="dxa" w:w="36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Sichere Nutzerverwaltung</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Verschlüsselung</w:t>
            </w:r>
          </w:p>
        </w:tc>
        <w:tc>
          <w:tcPr>
            <w:tcW w:type="dxa" w:w="3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AES-256 (Wallet-Daten), Argon2 (Passwörter)</w:t>
            </w:r>
          </w:p>
        </w:tc>
        <w:tc>
          <w:tcPr>
            <w:tcW w:type="dxa" w:w="36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Höchster Sicherheitsstandard</w:t>
            </w:r>
          </w:p>
        </w:tc>
      </w:tr>
    </w:tbl>
    <w:p>
      <w:pPr>
        <w:spacing w:before="120" w:after="0"/>
      </w:pPr>
      <w:r>
        <w:t xml:space="preserve"/>
      </w:r>
    </w:p>
    <w:p>
      <w:pPr>
        <w:pStyle w:val="Heading2"/>
        <w:spacing w:before="280" w:after="120"/>
      </w:pPr>
      <w:r>
        <w:rPr>
          <w:rFonts w:ascii="Arial" w:cs="Arial" w:eastAsia="Arial" w:hAnsi="Arial"/>
          <w:b/>
          <w:bCs/>
          <w:color w:val="0D47A1"/>
          <w:sz w:val="28"/>
          <w:szCs w:val="28"/>
        </w:rPr>
        <w:t xml:space="preserve">6.2 Datenerfassung – On-Chain Indexierungsstrategie</w:t>
      </w:r>
    </w:p>
    <w:p>
      <w:pPr>
        <w:pStyle w:val="Heading3"/>
        <w:spacing w:before="200" w:after="80"/>
      </w:pPr>
      <w:r>
        <w:rPr>
          <w:rFonts w:ascii="Arial" w:cs="Arial" w:eastAsia="Arial" w:hAnsi="Arial"/>
          <w:b/>
          <w:bCs/>
          <w:color w:val="0097A7"/>
          <w:sz w:val="24"/>
          <w:szCs w:val="24"/>
        </w:rPr>
        <w:t xml:space="preserve">6.2.1 Wallet-Verbindung</w:t>
      </w:r>
    </w:p>
    <w:p>
      <w:pPr>
        <w:pStyle w:val="ListParagraph"/>
        <w:numPr>
          <w:ilvl w:val="0"/>
          <w:numId w:val="2"/>
        </w:numPr>
        <w:spacing w:before="40" w:after="40"/>
      </w:pPr>
      <w:r>
        <w:rPr>
          <w:rFonts w:ascii="Arial" w:cs="Arial" w:eastAsia="Arial" w:hAnsi="Arial"/>
          <w:b w:val="false"/>
          <w:bCs w:val="false"/>
          <w:color w:val="212121"/>
          <w:sz w:val="22"/>
          <w:szCs w:val="22"/>
        </w:rPr>
        <w:t xml:space="preserve">Nutzer verbindet EVM-Wallet-Adresse(n) und/oder API-Keys (read-only)</w:t>
      </w:r>
    </w:p>
    <w:p>
      <w:pPr>
        <w:pStyle w:val="ListParagraph"/>
        <w:numPr>
          <w:ilvl w:val="0"/>
          <w:numId w:val="2"/>
        </w:numPr>
        <w:spacing w:before="40" w:after="40"/>
      </w:pPr>
      <w:r>
        <w:rPr>
          <w:rFonts w:ascii="Arial" w:cs="Arial" w:eastAsia="Arial" w:hAnsi="Arial"/>
          <w:b w:val="false"/>
          <w:bCs w:val="false"/>
          <w:color w:val="212121"/>
          <w:sz w:val="22"/>
          <w:szCs w:val="22"/>
        </w:rPr>
        <w:t xml:space="preserve">Für Flare Network: MetaMask, WalletConnect, Bifrost Wallet, SolidFi</w:t>
      </w:r>
    </w:p>
    <w:p>
      <w:pPr>
        <w:pStyle w:val="ListParagraph"/>
        <w:numPr>
          <w:ilvl w:val="0"/>
          <w:numId w:val="2"/>
        </w:numPr>
        <w:spacing w:before="40" w:after="40"/>
      </w:pPr>
      <w:r>
        <w:rPr>
          <w:rFonts w:ascii="Arial" w:cs="Arial" w:eastAsia="Arial" w:hAnsi="Arial"/>
          <w:b w:val="false"/>
          <w:bCs w:val="false"/>
          <w:color w:val="212121"/>
          <w:sz w:val="22"/>
          <w:szCs w:val="22"/>
        </w:rPr>
        <w:t xml:space="preserve">Multi-Wallet-Support: Alle Wallets unter einem Portfolio zusammenführen</w:t>
      </w:r>
    </w:p>
    <w:p>
      <w:pPr>
        <w:pStyle w:val="ListParagraph"/>
        <w:numPr>
          <w:ilvl w:val="0"/>
          <w:numId w:val="2"/>
        </w:numPr>
        <w:spacing w:before="40" w:after="40"/>
      </w:pPr>
      <w:r>
        <w:rPr>
          <w:rFonts w:ascii="Arial" w:cs="Arial" w:eastAsia="Arial" w:hAnsi="Arial"/>
          <w:b w:val="false"/>
          <w:bCs w:val="false"/>
          <w:color w:val="212121"/>
          <w:sz w:val="22"/>
          <w:szCs w:val="22"/>
        </w:rPr>
        <w:t xml:space="preserve">Privacy-First: Nur public Wallet-Adressen werden gespeichert – keine Private Keys</w:t>
      </w:r>
    </w:p>
    <w:p>
      <w:pPr>
        <w:spacing w:before="80" w:after="0"/>
      </w:pPr>
      <w:r>
        <w:t xml:space="preserve"/>
      </w:r>
    </w:p>
    <w:p>
      <w:pPr>
        <w:pStyle w:val="Heading3"/>
        <w:spacing w:before="200" w:after="80"/>
      </w:pPr>
      <w:r>
        <w:rPr>
          <w:rFonts w:ascii="Arial" w:cs="Arial" w:eastAsia="Arial" w:hAnsi="Arial"/>
          <w:b/>
          <w:bCs/>
          <w:color w:val="0097A7"/>
          <w:sz w:val="24"/>
          <w:szCs w:val="24"/>
        </w:rPr>
        <w:t xml:space="preserve">6.2.2 Transaktions-Indexierung</w:t>
      </w:r>
    </w:p>
    <w:p>
      <w:pPr>
        <w:pStyle w:val="ListParagraph"/>
        <w:numPr>
          <w:ilvl w:val="0"/>
          <w:numId w:val="3"/>
        </w:numPr>
        <w:spacing w:before="40" w:after="40"/>
      </w:pPr>
      <w:r>
        <w:rPr>
          <w:rFonts w:ascii="Arial" w:cs="Arial" w:eastAsia="Arial" w:hAnsi="Arial"/>
          <w:b w:val="false"/>
          <w:bCs w:val="false"/>
          <w:color w:val="212121"/>
          <w:sz w:val="22"/>
          <w:szCs w:val="22"/>
        </w:rPr>
        <w:t xml:space="preserve">Historische TX-Synchronisation: Vollständiger Import aller vergangenen Transaktionen via The Graph / JSON-RPC eth_getLogs</w:t>
      </w:r>
    </w:p>
    <w:p>
      <w:pPr>
        <w:pStyle w:val="ListParagraph"/>
        <w:numPr>
          <w:ilvl w:val="0"/>
          <w:numId w:val="3"/>
        </w:numPr>
        <w:spacing w:before="40" w:after="40"/>
      </w:pPr>
      <w:r>
        <w:rPr>
          <w:rFonts w:ascii="Arial" w:cs="Arial" w:eastAsia="Arial" w:hAnsi="Arial"/>
          <w:b w:val="false"/>
          <w:bCs w:val="false"/>
          <w:color w:val="212121"/>
          <w:sz w:val="22"/>
          <w:szCs w:val="22"/>
        </w:rPr>
        <w:t xml:space="preserve">Real-Time Monitoring: WebSocket-basiertes Echtzeit-Listening auf neue Blocks (newPendingTransactions + eth_subscribe)</w:t>
      </w:r>
    </w:p>
    <w:p>
      <w:pPr>
        <w:pStyle w:val="ListParagraph"/>
        <w:numPr>
          <w:ilvl w:val="0"/>
          <w:numId w:val="3"/>
        </w:numPr>
        <w:spacing w:before="40" w:after="40"/>
      </w:pPr>
      <w:r>
        <w:rPr>
          <w:rFonts w:ascii="Arial" w:cs="Arial" w:eastAsia="Arial" w:hAnsi="Arial"/>
          <w:b w:val="false"/>
          <w:bCs w:val="false"/>
          <w:color w:val="212121"/>
          <w:sz w:val="22"/>
          <w:szCs w:val="22"/>
        </w:rPr>
        <w:t xml:space="preserve">Event Decoding: ABI-Decoding aller relevanten Smart-Contract-Events (Swap, Transfer, Mint, Burn, Borrow, Repay etc.)</w:t>
      </w:r>
    </w:p>
    <w:p>
      <w:pPr>
        <w:pStyle w:val="ListParagraph"/>
        <w:numPr>
          <w:ilvl w:val="0"/>
          <w:numId w:val="3"/>
        </w:numPr>
        <w:spacing w:before="40" w:after="40"/>
      </w:pPr>
      <w:r>
        <w:rPr>
          <w:rFonts w:ascii="Arial" w:cs="Arial" w:eastAsia="Arial" w:hAnsi="Arial"/>
          <w:b w:val="false"/>
          <w:bCs w:val="false"/>
          <w:color w:val="212121"/>
          <w:sz w:val="22"/>
          <w:szCs w:val="22"/>
        </w:rPr>
        <w:t xml:space="preserve">TX-Klassifikation: ML-gestützter Klassifizierungs-Layer ordnet jede TX einem DeFi-Protokoll und Transaktionstyp zu</w:t>
      </w:r>
    </w:p>
    <w:p>
      <w:pPr>
        <w:pStyle w:val="ListParagraph"/>
        <w:numPr>
          <w:ilvl w:val="0"/>
          <w:numId w:val="3"/>
        </w:numPr>
        <w:spacing w:before="40" w:after="40"/>
      </w:pPr>
      <w:r>
        <w:rPr>
          <w:rFonts w:ascii="Arial" w:cs="Arial" w:eastAsia="Arial" w:hAnsi="Arial"/>
          <w:b w:val="false"/>
          <w:bCs w:val="false"/>
          <w:color w:val="212121"/>
          <w:sz w:val="22"/>
          <w:szCs w:val="22"/>
        </w:rPr>
        <w:t xml:space="preserve">Fehlerbehandlung: Unbekannte TX → Manuelle Kategorisierung durch Nutzer (UI-geführt)</w:t>
      </w:r>
    </w:p>
    <w:p>
      <w:pPr>
        <w:spacing w:before="80" w:after="0"/>
      </w:pPr>
      <w:r>
        <w:t xml:space="preserve"/>
      </w:r>
    </w:p>
    <w:p>
      <w:pPr>
        <w:pStyle w:val="Heading3"/>
        <w:spacing w:before="200" w:after="80"/>
      </w:pPr>
      <w:r>
        <w:rPr>
          <w:rFonts w:ascii="Arial" w:cs="Arial" w:eastAsia="Arial" w:hAnsi="Arial"/>
          <w:b/>
          <w:bCs/>
          <w:color w:val="0097A7"/>
          <w:sz w:val="24"/>
          <w:szCs w:val="24"/>
        </w:rPr>
        <w:t xml:space="preserve">6.2.3 Protokoll-spezifische Indexer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1826"/>
      </w:tblGrid>
      <w:tr>
        <w:trPr>
          <w:tblHeader/>
        </w:trPr>
        <w:tc>
          <w:tcPr>
            <w:tcW w:type="dxa" w:w="22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Protokoll</w:t>
            </w:r>
          </w:p>
        </w:tc>
        <w:tc>
          <w:tcPr>
            <w:tcW w:type="dxa" w:w="28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Primäre Datenquelle</w:t>
            </w:r>
          </w:p>
        </w:tc>
        <w:tc>
          <w:tcPr>
            <w:tcW w:type="dxa" w:w="22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Fallback</w:t>
            </w:r>
          </w:p>
        </w:tc>
        <w:tc>
          <w:tcPr>
            <w:tcW w:type="dxa" w:w="18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Update-Frequenz</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Flare Network (base)</w:t>
            </w:r>
          </w:p>
        </w:tc>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Flare JSON-RPC + Flarescan API</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flare-explorer.flare.network</w:t>
            </w:r>
          </w:p>
        </w:tc>
        <w:tc>
          <w:tcPr>
            <w:tcW w:type="dxa" w:w="1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Echtzeit</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SparkDEX V3/V4</w:t>
            </w:r>
          </w:p>
        </w:tc>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SparkDEX Subgraph (The Graph) + Algebra Events</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Direkter RPC Fallback</w:t>
            </w:r>
          </w:p>
        </w:tc>
        <w:tc>
          <w:tcPr>
            <w:tcW w:type="dxa" w:w="1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&lt; 30 Sekunden</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Ēnosys DEX</w:t>
            </w:r>
          </w:p>
        </w:tc>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Ēnosys Subgraph + Uniswap V3 Events</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Direkter RPC Fallback</w:t>
            </w:r>
          </w:p>
        </w:tc>
        <w:tc>
          <w:tcPr>
            <w:tcW w:type="dxa" w:w="1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&lt; 30 Sekunden</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Kinetic Market</w:t>
            </w:r>
          </w:p>
        </w:tc>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Compound V2-kompatible Events + Kinetic API</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RPC eth_getLogs</w:t>
            </w:r>
          </w:p>
        </w:tc>
        <w:tc>
          <w:tcPr>
            <w:tcW w:type="dxa" w:w="1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&lt; 60 Sekunden</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Stargate Finance</w:t>
            </w:r>
          </w:p>
        </w:tc>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Stargate Subgraph + LayerZero Message API</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DefiLlama API</w:t>
            </w:r>
          </w:p>
        </w:tc>
        <w:tc>
          <w:tcPr>
            <w:tcW w:type="dxa" w:w="1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&lt; 60 Sekunden</w:t>
            </w:r>
          </w:p>
        </w:tc>
      </w:tr>
      <w:tr>
        <w:trPr>
          <w:tblHeader w:val="false"/>
        </w:trP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Aave</w:t>
            </w:r>
          </w:p>
        </w:tc>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Aave The Graph (multi-chain) + Aave API V3</w:t>
            </w:r>
          </w:p>
        </w:tc>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Direkter RPC je Chain</w:t>
            </w:r>
          </w:p>
        </w:tc>
        <w:tc>
          <w:tcPr>
            <w:tcW w:type="dxa" w:w="1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&lt; 30 Sekunden</w:t>
            </w:r>
          </w:p>
        </w:tc>
      </w:tr>
    </w:tbl>
    <w:p>
      <w:pPr>
        <w:spacing w:before="120" w:after="0"/>
      </w:pPr>
      <w:r>
        <w:t xml:space="preserve"/>
      </w:r>
    </w:p>
    <w:p>
      <w:pPr>
        <w:pStyle w:val="Heading2"/>
        <w:spacing w:before="280" w:after="120"/>
      </w:pPr>
      <w:r>
        <w:rPr>
          <w:rFonts w:ascii="Arial" w:cs="Arial" w:eastAsia="Arial" w:hAnsi="Arial"/>
          <w:b/>
          <w:bCs/>
          <w:color w:val="0D47A1"/>
          <w:sz w:val="28"/>
          <w:szCs w:val="28"/>
        </w:rPr>
        <w:t xml:space="preserve">6.3 EUR-Kursbewertung – Compliance-kritisch</w:t>
      </w:r>
    </w:p>
    <w:p>
      <w:pPr>
        <w:spacing w:before="60" w:after="100"/>
      </w:pPr>
      <w:r>
        <w:rPr>
          <w:rFonts w:ascii="Arial" w:cs="Arial" w:eastAsia="Arial" w:hAnsi="Arial"/>
          <w:color w:val="212121"/>
          <w:sz w:val="22"/>
          <w:szCs w:val="22"/>
        </w:rPr>
        <w:t xml:space="preserve">Das BMF 2025 verlangt die Bewertung aller Krypto-Transaktionen zum Marktkurs im Transaktionszeitpunkt in EUR. Das Tool nutzt eine vierstufige Hierarchie der Preisquellen:</w:t>
      </w:r>
    </w:p>
    <w:p>
      <w:pPr>
        <w:pStyle w:val="ListParagraph"/>
        <w:numPr>
          <w:ilvl w:val="0"/>
          <w:numId w:val="3"/>
        </w:numPr>
        <w:spacing w:before="40" w:after="40"/>
      </w:pPr>
      <w:r>
        <w:rPr>
          <w:rFonts w:ascii="Arial" w:cs="Arial" w:eastAsia="Arial" w:hAnsi="Arial"/>
          <w:b w:val="false"/>
          <w:bCs w:val="false"/>
          <w:color w:val="212121"/>
          <w:sz w:val="22"/>
          <w:szCs w:val="22"/>
        </w:rPr>
        <w:t xml:space="preserve">Flare FTSO (Primär für Flare-native Tokens): Dezentraler, manipulationsresistenter On-Chain-Preisfeed in Echtzeit</w:t>
      </w:r>
    </w:p>
    <w:p>
      <w:pPr>
        <w:pStyle w:val="ListParagraph"/>
        <w:numPr>
          <w:ilvl w:val="0"/>
          <w:numId w:val="3"/>
        </w:numPr>
        <w:spacing w:before="40" w:after="40"/>
      </w:pPr>
      <w:r>
        <w:rPr>
          <w:rFonts w:ascii="Arial" w:cs="Arial" w:eastAsia="Arial" w:hAnsi="Arial"/>
          <w:b w:val="false"/>
          <w:bCs w:val="false"/>
          <w:color w:val="212121"/>
          <w:sz w:val="22"/>
          <w:szCs w:val="22"/>
        </w:rPr>
        <w:t xml:space="preserve">CoinGecko API (Historisch): Sekundengenauer historischer Kursverlauf für alle gelisteten Tokens</w:t>
      </w:r>
    </w:p>
    <w:p>
      <w:pPr>
        <w:pStyle w:val="ListParagraph"/>
        <w:numPr>
          <w:ilvl w:val="0"/>
          <w:numId w:val="3"/>
        </w:numPr>
        <w:spacing w:before="40" w:after="40"/>
      </w:pPr>
      <w:r>
        <w:rPr>
          <w:rFonts w:ascii="Arial" w:cs="Arial" w:eastAsia="Arial" w:hAnsi="Arial"/>
          <w:b w:val="false"/>
          <w:bCs w:val="false"/>
          <w:color w:val="212121"/>
          <w:sz w:val="22"/>
          <w:szCs w:val="22"/>
        </w:rPr>
        <w:t xml:space="preserve">CoinMarketCap API (Fallback): Als vom BMF 2025 ausdrücklich anerkannte Quelle (Rz. 43 BMF 2025)</w:t>
      </w:r>
    </w:p>
    <w:p>
      <w:pPr>
        <w:pStyle w:val="ListParagraph"/>
        <w:numPr>
          <w:ilvl w:val="0"/>
          <w:numId w:val="3"/>
        </w:numPr>
        <w:spacing w:before="40" w:after="40"/>
      </w:pPr>
      <w:r>
        <w:rPr>
          <w:rFonts w:ascii="Arial" w:cs="Arial" w:eastAsia="Arial" w:hAnsi="Arial"/>
          <w:b w:val="false"/>
          <w:bCs w:val="false"/>
          <w:color w:val="212121"/>
          <w:sz w:val="22"/>
          <w:szCs w:val="22"/>
        </w:rPr>
        <w:t xml:space="preserve">Manuelle EUR-Eingabe: Für unbekannte/illiquide Tokens – Nutzer muss Quelle dokumentieren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97A7" w:sz="1"/>
              <w:left w:val="thick" w:color="0097A7" w:sz="12"/>
              <w:bottom w:val="single" w:color="0097A7" w:sz="1"/>
              <w:right w:val="single" w:color="0097A7" w:sz="1"/>
            </w:tcBorders>
            <w:shd w:fill="E3F2FD" w:val="clear"/>
            <w:tcMar>
              <w:top w:type="dxa" w:w="120"/>
              <w:left w:type="dxa" w:w="200"/>
              <w:bottom w:type="dxa" w:w="120"/>
              <w:right w:type="dxa" w:w="120"/>
            </w:tcMar>
          </w:tcPr>
          <w:p>
            <w:pPr>
              <w:spacing w:before="0" w:after="40"/>
            </w:pPr>
            <w:r>
              <w:rPr>
                <w:rFonts w:ascii="Arial" w:cs="Arial" w:eastAsia="Arial" w:hAnsi="Arial"/>
                <w:b/>
                <w:bCs/>
                <w:color w:val="0097A7"/>
                <w:sz w:val="22"/>
                <w:szCs w:val="22"/>
              </w:rPr>
              <w:t xml:space="preserve">Dokumentation der Kursquelle</w:t>
            </w:r>
          </w:p>
          <w:p>
            <w:pPr>
              <w:spacing w:before="0" w:after="0"/>
            </w:pPr>
            <w:r>
              <w:rPr>
                <w:rFonts w:ascii="Arial" w:cs="Arial" w:eastAsia="Arial" w:hAnsi="Arial"/>
                <w:color w:val="212121"/>
                <w:sz w:val="20"/>
                <w:szCs w:val="20"/>
              </w:rPr>
              <w:t xml:space="preserve">Das BMF 2025 (Rz. 43) nennt explizit folgende Quellen als anerkannt: Coinmarketcap.com, Handelsplattformen (Kraken, Coinbase, Bitpanda, Börse Stuttgart Digital Exchange). Das Tool muss für jede Transaktion die verwendete Preisquelle und den Tageskurs als unveränderliches Audit-Log speichern.</w:t>
            </w:r>
          </w:p>
        </w:tc>
      </w:tr>
    </w:tbl>
    <w:p>
      <w:pPr>
        <w:spacing w:before="120" w:after="0"/>
      </w:pPr>
      <w:r>
        <w:t xml:space="preserve"/>
      </w:r>
    </w:p>
    <w:p>
      <w:pPr>
        <w:pStyle w:val="Heading2"/>
        <w:spacing w:before="280" w:after="120"/>
      </w:pPr>
      <w:r>
        <w:rPr>
          <w:rFonts w:ascii="Arial" w:cs="Arial" w:eastAsia="Arial" w:hAnsi="Arial"/>
          <w:b/>
          <w:bCs/>
          <w:color w:val="0D47A1"/>
          <w:sz w:val="28"/>
          <w:szCs w:val="28"/>
        </w:rPr>
        <w:t xml:space="preserve">6.4 Export-Engine – CoinTracking CSV Generator</w:t>
      </w:r>
    </w:p>
    <w:p>
      <w:pPr>
        <w:pStyle w:val="Heading3"/>
        <w:spacing w:before="200" w:after="80"/>
      </w:pPr>
      <w:r>
        <w:rPr>
          <w:rFonts w:ascii="Arial" w:cs="Arial" w:eastAsia="Arial" w:hAnsi="Arial"/>
          <w:b/>
          <w:bCs/>
          <w:color w:val="0097A7"/>
          <w:sz w:val="24"/>
          <w:szCs w:val="24"/>
        </w:rPr>
        <w:t xml:space="preserve">6.4.1 Export-Workflow</w:t>
      </w:r>
    </w:p>
    <w:p>
      <w:pPr>
        <w:pStyle w:val="ListParagraph"/>
        <w:numPr>
          <w:ilvl w:val="0"/>
          <w:numId w:val="3"/>
        </w:numPr>
        <w:spacing w:before="40" w:after="40"/>
      </w:pPr>
      <w:r>
        <w:rPr>
          <w:rFonts w:ascii="Arial" w:cs="Arial" w:eastAsia="Arial" w:hAnsi="Arial"/>
          <w:b w:val="false"/>
          <w:bCs w:val="false"/>
          <w:color w:val="212121"/>
          <w:sz w:val="22"/>
          <w:szCs w:val="22"/>
        </w:rPr>
        <w:t xml:space="preserve">Zeitraumauswahl: Nutzer wählt Steuerjahr (Standard: Kalenderjahr DE)</w:t>
      </w:r>
    </w:p>
    <w:p>
      <w:pPr>
        <w:pStyle w:val="ListParagraph"/>
        <w:numPr>
          <w:ilvl w:val="0"/>
          <w:numId w:val="3"/>
        </w:numPr>
        <w:spacing w:before="40" w:after="40"/>
      </w:pPr>
      <w:r>
        <w:rPr>
          <w:rFonts w:ascii="Arial" w:cs="Arial" w:eastAsia="Arial" w:hAnsi="Arial"/>
          <w:b w:val="false"/>
          <w:bCs w:val="false"/>
          <w:color w:val="212121"/>
          <w:sz w:val="22"/>
          <w:szCs w:val="22"/>
        </w:rPr>
        <w:t xml:space="preserve">Bewertungsmethode: FIFO (Default) oder LIFO/HIFO (Nutzerauswahl)</w:t>
      </w:r>
    </w:p>
    <w:p>
      <w:pPr>
        <w:pStyle w:val="ListParagraph"/>
        <w:numPr>
          <w:ilvl w:val="0"/>
          <w:numId w:val="3"/>
        </w:numPr>
        <w:spacing w:before="40" w:after="40"/>
      </w:pPr>
      <w:r>
        <w:rPr>
          <w:rFonts w:ascii="Arial" w:cs="Arial" w:eastAsia="Arial" w:hAnsi="Arial"/>
          <w:b w:val="false"/>
          <w:bCs w:val="false"/>
          <w:color w:val="212121"/>
          <w:sz w:val="22"/>
          <w:szCs w:val="22"/>
        </w:rPr>
        <w:t xml:space="preserve">Protokoll-Filter: Alle oder selektiv (SparkDEX, Kinetic, Aave etc.)</w:t>
      </w:r>
    </w:p>
    <w:p>
      <w:pPr>
        <w:pStyle w:val="ListParagraph"/>
        <w:numPr>
          <w:ilvl w:val="0"/>
          <w:numId w:val="3"/>
        </w:numPr>
        <w:spacing w:before="40" w:after="40"/>
      </w:pPr>
      <w:r>
        <w:rPr>
          <w:rFonts w:ascii="Arial" w:cs="Arial" w:eastAsia="Arial" w:hAnsi="Arial"/>
          <w:b w:val="false"/>
          <w:bCs w:val="false"/>
          <w:color w:val="212121"/>
          <w:sz w:val="22"/>
          <w:szCs w:val="22"/>
        </w:rPr>
        <w:t xml:space="preserve">Validierung: Pre-Export-Check auf fehlende Kursdaten, unkategorisierte TX, Graubereich-Warnungen</w:t>
      </w:r>
    </w:p>
    <w:p>
      <w:pPr>
        <w:pStyle w:val="ListParagraph"/>
        <w:numPr>
          <w:ilvl w:val="0"/>
          <w:numId w:val="3"/>
        </w:numPr>
        <w:spacing w:before="40" w:after="40"/>
      </w:pPr>
      <w:r>
        <w:rPr>
          <w:rFonts w:ascii="Arial" w:cs="Arial" w:eastAsia="Arial" w:hAnsi="Arial"/>
          <w:b w:val="false"/>
          <w:bCs w:val="false"/>
          <w:color w:val="212121"/>
          <w:sz w:val="22"/>
          <w:szCs w:val="22"/>
        </w:rPr>
        <w:t xml:space="preserve">CSV-Generierung: Exaktes CoinTracking-Format mit allen 15 Feldern</w:t>
      </w:r>
    </w:p>
    <w:p>
      <w:pPr>
        <w:pStyle w:val="ListParagraph"/>
        <w:numPr>
          <w:ilvl w:val="0"/>
          <w:numId w:val="3"/>
        </w:numPr>
        <w:spacing w:before="40" w:after="40"/>
      </w:pPr>
      <w:r>
        <w:rPr>
          <w:rFonts w:ascii="Arial" w:cs="Arial" w:eastAsia="Arial" w:hAnsi="Arial"/>
          <w:b w:val="false"/>
          <w:bCs w:val="false"/>
          <w:color w:val="212121"/>
          <w:sz w:val="22"/>
          <w:szCs w:val="22"/>
        </w:rPr>
        <w:t xml:space="preserve">Audit-Log: Jeder Export wird versioniert gespeichert (GoBD: Unveränderlichkeit)</w:t>
      </w:r>
    </w:p>
    <w:p>
      <w:pPr>
        <w:spacing w:before="80" w:after="0"/>
      </w:pPr>
      <w:r>
        <w:t xml:space="preserve"/>
      </w:r>
    </w:p>
    <w:p>
      <w:pPr>
        <w:pStyle w:val="Heading3"/>
        <w:spacing w:before="200" w:after="80"/>
      </w:pPr>
      <w:r>
        <w:rPr>
          <w:rFonts w:ascii="Arial" w:cs="Arial" w:eastAsia="Arial" w:hAnsi="Arial"/>
          <w:b/>
          <w:bCs/>
          <w:color w:val="0097A7"/>
          <w:sz w:val="24"/>
          <w:szCs w:val="24"/>
        </w:rPr>
        <w:t xml:space="preserve">6.4.2 Beispiel-Datensatz (CoinTracking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B0BEC5" w:sz="1"/>
              <w:bottom w:val="single" w:color="B0BEC5" w:sz="1"/>
              <w:right w:val="single" w:color="B0BEC5" w:sz="1"/>
            </w:tcBorders>
            <w:shd w:fill="1E1E2E" w:val="clear"/>
            <w:tcMar>
              <w:top w:type="dxa" w:w="100"/>
              <w:left w:type="dxa" w:w="160"/>
              <w:bottom w:type="dxa" w:w="100"/>
              <w:right w:type="dxa" w:w="160"/>
            </w:tcMar>
          </w:tcPr>
          <w:p>
            <w:pPr>
              <w:spacing w:before="0" w:after="30"/>
            </w:pPr>
            <w:r>
              <w:rPr>
                <w:rFonts w:ascii="Courier New" w:cs="Courier New" w:eastAsia="Courier New" w:hAnsi="Courier New"/>
                <w:color w:val="00FF88"/>
                <w:sz w:val="16"/>
                <w:szCs w:val="16"/>
              </w:rPr>
              <w:t xml:space="preserve">"Type","Buy Amount","Buy Currency","Sell Amount","Sell Currency","Fee","Fee Currency","Exchange","Trade-Group","Comment","Date","Liquidity pool (optional)","Tx-ID (optional)","Buy Value in Account Currency (optional)","Sell Value in Account Currency (optional)"</w:t>
            </w:r>
          </w:p>
          <w:p>
            <w:pPr>
              <w:spacing w:before="0" w:after="30"/>
            </w:pPr>
            <w:r>
              <w:rPr>
                <w:rFonts w:ascii="Courier New" w:cs="Courier New" w:eastAsia="Courier New" w:hAnsi="Courier New"/>
                <w:color w:val="FFE082"/>
                <w:sz w:val="16"/>
                <w:szCs w:val="16"/>
              </w:rPr>
              <w:t xml:space="preserve">"Trade","1.523","FLR","50","USDT","0.02","FLR","SparkDEX","DeFi-Flare","Swap wFLR-&gt;USDT","12.03.2026 09:14:33","","0xabc123def456...","2.64","50.00"</w:t>
            </w:r>
          </w:p>
          <w:p>
            <w:pPr>
              <w:spacing w:before="0" w:after="30"/>
            </w:pPr>
            <w:r>
              <w:rPr>
                <w:rFonts w:ascii="Courier New" w:cs="Courier New" w:eastAsia="Courier New" w:hAnsi="Courier New"/>
                <w:color w:val="FFE082"/>
                <w:sz w:val="16"/>
                <w:szCs w:val="16"/>
              </w:rPr>
              <w:t xml:space="preserve">"Staking","12.5","FLR","","","","","Flare Network","Staking","FlareStake Delegation Reward","01.03.2026 00:00:00","","","21.69",""</w:t>
            </w:r>
          </w:p>
          <w:p>
            <w:pPr>
              <w:spacing w:before="0" w:after="30"/>
            </w:pPr>
            <w:r>
              <w:rPr>
                <w:rFonts w:ascii="Courier New" w:cs="Courier New" w:eastAsia="Courier New" w:hAnsi="Courier New"/>
                <w:color w:val="FFE082"/>
                <w:sz w:val="16"/>
                <w:szCs w:val="16"/>
              </w:rPr>
              <w:t xml:space="preserve">"LP Rewards","45.2","SPRK","","","","","SparkDEX","Farming","wFLR/USDT Pool Farming Reward","15.03.2026 12:30:00","wFLR/USDT V3","0xdef789...","10.30",""</w:t>
            </w:r>
          </w:p>
          <w:p>
            <w:pPr>
              <w:spacing w:before="0" w:after="30"/>
            </w:pPr>
            <w:r>
              <w:rPr>
                <w:rFonts w:ascii="Courier New" w:cs="Courier New" w:eastAsia="Courier New" w:hAnsi="Courier New"/>
                <w:color w:val="FFE082"/>
                <w:sz w:val="16"/>
                <w:szCs w:val="16"/>
              </w:rPr>
              <w:t xml:space="preserve">"Lending Einnahme","0.025","ETH","","","","","Aave V3","Lending","aETH Zinsen kumuliert","20.03.2026 18:00:00","","","65.43",""</w:t>
            </w:r>
          </w:p>
          <w:p>
            <w:pPr>
              <w:spacing w:before="0" w:after="0"/>
            </w:pPr>
            <w:r>
              <w:rPr>
                <w:rFonts w:ascii="Courier New" w:cs="Courier New" w:eastAsia="Courier New" w:hAnsi="Courier New"/>
                <w:color w:val="FFE082"/>
                <w:sz w:val="16"/>
                <w:szCs w:val="16"/>
              </w:rPr>
              <w:t xml:space="preserve">"Provide Liquidity","","","500","USDT","0.03","FLR","Enosys DEX","LP-Bereitstellung","FXRP/USDT Pool - Graubereich §23","10.03.2026 11:22:44","FXRP/USDT","0xghi012...","","500.00"</w:t>
            </w:r>
          </w:p>
        </w:tc>
      </w:tr>
    </w:tbl>
    <w:p>
      <w:r>
        <w:br/>
      </w:r>
    </w:p>
    <w:p>
      <w:pPr>
        <w:pStyle w:val="Heading1"/>
        <w:pBdr>
          <w:bottom w:val="single" w:color="0D47A1" w:sz="4" w:space="6"/>
        </w:pBdr>
        <w:spacing w:before="360" w:after="160"/>
      </w:pPr>
      <w:r>
        <w:rPr>
          <w:rFonts w:ascii="Arial" w:cs="Arial" w:eastAsia="Arial" w:hAnsi="Arial"/>
          <w:b/>
          <w:bCs/>
          <w:color w:val="0D47A1"/>
          <w:sz w:val="36"/>
          <w:szCs w:val="36"/>
        </w:rPr>
        <w:t xml:space="preserve">7. Regulatorische Anforderungen &amp; Compliance</w:t>
      </w:r>
    </w:p>
    <w:p>
      <w:pPr>
        <w:pStyle w:val="Heading2"/>
        <w:spacing w:before="280" w:after="120"/>
      </w:pPr>
      <w:r>
        <w:rPr>
          <w:rFonts w:ascii="Arial" w:cs="Arial" w:eastAsia="Arial" w:hAnsi="Arial"/>
          <w:b/>
          <w:bCs/>
          <w:color w:val="0D47A1"/>
          <w:sz w:val="28"/>
          <w:szCs w:val="28"/>
        </w:rPr>
        <w:t xml:space="preserve">7.1 DSGVO-Konformität</w:t>
      </w:r>
    </w:p>
    <w:p>
      <w:pPr>
        <w:pStyle w:val="ListParagraph"/>
        <w:numPr>
          <w:ilvl w:val="0"/>
          <w:numId w:val="2"/>
        </w:numPr>
        <w:spacing w:before="40" w:after="40"/>
      </w:pPr>
      <w:r>
        <w:rPr>
          <w:rFonts w:ascii="Arial" w:cs="Arial" w:eastAsia="Arial" w:hAnsi="Arial"/>
          <w:b w:val="false"/>
          <w:bCs w:val="false"/>
          <w:color w:val="212121"/>
          <w:sz w:val="22"/>
          <w:szCs w:val="22"/>
        </w:rPr>
        <w:t xml:space="preserve">Serverstandort: EU-basierte Infrastruktur (Hetzner Nürnberg / Falkenstein) – keine Drittlands-Übermittlung</w:t>
      </w:r>
    </w:p>
    <w:p>
      <w:pPr>
        <w:pStyle w:val="ListParagraph"/>
        <w:numPr>
          <w:ilvl w:val="0"/>
          <w:numId w:val="2"/>
        </w:numPr>
        <w:spacing w:before="40" w:after="40"/>
      </w:pPr>
      <w:r>
        <w:rPr>
          <w:rFonts w:ascii="Arial" w:cs="Arial" w:eastAsia="Arial" w:hAnsi="Arial"/>
          <w:b w:val="false"/>
          <w:bCs w:val="false"/>
          <w:color w:val="212121"/>
          <w:sz w:val="22"/>
          <w:szCs w:val="22"/>
        </w:rPr>
        <w:t xml:space="preserve">Datensparsamkeit: Nur Wallet-Adressen (public), keine Private Keys – minimale PII-Erfassung</w:t>
      </w:r>
    </w:p>
    <w:p>
      <w:pPr>
        <w:pStyle w:val="ListParagraph"/>
        <w:numPr>
          <w:ilvl w:val="0"/>
          <w:numId w:val="2"/>
        </w:numPr>
        <w:spacing w:before="40" w:after="40"/>
      </w:pPr>
      <w:r>
        <w:rPr>
          <w:rFonts w:ascii="Arial" w:cs="Arial" w:eastAsia="Arial" w:hAnsi="Arial"/>
          <w:b w:val="false"/>
          <w:bCs w:val="false"/>
          <w:color w:val="212121"/>
          <w:sz w:val="22"/>
          <w:szCs w:val="22"/>
        </w:rPr>
        <w:t xml:space="preserve">Auftragsverarbeitungsvertrag (AVV): Bei SaaS-Nutzung durch Steuerberater erforderlich</w:t>
      </w:r>
    </w:p>
    <w:p>
      <w:pPr>
        <w:pStyle w:val="ListParagraph"/>
        <w:numPr>
          <w:ilvl w:val="0"/>
          <w:numId w:val="2"/>
        </w:numPr>
        <w:spacing w:before="40" w:after="40"/>
      </w:pPr>
      <w:r>
        <w:rPr>
          <w:rFonts w:ascii="Arial" w:cs="Arial" w:eastAsia="Arial" w:hAnsi="Arial"/>
          <w:b w:val="false"/>
          <w:bCs w:val="false"/>
          <w:color w:val="212121"/>
          <w:sz w:val="22"/>
          <w:szCs w:val="22"/>
        </w:rPr>
        <w:t xml:space="preserve">Löschkonzept: Nutzer können ihr Konto + alle Daten vollständig löschen</w:t>
      </w:r>
    </w:p>
    <w:p>
      <w:pPr>
        <w:pStyle w:val="ListParagraph"/>
        <w:numPr>
          <w:ilvl w:val="0"/>
          <w:numId w:val="2"/>
        </w:numPr>
        <w:spacing w:before="40" w:after="40"/>
      </w:pPr>
      <w:r>
        <w:rPr>
          <w:rFonts w:ascii="Arial" w:cs="Arial" w:eastAsia="Arial" w:hAnsi="Arial"/>
          <w:b w:val="false"/>
          <w:bCs w:val="false"/>
          <w:color w:val="212121"/>
          <w:sz w:val="22"/>
          <w:szCs w:val="22"/>
        </w:rPr>
        <w:t xml:space="preserve">Datenschutzerklärung: Gemäß Art. 13 DSGVO mit Beschreibung der Verarbeitungszwecke</w:t>
      </w:r>
    </w:p>
    <w:p>
      <w:pPr>
        <w:spacing w:before="80" w:after="0"/>
      </w:pPr>
      <w:r>
        <w:t xml:space="preserve"/>
      </w:r>
    </w:p>
    <w:p>
      <w:pPr>
        <w:pStyle w:val="Heading2"/>
        <w:spacing w:before="280" w:after="120"/>
      </w:pPr>
      <w:r>
        <w:rPr>
          <w:rFonts w:ascii="Arial" w:cs="Arial" w:eastAsia="Arial" w:hAnsi="Arial"/>
          <w:b/>
          <w:bCs/>
          <w:color w:val="0D47A1"/>
          <w:sz w:val="28"/>
          <w:szCs w:val="28"/>
        </w:rPr>
        <w:t xml:space="preserve">7.2 GoBD-Anforderungen (Grundsätze zur ordnungsmäßigen Buchführung)</w:t>
      </w:r>
    </w:p>
    <w:p>
      <w:pPr>
        <w:spacing w:before="60" w:after="100"/>
      </w:pPr>
      <w:r>
        <w:rPr>
          <w:rFonts w:ascii="Arial" w:cs="Arial" w:eastAsia="Arial" w:hAnsi="Arial"/>
          <w:color w:val="212121"/>
          <w:sz w:val="22"/>
          <w:szCs w:val="22"/>
        </w:rPr>
        <w:t xml:space="preserve">Für gewerbliche Nutzer (Betriebsvermögen) gelten die GoBD-Anforderungen. Das Tool muss folgende Grundsätze erfüllen: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GoBD-Grundsatz</w:t>
            </w:r>
          </w:p>
        </w:tc>
        <w:tc>
          <w:tcPr>
            <w:tcW w:type="dxa" w:w="55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Technische Umsetzung</w:t>
            </w:r>
          </w:p>
        </w:tc>
      </w:tr>
      <w:tr>
        <w:trPr>
          <w:tblHeader w:val="false"/>
        </w:trPr>
        <w:tc>
          <w:tcPr>
            <w:tcW w:type="dxa" w:w="3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Unveränderlichkeit</w:t>
            </w:r>
          </w:p>
        </w:tc>
        <w:tc>
          <w:tcPr>
            <w:tcW w:type="dxa" w:w="55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Audit-Log aller Transaktionen in append-only Datenstruktur, kryptografische Hashes</w:t>
            </w:r>
          </w:p>
        </w:tc>
      </w:tr>
      <w:tr>
        <w:trPr>
          <w:tblHeader w:val="false"/>
        </w:trPr>
        <w:tc>
          <w:tcPr>
            <w:tcW w:type="dxa" w:w="3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Vollständigkeit</w:t>
            </w:r>
          </w:p>
        </w:tc>
        <w:tc>
          <w:tcPr>
            <w:tcW w:type="dxa" w:w="55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Automatische Lückenprüfung bei Wallet-Synchronisation</w:t>
            </w:r>
          </w:p>
        </w:tc>
      </w:tr>
      <w:tr>
        <w:trPr>
          <w:tblHeader w:val="false"/>
        </w:trPr>
        <w:tc>
          <w:tcPr>
            <w:tcW w:type="dxa" w:w="3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Richtigkeit</w:t>
            </w:r>
          </w:p>
        </w:tc>
        <w:tc>
          <w:tcPr>
            <w:tcW w:type="dxa" w:w="55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EUR-Kurse aus anerkannten Quellen (BMF 2025 Rz. 43), dokumentiert</w:t>
            </w:r>
          </w:p>
        </w:tc>
      </w:tr>
      <w:tr>
        <w:trPr>
          <w:tblHeader w:val="false"/>
        </w:trPr>
        <w:tc>
          <w:tcPr>
            <w:tcW w:type="dxa" w:w="3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Zeitgerechtheit</w:t>
            </w:r>
          </w:p>
        </w:tc>
        <w:tc>
          <w:tcPr>
            <w:tcW w:type="dxa" w:w="55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Transaktionen werden mit Blockchain-Timestamp erfasst (nicht Importdatum)</w:t>
            </w:r>
          </w:p>
        </w:tc>
      </w:tr>
      <w:tr>
        <w:trPr>
          <w:tblHeader w:val="false"/>
        </w:trPr>
        <w:tc>
          <w:tcPr>
            <w:tcW w:type="dxa" w:w="3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Nachvollziehbarkeit</w:t>
            </w:r>
          </w:p>
        </w:tc>
        <w:tc>
          <w:tcPr>
            <w:tcW w:type="dxa" w:w="55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TX-Hash als unveränderlicher On-Chain-Beweis jeder Transaktion</w:t>
            </w:r>
          </w:p>
        </w:tc>
      </w:tr>
      <w:tr>
        <w:trPr>
          <w:tblHeader w:val="false"/>
        </w:trPr>
        <w:tc>
          <w:tcPr>
            <w:tcW w:type="dxa" w:w="3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Lesbarkeit</w:t>
            </w:r>
          </w:p>
        </w:tc>
        <w:tc>
          <w:tcPr>
            <w:tcW w:type="dxa" w:w="55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Export in standardisierte Formate (CSV, XLSX) + menschenlesbare PDF-Reports</w:t>
            </w:r>
          </w:p>
        </w:tc>
      </w:tr>
    </w:tbl>
    <w:p>
      <w:pPr>
        <w:spacing w:before="80" w:after="0"/>
      </w:pPr>
      <w:r>
        <w:t xml:space="preserve"/>
      </w:r>
    </w:p>
    <w:p>
      <w:pPr>
        <w:pStyle w:val="Heading2"/>
        <w:spacing w:before="280" w:after="120"/>
      </w:pPr>
      <w:r>
        <w:rPr>
          <w:rFonts w:ascii="Arial" w:cs="Arial" w:eastAsia="Arial" w:hAnsi="Arial"/>
          <w:b/>
          <w:bCs/>
          <w:color w:val="0D47A1"/>
          <w:sz w:val="28"/>
          <w:szCs w:val="28"/>
        </w:rPr>
        <w:t xml:space="preserve">7.3 MiCA-Konformität (EU Markets in Crypto-Assets Regulation)</w:t>
      </w:r>
    </w:p>
    <w:p>
      <w:pPr>
        <w:spacing w:before="60" w:after="100"/>
      </w:pPr>
      <w:r>
        <w:rPr>
          <w:rFonts w:ascii="Arial" w:cs="Arial" w:eastAsia="Arial" w:hAnsi="Arial"/>
          <w:color w:val="212121"/>
          <w:sz w:val="22"/>
          <w:szCs w:val="22"/>
        </w:rPr>
        <w:t xml:space="preserve">Die MiCA-Verordnung (seit Dezember 2024 vollständig in Kraft) berührt das SaaS-Tool indirekt: Das Tool selbst benötigt keine MiCA-Lizenz (kein VASP-Status), muss jedoch MiCA-relevante Ereignisse in der Datenbasis korrekt identifizieren können.</w:t>
      </w:r>
    </w:p>
    <w:p>
      <w:pPr>
        <w:pStyle w:val="ListParagraph"/>
        <w:numPr>
          <w:ilvl w:val="0"/>
          <w:numId w:val="2"/>
        </w:numPr>
        <w:spacing w:before="40" w:after="40"/>
      </w:pPr>
      <w:r>
        <w:rPr>
          <w:rFonts w:ascii="Arial" w:cs="Arial" w:eastAsia="Arial" w:hAnsi="Arial"/>
          <w:b w:val="false"/>
          <w:bCs w:val="false"/>
          <w:color w:val="212121"/>
          <w:sz w:val="22"/>
          <w:szCs w:val="22"/>
        </w:rPr>
        <w:t xml:space="preserve">Stablecoin-Emittenten-Monitoring: Stablecoins von MiCA-lizenzierten Emittenten erhalten Sonderbehandlung im Tool</w:t>
      </w:r>
    </w:p>
    <w:p>
      <w:pPr>
        <w:pStyle w:val="ListParagraph"/>
        <w:numPr>
          <w:ilvl w:val="0"/>
          <w:numId w:val="2"/>
        </w:numPr>
        <w:spacing w:before="40" w:after="40"/>
      </w:pPr>
      <w:r>
        <w:rPr>
          <w:rFonts w:ascii="Arial" w:cs="Arial" w:eastAsia="Arial" w:hAnsi="Arial"/>
          <w:b w:val="false"/>
          <w:bCs w:val="false"/>
          <w:color w:val="212121"/>
          <w:sz w:val="22"/>
          <w:szCs w:val="22"/>
        </w:rPr>
        <w:t xml:space="preserve">AML-Screening: Optional integrierbares AML-Modul für Kanzlei-Kunden (Blockchain-Analytics via API, z.B. Elliptic)</w:t>
      </w:r>
    </w:p>
    <w:p>
      <w:pPr>
        <w:pStyle w:val="ListParagraph"/>
        <w:numPr>
          <w:ilvl w:val="0"/>
          <w:numId w:val="2"/>
        </w:numPr>
        <w:spacing w:before="40" w:after="40"/>
      </w:pPr>
      <w:r>
        <w:rPr>
          <w:rFonts w:ascii="Arial" w:cs="Arial" w:eastAsia="Arial" w:hAnsi="Arial"/>
          <w:b w:val="false"/>
          <w:bCs w:val="false"/>
          <w:color w:val="212121"/>
          <w:sz w:val="22"/>
          <w:szCs w:val="22"/>
        </w:rPr>
        <w:t xml:space="preserve">Travel Rule (ab 1.000 EUR): Über CoinTracking exportierte Daten enthalten TX-IDs für Travel-Rule-Compliance</w:t>
      </w:r>
    </w:p>
    <w:p>
      <w:pPr>
        <w:spacing w:before="80" w:after="0"/>
      </w:pPr>
      <w:r>
        <w:t xml:space="preserve"/>
      </w:r>
    </w:p>
    <w:p>
      <w:pPr>
        <w:pStyle w:val="Heading2"/>
        <w:spacing w:before="280" w:after="120"/>
      </w:pPr>
      <w:r>
        <w:rPr>
          <w:rFonts w:ascii="Arial" w:cs="Arial" w:eastAsia="Arial" w:hAnsi="Arial"/>
          <w:b/>
          <w:bCs/>
          <w:color w:val="0D47A1"/>
          <w:sz w:val="28"/>
          <w:szCs w:val="28"/>
        </w:rPr>
        <w:t xml:space="preserve">7.4 DAC8 – Automatische Steuermeldung ab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62828" w:sz="1"/>
              <w:left w:val="thick" w:color="C62828" w:sz="12"/>
              <w:bottom w:val="single" w:color="C62828" w:sz="1"/>
              <w:right w:val="single" w:color="C62828" w:sz="1"/>
            </w:tcBorders>
            <w:shd w:fill="FFEBEE" w:val="clear"/>
            <w:tcMar>
              <w:top w:type="dxa" w:w="120"/>
              <w:left w:type="dxa" w:w="200"/>
              <w:bottom w:type="dxa" w:w="120"/>
              <w:right w:type="dxa" w:w="120"/>
            </w:tcMar>
          </w:tcPr>
          <w:p>
            <w:pPr>
              <w:spacing w:before="0" w:after="40"/>
            </w:pPr>
            <w:r>
              <w:rPr>
                <w:rFonts w:ascii="Arial" w:cs="Arial" w:eastAsia="Arial" w:hAnsi="Arial"/>
                <w:b/>
                <w:bCs/>
                <w:color w:val="C62828"/>
                <w:sz w:val="22"/>
                <w:szCs w:val="22"/>
              </w:rPr>
              <w:t xml:space="preserve">DAC8 – Kritischer Marktimpuls</w:t>
            </w:r>
          </w:p>
          <w:p>
            <w:pPr>
              <w:spacing w:before="0" w:after="0"/>
            </w:pPr>
            <w:r>
              <w:rPr>
                <w:rFonts w:ascii="Arial" w:cs="Arial" w:eastAsia="Arial" w:hAnsi="Arial"/>
                <w:color w:val="212121"/>
                <w:sz w:val="20"/>
                <w:szCs w:val="20"/>
              </w:rPr>
              <w:t xml:space="preserve">Ab 1. Januar 2026 sind Krypto-Dienstleister (CASPs) in der EU verpflichtet, Nutzerdaten zu Krypto-Transaktionen automatisch an die nationalen Steuerbehörden zu melden (DAC8-Richtlinie). Dies gilt für zentrale Exchanges, nicht für dezentrale DeFi-Protokolle. Jedoch erhöht die DAC8 den Druck auf Privatanleger, ihre DeFi-Transaktionen proaktiv zu melden – da CEX-Daten mit den Finanzamts-Informationen abgeglichen werden. Dieser Compliance-Druck ist der stärkste Treiber für SaaS-Tool-Adoption in 2026.</w:t>
            </w:r>
          </w:p>
        </w:tc>
      </w:tr>
    </w:tbl>
    <w:p>
      <w:r>
        <w:br/>
      </w:r>
    </w:p>
    <w:p>
      <w:pPr>
        <w:pStyle w:val="Heading1"/>
        <w:pBdr>
          <w:bottom w:val="single" w:color="0D47A1" w:sz="4" w:space="6"/>
        </w:pBdr>
        <w:spacing w:before="360" w:after="160"/>
      </w:pPr>
      <w:r>
        <w:rPr>
          <w:rFonts w:ascii="Arial" w:cs="Arial" w:eastAsia="Arial" w:hAnsi="Arial"/>
          <w:b/>
          <w:bCs/>
          <w:color w:val="0D47A1"/>
          <w:sz w:val="36"/>
          <w:szCs w:val="36"/>
        </w:rPr>
        <w:t xml:space="preserve">8. Produktfeatures &amp; Roadmap</w:t>
      </w:r>
    </w:p>
    <w:p>
      <w:pPr>
        <w:pStyle w:val="Heading2"/>
        <w:spacing w:before="280" w:after="120"/>
      </w:pPr>
      <w:r>
        <w:rPr>
          <w:rFonts w:ascii="Arial" w:cs="Arial" w:eastAsia="Arial" w:hAnsi="Arial"/>
          <w:b/>
          <w:bCs/>
          <w:color w:val="0D47A1"/>
          <w:sz w:val="28"/>
          <w:szCs w:val="28"/>
        </w:rPr>
        <w:t xml:space="preserve">8.1 MVP-Featureumfang (Phase 1 – Q3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rPr>
          <w:tblHeader/>
        </w:trPr>
        <w:tc>
          <w:tcPr>
            <w:tcW w:type="dxa" w:w="28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Feature</w:t>
            </w:r>
          </w:p>
        </w:tc>
        <w:tc>
          <w:tcPr>
            <w:tcW w:type="dxa" w:w="40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Beschreibung</w:t>
            </w:r>
          </w:p>
        </w:tc>
        <w:tc>
          <w:tcPr>
            <w:tcW w:type="dxa" w:w="22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Priorität</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Wallet-Import Flare Network</w:t>
            </w:r>
          </w:p>
        </w:tc>
        <w:tc>
          <w:tcPr>
            <w:tcW w:type="dxa" w:w="4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Automatische Sync aller TX von Flare EVM-Wallets</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Kritisch</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SparkDEX V3/V4 Indexer</w:t>
            </w:r>
          </w:p>
        </w:tc>
        <w:tc>
          <w:tcPr>
            <w:tcW w:type="dxa" w:w="4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Vollständige Swap, LP, Farm, Staking TX-Erfassung</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Kritisch</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Ēnosys DEX Indexer</w:t>
            </w:r>
          </w:p>
        </w:tc>
        <w:tc>
          <w:tcPr>
            <w:tcW w:type="dxa" w:w="4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AMM Swaps, CDP-Loans, Farming Rewards</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Kritisch</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Kinetic Market Indexer</w:t>
            </w:r>
          </w:p>
        </w:tc>
        <w:tc>
          <w:tcPr>
            <w:tcW w:type="dxa" w:w="4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Supply, Borrow, Repay, Liquidation Events</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Kritisch</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EUR-Kursbewertung FTSO</w:t>
            </w:r>
          </w:p>
        </w:tc>
        <w:tc>
          <w:tcPr>
            <w:tcW w:type="dxa" w:w="4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Automatische EUR-Bewertung via Flare FTSO</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Kritisch</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CoinTracking CSV Export</w:t>
            </w:r>
          </w:p>
        </w:tc>
        <w:tc>
          <w:tcPr>
            <w:tcW w:type="dxa" w:w="4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Exakter 15-Spalten-CoinTracking-Export</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Kritisch</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FIFO Steuerberechnung</w:t>
            </w:r>
          </w:p>
        </w:tc>
        <w:tc>
          <w:tcPr>
            <w:tcW w:type="dxa" w:w="4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Deutsche Standard-Bewertungsmethode</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Kritisch</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Manuell-Kategorisierung UI</w:t>
            </w:r>
          </w:p>
        </w:tc>
        <w:tc>
          <w:tcPr>
            <w:tcW w:type="dxa" w:w="4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Unbekannte TX manuell klassifizieren</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Hoch</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Steuerreport PDF (DE)</w:t>
            </w:r>
          </w:p>
        </w:tc>
        <w:tc>
          <w:tcPr>
            <w:tcW w:type="dxa" w:w="4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Zusammenfassung für Steuererklärung (Anlage SO)</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Hoch</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DSGVO-Datenlöschung</w:t>
            </w:r>
          </w:p>
        </w:tc>
        <w:tc>
          <w:tcPr>
            <w:tcW w:type="dxa" w:w="4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Vollständige Datenlöschung on-demand</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Hoch</w:t>
            </w:r>
          </w:p>
        </w:tc>
      </w:tr>
    </w:tbl>
    <w:p>
      <w:pPr>
        <w:spacing w:before="120" w:after="0"/>
      </w:pPr>
      <w:r>
        <w:t xml:space="preserve"/>
      </w:r>
    </w:p>
    <w:p>
      <w:pPr>
        <w:pStyle w:val="Heading2"/>
        <w:spacing w:before="280" w:after="120"/>
      </w:pPr>
      <w:r>
        <w:rPr>
          <w:rFonts w:ascii="Arial" w:cs="Arial" w:eastAsia="Arial" w:hAnsi="Arial"/>
          <w:b/>
          <w:bCs/>
          <w:color w:val="0D47A1"/>
          <w:sz w:val="28"/>
          <w:szCs w:val="28"/>
        </w:rPr>
        <w:t xml:space="preserve">8.2 Erweiterungsfeatures (Phase 2 – Q4 2026 / Q1 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rPr>
          <w:tblHeader/>
        </w:trPr>
        <w:tc>
          <w:tcPr>
            <w:tcW w:type="dxa" w:w="28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Feature</w:t>
            </w:r>
          </w:p>
        </w:tc>
        <w:tc>
          <w:tcPr>
            <w:tcW w:type="dxa" w:w="35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Beschreibung</w:t>
            </w:r>
          </w:p>
        </w:tc>
        <w:tc>
          <w:tcPr>
            <w:tcW w:type="dxa" w:w="27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Zielgruppe</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Stargate Bridge Indexer</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Multi-Chain TX-Verknüpfung über LayerZero-ID</w:t>
            </w:r>
          </w:p>
        </w:tc>
        <w:tc>
          <w:tcPr>
            <w:tcW w:type="dxa" w:w="27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Advanced User</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Aave Multi-Chain Indexer</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12 Chain-Integration für Aave V3</w:t>
            </w:r>
          </w:p>
        </w:tc>
        <w:tc>
          <w:tcPr>
            <w:tcW w:type="dxa" w:w="27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Power User</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LIFO/HIFO Steueroptimierung</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Alternative Bewertungsmethoden mit Kalkulator</w:t>
            </w:r>
          </w:p>
        </w:tc>
        <w:tc>
          <w:tcPr>
            <w:tcW w:type="dxa" w:w="27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Steueroptimierung</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ELSTER XML Export</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Direkter Export in ELSTER-kompatibles Format</w:t>
            </w:r>
          </w:p>
        </w:tc>
        <w:tc>
          <w:tcPr>
            <w:tcW w:type="dxa" w:w="27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Steuerberater B2B</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Steuerberater-Portal</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Multi-Mandanten-Verwaltung für Kanzleien</w:t>
            </w:r>
          </w:p>
        </w:tc>
        <w:tc>
          <w:tcPr>
            <w:tcW w:type="dxa" w:w="27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B2B</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Graubereich-Szenario-Rechner</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Konservative vs. liberale LP-Steuerberechnung</w:t>
            </w:r>
          </w:p>
        </w:tc>
        <w:tc>
          <w:tcPr>
            <w:tcW w:type="dxa" w:w="27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Risk Management</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Portfolio-Analytics Dashboard</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P&amp;L, DeFi-Rendite, Risikokennzahlen</w:t>
            </w:r>
          </w:p>
        </w:tc>
        <w:tc>
          <w:tcPr>
            <w:tcW w:type="dxa" w:w="27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Alle</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API für Drittanbieter</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REST-API für Buchhaltungssoftware-Integration</w:t>
            </w:r>
          </w:p>
        </w:tc>
        <w:tc>
          <w:tcPr>
            <w:tcW w:type="dxa" w:w="27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Enterprise</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Wallet-Labeling</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Automatische Erkennung bekannter Protokoll-Contracts</w:t>
            </w:r>
          </w:p>
        </w:tc>
        <w:tc>
          <w:tcPr>
            <w:tcW w:type="dxa" w:w="27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Alle</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Impermanent Loss Report</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Berechnung und steuerliche Einordnung von IL</w:t>
            </w:r>
          </w:p>
        </w:tc>
        <w:tc>
          <w:tcPr>
            <w:tcW w:type="dxa" w:w="27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LP-Nutzer</w:t>
            </w:r>
          </w:p>
        </w:tc>
      </w:tr>
    </w:tbl>
    <w:p>
      <w:pPr>
        <w:spacing w:before="120" w:after="0"/>
      </w:pPr>
      <w:r>
        <w:t xml:space="preserve"/>
      </w:r>
    </w:p>
    <w:p>
      <w:pPr>
        <w:pStyle w:val="Heading2"/>
        <w:spacing w:before="280" w:after="120"/>
      </w:pPr>
      <w:r>
        <w:rPr>
          <w:rFonts w:ascii="Arial" w:cs="Arial" w:eastAsia="Arial" w:hAnsi="Arial"/>
          <w:b/>
          <w:bCs/>
          <w:color w:val="0D47A1"/>
          <w:sz w:val="28"/>
          <w:szCs w:val="28"/>
        </w:rPr>
        <w:t xml:space="preserve">8.3 Preismodell-Empfehlung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2826"/>
      </w:tblGrid>
      <w:tr>
        <w:trPr>
          <w:tblHeader/>
        </w:trPr>
        <w:tc>
          <w:tcPr>
            <w:tcW w:type="dxa" w:w="18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Plan</w:t>
            </w:r>
          </w:p>
        </w:tc>
        <w:tc>
          <w:tcPr>
            <w:tcW w:type="dxa" w:w="18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Preis/Monat</w:t>
            </w:r>
          </w:p>
        </w:tc>
        <w:tc>
          <w:tcPr>
            <w:tcW w:type="dxa" w:w="26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Transaktions-Limit</w:t>
            </w:r>
          </w:p>
        </w:tc>
        <w:tc>
          <w:tcPr>
            <w:tcW w:type="dxa" w:w="28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Features</w:t>
            </w:r>
          </w:p>
        </w:tc>
      </w:tr>
      <w:tr>
        <w:trPr>
          <w:tblHeader w:val="false"/>
        </w:trPr>
        <w:tc>
          <w:tcPr>
            <w:tcW w:type="dxa" w:w="1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Starter</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€ 9,99</w:t>
            </w:r>
          </w:p>
        </w:tc>
        <w:tc>
          <w:tcPr>
            <w:tcW w:type="dxa" w:w="2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200 TX / Jahr</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Flare Network, 1 Wallet, CSV Export, FIFO</w:t>
            </w:r>
          </w:p>
        </w:tc>
      </w:tr>
      <w:tr>
        <w:trPr>
          <w:tblHeader w:val="false"/>
        </w:trPr>
        <w:tc>
          <w:tcPr>
            <w:tcW w:type="dxa" w:w="1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Pro</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€ 29,99</w:t>
            </w:r>
          </w:p>
        </w:tc>
        <w:tc>
          <w:tcPr>
            <w:tcW w:type="dxa" w:w="2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2.000 TX / Jahr</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Alle 6 Protokolle, 5 Wallets, PDF Report, LIFO/HIFO</w:t>
            </w:r>
          </w:p>
        </w:tc>
      </w:tr>
      <w:tr>
        <w:trPr>
          <w:tblHeader w:val="false"/>
        </w:trPr>
        <w:tc>
          <w:tcPr>
            <w:tcW w:type="dxa" w:w="1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Business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€ 79,99</w:t>
            </w:r>
          </w:p>
        </w:tc>
        <w:tc>
          <w:tcPr>
            <w:tcW w:type="dxa" w:w="2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Unbegrenzt</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Multi-Chain, 20 Wallets, ELSTER Export, Priority Support</w:t>
            </w:r>
          </w:p>
        </w:tc>
      </w:tr>
      <w:tr>
        <w:trPr>
          <w:tblHeader w:val="false"/>
        </w:trPr>
        <w:tc>
          <w:tcPr>
            <w:tcW w:type="dxa" w:w="1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Kanzlei (B2B)</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€ 299,99</w:t>
            </w:r>
          </w:p>
        </w:tc>
        <w:tc>
          <w:tcPr>
            <w:tcW w:type="dxa" w:w="2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Unbegrenzt (Multi-Mandant)</w:t>
            </w:r>
          </w:p>
        </w:tc>
        <w:tc>
          <w:tcPr>
            <w:tcW w:type="dxa" w:w="28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Steuerberater-Portal, API, White-Label, SLA</w:t>
            </w:r>
          </w:p>
        </w:tc>
      </w:tr>
    </w:tbl>
    <w:p>
      <w:r>
        <w:br/>
      </w:r>
    </w:p>
    <w:p>
      <w:pPr>
        <w:pStyle w:val="Heading1"/>
        <w:pBdr>
          <w:bottom w:val="single" w:color="0D47A1" w:sz="4" w:space="6"/>
        </w:pBdr>
        <w:spacing w:before="360" w:after="160"/>
      </w:pPr>
      <w:r>
        <w:rPr>
          <w:rFonts w:ascii="Arial" w:cs="Arial" w:eastAsia="Arial" w:hAnsi="Arial"/>
          <w:b/>
          <w:bCs/>
          <w:color w:val="0D47A1"/>
          <w:sz w:val="36"/>
          <w:szCs w:val="36"/>
        </w:rPr>
        <w:t xml:space="preserve">9. Risikoanalyse &amp; Mitigationsstrategien</w:t>
      </w:r>
    </w:p>
    <w:p>
      <w:pPr>
        <w:pStyle w:val="Heading2"/>
        <w:spacing w:before="280" w:after="120"/>
      </w:pPr>
      <w:r>
        <w:rPr>
          <w:rFonts w:ascii="Arial" w:cs="Arial" w:eastAsia="Arial" w:hAnsi="Arial"/>
          <w:b/>
          <w:bCs/>
          <w:color w:val="0D47A1"/>
          <w:sz w:val="28"/>
          <w:szCs w:val="28"/>
        </w:rPr>
        <w:t xml:space="preserve">9.1 Rechtliche Risiken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00"/>
        <w:gridCol w:w="2926"/>
      </w:tblGrid>
      <w:tr>
        <w:trPr>
          <w:tblHeader/>
        </w:trPr>
        <w:tc>
          <w:tcPr>
            <w:tcW w:type="dxa" w:w="28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Risiko</w:t>
            </w:r>
          </w:p>
        </w:tc>
        <w:tc>
          <w:tcPr>
            <w:tcW w:type="dxa" w:w="18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Wahrscheinlichkeit</w:t>
            </w:r>
          </w:p>
        </w:tc>
        <w:tc>
          <w:tcPr>
            <w:tcW w:type="dxa" w:w="15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Impact</w:t>
            </w:r>
          </w:p>
        </w:tc>
        <w:tc>
          <w:tcPr>
            <w:tcW w:type="dxa" w:w="29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Mitigation</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Neue BMF-Richtlinien (Liquidity Mining)</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Hoch (jährlich)</w:t>
            </w:r>
          </w:p>
        </w:tc>
        <w:tc>
          <w:tcPr>
            <w:tcW w:type="dxa" w:w="1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Mittel</w:t>
            </w:r>
          </w:p>
        </w:tc>
        <w:tc>
          <w:tcPr>
            <w:tcW w:type="dxa" w:w="29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Modulares Regelwerk, schnelle Update-Zyklen</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EuGH/BFH-Urteile zu DeFi</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Mittel</w:t>
            </w:r>
          </w:p>
        </w:tc>
        <w:tc>
          <w:tcPr>
            <w:tcW w:type="dxa" w:w="1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Hoch</w:t>
            </w:r>
          </w:p>
        </w:tc>
        <w:tc>
          <w:tcPr>
            <w:tcW w:type="dxa" w:w="29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Rechtsberatungs-Abo, Watchdog-System</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Graubereich LP-Behandlung wird verschärft</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Mittel</w:t>
            </w:r>
          </w:p>
        </w:tc>
        <w:tc>
          <w:tcPr>
            <w:tcW w:type="dxa" w:w="1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Hoch</w:t>
            </w:r>
          </w:p>
        </w:tc>
        <w:tc>
          <w:tcPr>
            <w:tcW w:type="dxa" w:w="29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Dual-Szenario-Rechner im Tool</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MiCA-Erweiterung auf DeFi-Protokolle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Niedrig (2026-2028)</w:t>
            </w:r>
          </w:p>
        </w:tc>
        <w:tc>
          <w:tcPr>
            <w:tcW w:type="dxa" w:w="1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Hoch</w:t>
            </w:r>
          </w:p>
        </w:tc>
        <w:tc>
          <w:tcPr>
            <w:tcW w:type="dxa" w:w="29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Frühzeitiges Monitoring EU-Rechtsakte</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DAC8-Ausweitung auf DEX</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Niedrig (langfristig)</w:t>
            </w:r>
          </w:p>
        </w:tc>
        <w:tc>
          <w:tcPr>
            <w:tcW w:type="dxa" w:w="1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Sehr Hoch</w:t>
            </w:r>
          </w:p>
        </w:tc>
        <w:tc>
          <w:tcPr>
            <w:tcW w:type="dxa" w:w="29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Compliance-Roadmap vorbereiten</w:t>
            </w:r>
          </w:p>
        </w:tc>
      </w:tr>
    </w:tbl>
    <w:p>
      <w:pPr>
        <w:spacing w:before="80" w:after="0"/>
      </w:pPr>
      <w:r>
        <w:t xml:space="preserve"/>
      </w:r>
    </w:p>
    <w:p>
      <w:pPr>
        <w:pStyle w:val="Heading2"/>
        <w:spacing w:before="280" w:after="120"/>
      </w:pPr>
      <w:r>
        <w:rPr>
          <w:rFonts w:ascii="Arial" w:cs="Arial" w:eastAsia="Arial" w:hAnsi="Arial"/>
          <w:b/>
          <w:bCs/>
          <w:color w:val="0D47A1"/>
          <w:sz w:val="28"/>
          <w:szCs w:val="28"/>
        </w:rPr>
        <w:t xml:space="preserve">9.2 Technische Risiken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00"/>
        <w:gridCol w:w="2926"/>
      </w:tblGrid>
      <w:tr>
        <w:trPr>
          <w:tblHeader/>
        </w:trPr>
        <w:tc>
          <w:tcPr>
            <w:tcW w:type="dxa" w:w="28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Risiko</w:t>
            </w:r>
          </w:p>
        </w:tc>
        <w:tc>
          <w:tcPr>
            <w:tcW w:type="dxa" w:w="18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Wahrscheinlichkeit</w:t>
            </w:r>
          </w:p>
        </w:tc>
        <w:tc>
          <w:tcPr>
            <w:tcW w:type="dxa" w:w="15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Impact</w:t>
            </w:r>
          </w:p>
        </w:tc>
        <w:tc>
          <w:tcPr>
            <w:tcW w:type="dxa" w:w="29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Mitigation</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Protokoll-Upgrades brechen Indexer</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Hoch</w:t>
            </w:r>
          </w:p>
        </w:tc>
        <w:tc>
          <w:tcPr>
            <w:tcW w:type="dxa" w:w="1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Hoch</w:t>
            </w:r>
          </w:p>
        </w:tc>
        <w:tc>
          <w:tcPr>
            <w:tcW w:type="dxa" w:w="29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Versioniertes ABI-Management, Upgrade-Monitoring</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The Graph Subgraph Ausfälle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Mittel</w:t>
            </w:r>
          </w:p>
        </w:tc>
        <w:tc>
          <w:tcPr>
            <w:tcW w:type="dxa" w:w="1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Mittel</w:t>
            </w:r>
          </w:p>
        </w:tc>
        <w:tc>
          <w:tcPr>
            <w:tcW w:type="dxa" w:w="29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Direkter RPC-Fallback, Multi-Source-Strategie</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Cross-Chain TX-Verknüpfung fehlerhaft</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Mittel</w:t>
            </w:r>
          </w:p>
        </w:tc>
        <w:tc>
          <w:tcPr>
            <w:tcW w:type="dxa" w:w="1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Hoch</w:t>
            </w:r>
          </w:p>
        </w:tc>
        <w:tc>
          <w:tcPr>
            <w:tcW w:type="dxa" w:w="29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LayerZero API + manuelle Überprüfung</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Blockchain-Reorganisation (Reorgs)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Niedrig</w:t>
            </w:r>
          </w:p>
        </w:tc>
        <w:tc>
          <w:tcPr>
            <w:tcW w:type="dxa" w:w="1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Hoch</w:t>
            </w:r>
          </w:p>
        </w:tc>
        <w:tc>
          <w:tcPr>
            <w:tcW w:type="dxa" w:w="29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Konfirmations-Threshold (&gt; 6 Blöcke) abwarten</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Preisfeed-Manipulation (FTSO)</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Sehr Niedrig</w:t>
            </w:r>
          </w:p>
        </w:tc>
        <w:tc>
          <w:tcPr>
            <w:tcW w:type="dxa" w:w="1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Hoch</w:t>
            </w:r>
          </w:p>
        </w:tc>
        <w:tc>
          <w:tcPr>
            <w:tcW w:type="dxa" w:w="29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Multi-Quellen-Plausibilitätsprüfung</w:t>
            </w:r>
          </w:p>
        </w:tc>
      </w:tr>
    </w:tbl>
    <w:p>
      <w:pPr>
        <w:spacing w:before="80" w:after="0"/>
      </w:pPr>
      <w:r>
        <w:t xml:space="preserve"/>
      </w:r>
    </w:p>
    <w:p>
      <w:pPr>
        <w:pStyle w:val="Heading2"/>
        <w:spacing w:before="280" w:after="120"/>
      </w:pPr>
      <w:r>
        <w:rPr>
          <w:rFonts w:ascii="Arial" w:cs="Arial" w:eastAsia="Arial" w:hAnsi="Arial"/>
          <w:b/>
          <w:bCs/>
          <w:color w:val="0D47A1"/>
          <w:sz w:val="28"/>
          <w:szCs w:val="28"/>
        </w:rPr>
        <w:t xml:space="preserve">9.3 Marktrisiken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00"/>
        <w:gridCol w:w="2926"/>
      </w:tblGrid>
      <w:tr>
        <w:trPr>
          <w:tblHeader/>
        </w:trPr>
        <w:tc>
          <w:tcPr>
            <w:tcW w:type="dxa" w:w="28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Risiko</w:t>
            </w:r>
          </w:p>
        </w:tc>
        <w:tc>
          <w:tcPr>
            <w:tcW w:type="dxa" w:w="18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Wahrscheinlichkeit</w:t>
            </w:r>
          </w:p>
        </w:tc>
        <w:tc>
          <w:tcPr>
            <w:tcW w:type="dxa" w:w="15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Impact</w:t>
            </w:r>
          </w:p>
        </w:tc>
        <w:tc>
          <w:tcPr>
            <w:tcW w:type="dxa" w:w="29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Mitigation</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CoinTracking ändert CSV-Format</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Niedrig</w:t>
            </w:r>
          </w:p>
        </w:tc>
        <w:tc>
          <w:tcPr>
            <w:tcW w:type="dxa" w:w="1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Hoch</w:t>
            </w:r>
          </w:p>
        </w:tc>
        <w:tc>
          <w:tcPr>
            <w:tcW w:type="dxa" w:w="29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Format-Abstraktionsschicht, Config-getrieben</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Neue Konkurrenten (Blockpit, Koinly) mit Flare-Support</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Mittel</w:t>
            </w:r>
          </w:p>
        </w:tc>
        <w:tc>
          <w:tcPr>
            <w:tcW w:type="dxa" w:w="1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Mittel</w:t>
            </w:r>
          </w:p>
        </w:tc>
        <w:tc>
          <w:tcPr>
            <w:tcW w:type="dxa" w:w="29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First-Mover-Vorteil nutzen, schnelle Marktentwicklung</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Flare-Ökosystem wächst nicht wie erwartet</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Mittel</w:t>
            </w:r>
          </w:p>
        </w:tc>
        <w:tc>
          <w:tcPr>
            <w:tcW w:type="dxa" w:w="1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Hoch</w:t>
            </w:r>
          </w:p>
        </w:tc>
        <w:tc>
          <w:tcPr>
            <w:tcW w:type="dxa" w:w="29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Multi-Chain-Strategie (Aave, Stargate) als Hedge</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Regulatorischer Krypto-Winter (EU)</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Niedrig</w:t>
            </w:r>
          </w:p>
        </w:tc>
        <w:tc>
          <w:tcPr>
            <w:tcW w:type="dxa" w:w="1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Sehr Hoch</w:t>
            </w:r>
          </w:p>
        </w:tc>
        <w:tc>
          <w:tcPr>
            <w:tcW w:type="dxa" w:w="29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Diversifizierung auf steuerlich-sichere Nutzung</w:t>
            </w:r>
          </w:p>
        </w:tc>
      </w:tr>
    </w:tbl>
    <w:p>
      <w:r>
        <w:br/>
      </w:r>
    </w:p>
    <w:p>
      <w:pPr>
        <w:pStyle w:val="Heading1"/>
        <w:pBdr>
          <w:bottom w:val="single" w:color="0D47A1" w:sz="4" w:space="6"/>
        </w:pBdr>
        <w:spacing w:before="360" w:after="160"/>
      </w:pPr>
      <w:r>
        <w:rPr>
          <w:rFonts w:ascii="Arial" w:cs="Arial" w:eastAsia="Arial" w:hAnsi="Arial"/>
          <w:b/>
          <w:bCs/>
          <w:color w:val="0D47A1"/>
          <w:sz w:val="36"/>
          <w:szCs w:val="36"/>
        </w:rPr>
        <w:t xml:space="preserve">10. Implementierungsplan &amp; Ressourcenbedarf</w:t>
      </w:r>
    </w:p>
    <w:p>
      <w:pPr>
        <w:pStyle w:val="Heading2"/>
        <w:spacing w:before="280" w:after="120"/>
      </w:pPr>
      <w:r>
        <w:rPr>
          <w:rFonts w:ascii="Arial" w:cs="Arial" w:eastAsia="Arial" w:hAnsi="Arial"/>
          <w:b/>
          <w:bCs/>
          <w:color w:val="0D47A1"/>
          <w:sz w:val="28"/>
          <w:szCs w:val="28"/>
        </w:rPr>
        <w:t xml:space="preserve">10.1 Projektphasen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500"/>
        <w:gridCol w:w="2226"/>
      </w:tblGrid>
      <w:tr>
        <w:trPr>
          <w:tblHeader/>
        </w:trPr>
        <w:tc>
          <w:tcPr>
            <w:tcW w:type="dxa" w:w="15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Phase</w:t>
            </w:r>
          </w:p>
        </w:tc>
        <w:tc>
          <w:tcPr>
            <w:tcW w:type="dxa" w:w="18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Zeitraum</w:t>
            </w:r>
          </w:p>
        </w:tc>
        <w:tc>
          <w:tcPr>
            <w:tcW w:type="dxa" w:w="35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Inhalt</w:t>
            </w:r>
          </w:p>
        </w:tc>
        <w:tc>
          <w:tcPr>
            <w:tcW w:type="dxa" w:w="22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Ressourcen</w:t>
            </w:r>
          </w:p>
        </w:tc>
      </w:tr>
      <w:tr>
        <w:trPr>
          <w:tblHeader w:val="false"/>
        </w:trPr>
        <w:tc>
          <w:tcPr>
            <w:tcW w:type="dxa" w:w="1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Phase 0: Discovery</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April 2026 (4 Wochen)</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Technische Architektur, Smart-Contract-ABI-Sammlung, Steuerrechts-Validierung</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1 Backend-Dev, 1 Rechtsberater</w:t>
            </w:r>
          </w:p>
        </w:tc>
      </w:tr>
      <w:tr>
        <w:trPr>
          <w:tblHeader w:val="false"/>
        </w:trPr>
        <w:tc>
          <w:tcPr>
            <w:tcW w:type="dxa" w:w="1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Phase 1: MVP</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Mai–Juli 2026 (12 Wochen)</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Flare-Indexer, SparkDEX+Ēnosys+Kinetic Integration, CoinTracking CSV, FIFO, Basic UI</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2 Backend, 1 Frontend, 1 DevOps</w:t>
            </w:r>
          </w:p>
        </w:tc>
      </w:tr>
      <w:tr>
        <w:trPr>
          <w:tblHeader w:val="false"/>
        </w:trPr>
        <w:tc>
          <w:tcPr>
            <w:tcW w:type="dxa" w:w="1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Phase 2: Beta</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August 2026 (4 Wochen)</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Beta-Test mit 50 Early-Adoptern, Bug-Fixing, Steuerberater-Feedback</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1 QA, 2 Dev, 1 Steuerberater</w:t>
            </w:r>
          </w:p>
        </w:tc>
      </w:tr>
      <w:tr>
        <w:trPr>
          <w:tblHeader w:val="false"/>
        </w:trPr>
        <w:tc>
          <w:tcPr>
            <w:tcW w:type="dxa" w:w="1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Phase 3: Launch</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September 2026</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Public Launch, Marketing, Pricing-Aktivierung</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Full Team + Marketing</w:t>
            </w:r>
          </w:p>
        </w:tc>
      </w:tr>
      <w:tr>
        <w:trPr>
          <w:tblHeader w:val="false"/>
        </w:trPr>
        <w:tc>
          <w:tcPr>
            <w:tcW w:type="dxa" w:w="1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Phase 4: Skalierung</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Q4 2026 – Q1 2027</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Aave Multi-Chain, Stargate, ELSTER Export, B2B-Portal</w:t>
            </w:r>
          </w:p>
        </w:tc>
        <w:tc>
          <w:tcPr>
            <w:tcW w:type="dxa" w:w="22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Team-Erweiterung</w:t>
            </w:r>
          </w:p>
        </w:tc>
      </w:tr>
    </w:tbl>
    <w:p>
      <w:pPr>
        <w:spacing w:before="80" w:after="0"/>
      </w:pPr>
      <w:r>
        <w:t xml:space="preserve"/>
      </w:r>
    </w:p>
    <w:p>
      <w:pPr>
        <w:pStyle w:val="Heading2"/>
        <w:spacing w:before="280" w:after="120"/>
      </w:pPr>
      <w:r>
        <w:rPr>
          <w:rFonts w:ascii="Arial" w:cs="Arial" w:eastAsia="Arial" w:hAnsi="Arial"/>
          <w:b/>
          <w:bCs/>
          <w:color w:val="0D47A1"/>
          <w:sz w:val="28"/>
          <w:szCs w:val="28"/>
        </w:rPr>
        <w:t xml:space="preserve">10.2 Geschätzter Ressourcenbedarf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Position</w:t>
            </w:r>
          </w:p>
        </w:tc>
        <w:tc>
          <w:tcPr>
            <w:tcW w:type="dxa" w:w="25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Aufwand (Personenmonate)</w:t>
            </w:r>
          </w:p>
        </w:tc>
        <w:tc>
          <w:tcPr>
            <w:tcW w:type="dxa" w:w="30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Kosten (Schätzung)</w:t>
            </w:r>
          </w:p>
        </w:tc>
      </w:tr>
      <w:tr>
        <w:trPr>
          <w:tblHeader w:val="false"/>
        </w:trPr>
        <w:tc>
          <w:tcPr>
            <w:tcW w:type="dxa" w:w="3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Senior Backend-Entwickler (Blockchain)</w:t>
            </w:r>
          </w:p>
        </w:tc>
        <w:tc>
          <w:tcPr>
            <w:tcW w:type="dxa" w:w="2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4 PM</w:t>
            </w:r>
          </w:p>
        </w:tc>
        <w:tc>
          <w:tcPr>
            <w:tcW w:type="dxa" w:w="3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€ 24.000 – € 32.000</w:t>
            </w:r>
          </w:p>
        </w:tc>
      </w:tr>
      <w:tr>
        <w:trPr>
          <w:tblHeader w:val="false"/>
        </w:trPr>
        <w:tc>
          <w:tcPr>
            <w:tcW w:type="dxa" w:w="3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Backend-Entwickler (Node.js / API)</w:t>
            </w:r>
          </w:p>
        </w:tc>
        <w:tc>
          <w:tcPr>
            <w:tcW w:type="dxa" w:w="2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3 PM</w:t>
            </w:r>
          </w:p>
        </w:tc>
        <w:tc>
          <w:tcPr>
            <w:tcW w:type="dxa" w:w="3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€ 15.000 – € 21.000</w:t>
            </w:r>
          </w:p>
        </w:tc>
      </w:tr>
      <w:tr>
        <w:trPr>
          <w:tblHeader w:val="false"/>
        </w:trPr>
        <w:tc>
          <w:tcPr>
            <w:tcW w:type="dxa" w:w="3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Frontend-Entwickler (Next.js)</w:t>
            </w:r>
          </w:p>
        </w:tc>
        <w:tc>
          <w:tcPr>
            <w:tcW w:type="dxa" w:w="2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2 PM</w:t>
            </w:r>
          </w:p>
        </w:tc>
        <w:tc>
          <w:tcPr>
            <w:tcW w:type="dxa" w:w="3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€ 10.000 – € 14.000</w:t>
            </w:r>
          </w:p>
        </w:tc>
      </w:tr>
      <w:tr>
        <w:trPr>
          <w:tblHeader w:val="false"/>
        </w:trPr>
        <w:tc>
          <w:tcPr>
            <w:tcW w:type="dxa" w:w="3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DevOps / Cloud-Infrastruktur</w:t>
            </w:r>
          </w:p>
        </w:tc>
        <w:tc>
          <w:tcPr>
            <w:tcW w:type="dxa" w:w="2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1 PM</w:t>
            </w:r>
          </w:p>
        </w:tc>
        <w:tc>
          <w:tcPr>
            <w:tcW w:type="dxa" w:w="3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€ 4.000 – € 6.000</w:t>
            </w:r>
          </w:p>
        </w:tc>
      </w:tr>
      <w:tr>
        <w:trPr>
          <w:tblHeader w:val="false"/>
        </w:trPr>
        <w:tc>
          <w:tcPr>
            <w:tcW w:type="dxa" w:w="3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Steuerberater (Krypto-spezialisiert)</w:t>
            </w:r>
          </w:p>
        </w:tc>
        <w:tc>
          <w:tcPr>
            <w:tcW w:type="dxa" w:w="2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0.5 PM</w:t>
            </w:r>
          </w:p>
        </w:tc>
        <w:tc>
          <w:tcPr>
            <w:tcW w:type="dxa" w:w="3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€ 5.000 – € 8.000</w:t>
            </w:r>
          </w:p>
        </w:tc>
      </w:tr>
      <w:tr>
        <w:trPr>
          <w:tblHeader w:val="false"/>
        </w:trPr>
        <w:tc>
          <w:tcPr>
            <w:tcW w:type="dxa" w:w="3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QA &amp; Testing</w:t>
            </w:r>
          </w:p>
        </w:tc>
        <w:tc>
          <w:tcPr>
            <w:tcW w:type="dxa" w:w="2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1 PM</w:t>
            </w:r>
          </w:p>
        </w:tc>
        <w:tc>
          <w:tcPr>
            <w:tcW w:type="dxa" w:w="3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€ 4.000 – € 6.000</w:t>
            </w:r>
          </w:p>
        </w:tc>
      </w:tr>
      <w:tr>
        <w:trPr>
          <w:tblHeader w:val="false"/>
        </w:trPr>
        <w:tc>
          <w:tcPr>
            <w:tcW w:type="dxa" w:w="35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Gesamtschätzung MVP</w:t>
            </w:r>
          </w:p>
        </w:tc>
        <w:tc>
          <w:tcPr>
            <w:tcW w:type="dxa" w:w="2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11.5 PM</w:t>
            </w:r>
          </w:p>
        </w:tc>
        <w:tc>
          <w:tcPr>
            <w:tcW w:type="dxa" w:w="3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€ 62.000 – € 87.000</w:t>
            </w:r>
          </w:p>
        </w:tc>
      </w:tr>
    </w:tbl>
    <w:p>
      <w:r>
        <w:br/>
      </w:r>
    </w:p>
    <w:p>
      <w:pPr>
        <w:pStyle w:val="Heading1"/>
        <w:pBdr>
          <w:bottom w:val="single" w:color="0D47A1" w:sz="4" w:space="6"/>
        </w:pBdr>
        <w:spacing w:before="360" w:after="160"/>
      </w:pPr>
      <w:r>
        <w:rPr>
          <w:rFonts w:ascii="Arial" w:cs="Arial" w:eastAsia="Arial" w:hAnsi="Arial"/>
          <w:b/>
          <w:bCs/>
          <w:color w:val="0D47A1"/>
          <w:sz w:val="36"/>
          <w:szCs w:val="36"/>
        </w:rPr>
        <w:t xml:space="preserve">11. Strategische Empfehlungen für NextGen IT Solutions GmbH</w:t>
      </w:r>
    </w:p>
    <w:p>
      <w:pPr>
        <w:pStyle w:val="Heading2"/>
        <w:spacing w:before="280" w:after="120"/>
      </w:pPr>
      <w:r>
        <w:rPr>
          <w:rFonts w:ascii="Arial" w:cs="Arial" w:eastAsia="Arial" w:hAnsi="Arial"/>
          <w:b/>
          <w:bCs/>
          <w:color w:val="0D47A1"/>
          <w:sz w:val="28"/>
          <w:szCs w:val="28"/>
        </w:rPr>
        <w:t xml:space="preserve">11.1 Go/No-Go Entscheidung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1"/>
              <w:left w:val="thick" w:color="2E7D32" w:sz="12"/>
              <w:bottom w:val="single" w:color="2E7D32" w:sz="1"/>
              <w:right w:val="single" w:color="2E7D32" w:sz="1"/>
            </w:tcBorders>
            <w:shd w:fill="E8F5E9" w:val="clear"/>
            <w:tcMar>
              <w:top w:type="dxa" w:w="120"/>
              <w:left w:type="dxa" w:w="200"/>
              <w:bottom w:type="dxa" w:w="120"/>
              <w:right w:type="dxa" w:w="120"/>
            </w:tcMar>
          </w:tcPr>
          <w:p>
            <w:pPr>
              <w:spacing w:before="0" w:after="40"/>
            </w:pPr>
            <w:r>
              <w:rPr>
                <w:rFonts w:ascii="Arial" w:cs="Arial" w:eastAsia="Arial" w:hAnsi="Arial"/>
                <w:b/>
                <w:bCs/>
                <w:color w:val="2E7D32"/>
                <w:sz w:val="22"/>
                <w:szCs w:val="22"/>
              </w:rPr>
              <w:t xml:space="preserve">EMPFEHLUNG: GO – Entwicklung empfohlen</w:t>
            </w:r>
          </w:p>
          <w:p>
            <w:pPr>
              <w:spacing w:before="0" w:after="0"/>
            </w:pPr>
            <w:r>
              <w:rPr>
                <w:rFonts w:ascii="Arial" w:cs="Arial" w:eastAsia="Arial" w:hAnsi="Arial"/>
                <w:color w:val="212121"/>
                <w:sz w:val="20"/>
                <w:szCs w:val="20"/>
              </w:rPr>
              <w:t xml:space="preserve">Die Analyse ergibt ein klares Bild: Der Marktbedarf ist akut (DAC8-Druck ab 2026), die technische Machbarkeit ist gegeben (EVM + The Graph + FTSO), und kein aktueller Wettbewerber deckt das Flare-Ökosystem mit deutschlandkonformem Steuertracking ab. Als Stuttgarter IT-Dienstleister mit DeFi-Expertise positioniert NextGen IT Solutions GmbH sich als First Mover in einem wachstumsstarken Nischensegment.</w:t>
            </w:r>
          </w:p>
        </w:tc>
      </w:tr>
    </w:tbl>
    <w:p>
      <w:pPr>
        <w:spacing w:before="80" w:after="0"/>
      </w:pPr>
      <w:r>
        <w:t xml:space="preserve"/>
      </w:r>
    </w:p>
    <w:p>
      <w:pPr>
        <w:pStyle w:val="Heading2"/>
        <w:spacing w:before="280" w:after="120"/>
      </w:pPr>
      <w:r>
        <w:rPr>
          <w:rFonts w:ascii="Arial" w:cs="Arial" w:eastAsia="Arial" w:hAnsi="Arial"/>
          <w:b/>
          <w:bCs/>
          <w:color w:val="0D47A1"/>
          <w:sz w:val="28"/>
          <w:szCs w:val="28"/>
        </w:rPr>
        <w:t xml:space="preserve">11.2 Kurzfristige Maßnahmen (30 Tage)</w:t>
      </w:r>
    </w:p>
    <w:p>
      <w:pPr>
        <w:pStyle w:val="ListParagraph"/>
        <w:numPr>
          <w:ilvl w:val="0"/>
          <w:numId w:val="3"/>
        </w:numPr>
        <w:spacing w:before="40" w:after="40"/>
      </w:pPr>
      <w:r>
        <w:rPr>
          <w:rFonts w:ascii="Arial" w:cs="Arial" w:eastAsia="Arial" w:hAnsi="Arial"/>
          <w:b w:val="false"/>
          <w:bCs w:val="false"/>
          <w:color w:val="212121"/>
          <w:sz w:val="22"/>
          <w:szCs w:val="22"/>
        </w:rPr>
        <w:t xml:space="preserve">Rechtsvalidierung: Beauftragung eines auf Krypto-Steuer spezialisierten Steuerberaters zur Validierung des LP/CDP-Mappings</w:t>
      </w:r>
    </w:p>
    <w:p>
      <w:pPr>
        <w:pStyle w:val="ListParagraph"/>
        <w:numPr>
          <w:ilvl w:val="0"/>
          <w:numId w:val="3"/>
        </w:numPr>
        <w:spacing w:before="40" w:after="40"/>
      </w:pPr>
      <w:r>
        <w:rPr>
          <w:rFonts w:ascii="Arial" w:cs="Arial" w:eastAsia="Arial" w:hAnsi="Arial"/>
          <w:b w:val="false"/>
          <w:bCs w:val="false"/>
          <w:color w:val="212121"/>
          <w:sz w:val="22"/>
          <w:szCs w:val="22"/>
        </w:rPr>
        <w:t xml:space="preserve">MVP-Scope-Finalisierung: Definition des genauen Feature-Sets für den September-2026-Launch</w:t>
      </w:r>
    </w:p>
    <w:p>
      <w:pPr>
        <w:pStyle w:val="ListParagraph"/>
        <w:numPr>
          <w:ilvl w:val="0"/>
          <w:numId w:val="3"/>
        </w:numPr>
        <w:spacing w:before="40" w:after="40"/>
      </w:pPr>
      <w:r>
        <w:rPr>
          <w:rFonts w:ascii="Arial" w:cs="Arial" w:eastAsia="Arial" w:hAnsi="Arial"/>
          <w:b w:val="false"/>
          <w:bCs w:val="false"/>
          <w:color w:val="212121"/>
          <w:sz w:val="22"/>
          <w:szCs w:val="22"/>
        </w:rPr>
        <w:t xml:space="preserve">Subgraph-Audit: Prüfung verfügbarer The Graph Subgraphs für SparkDEX V4 und Ēnosys V3</w:t>
      </w:r>
    </w:p>
    <w:p>
      <w:pPr>
        <w:pStyle w:val="ListParagraph"/>
        <w:numPr>
          <w:ilvl w:val="0"/>
          <w:numId w:val="3"/>
        </w:numPr>
        <w:spacing w:before="40" w:after="40"/>
      </w:pPr>
      <w:r>
        <w:rPr>
          <w:rFonts w:ascii="Arial" w:cs="Arial" w:eastAsia="Arial" w:hAnsi="Arial"/>
          <w:b w:val="false"/>
          <w:bCs w:val="false"/>
          <w:color w:val="212121"/>
          <w:sz w:val="22"/>
          <w:szCs w:val="22"/>
        </w:rPr>
        <w:t xml:space="preserve">Wettbewerbsmonitoring: Tracking ob Blockpit/Koinly Flare-Support ankündigen</w:t>
      </w:r>
    </w:p>
    <w:p>
      <w:pPr>
        <w:pStyle w:val="ListParagraph"/>
        <w:numPr>
          <w:ilvl w:val="0"/>
          <w:numId w:val="3"/>
        </w:numPr>
        <w:spacing w:before="40" w:after="40"/>
      </w:pPr>
      <w:r>
        <w:rPr>
          <w:rFonts w:ascii="Arial" w:cs="Arial" w:eastAsia="Arial" w:hAnsi="Arial"/>
          <w:b w:val="false"/>
          <w:bCs w:val="false"/>
          <w:color w:val="212121"/>
          <w:sz w:val="22"/>
          <w:szCs w:val="22"/>
        </w:rPr>
        <w:t xml:space="preserve">Erste Nutzerinterviews: 10 DeFi-Nutzer auf dem Flare Network zu ihren Tracking-Problemen befragen</w:t>
      </w:r>
    </w:p>
    <w:p>
      <w:pPr>
        <w:spacing w:before="80" w:after="0"/>
      </w:pPr>
      <w:r>
        <w:t xml:space="preserve"/>
      </w:r>
    </w:p>
    <w:p>
      <w:pPr>
        <w:pStyle w:val="Heading2"/>
        <w:spacing w:before="280" w:after="120"/>
      </w:pPr>
      <w:r>
        <w:rPr>
          <w:rFonts w:ascii="Arial" w:cs="Arial" w:eastAsia="Arial" w:hAnsi="Arial"/>
          <w:b/>
          <w:bCs/>
          <w:color w:val="0D47A1"/>
          <w:sz w:val="28"/>
          <w:szCs w:val="28"/>
        </w:rPr>
        <w:t xml:space="preserve">11.3 Mittelfristige Strategie (6–12 Monate)</w:t>
      </w:r>
    </w:p>
    <w:p>
      <w:pPr>
        <w:pStyle w:val="ListParagraph"/>
        <w:numPr>
          <w:ilvl w:val="0"/>
          <w:numId w:val="2"/>
        </w:numPr>
        <w:spacing w:before="40" w:after="40"/>
      </w:pPr>
      <w:r>
        <w:rPr>
          <w:rFonts w:ascii="Arial" w:cs="Arial" w:eastAsia="Arial" w:hAnsi="Arial"/>
          <w:b w:val="false"/>
          <w:bCs w:val="false"/>
          <w:color w:val="212121"/>
          <w:sz w:val="22"/>
          <w:szCs w:val="22"/>
        </w:rPr>
        <w:t xml:space="preserve">Partnership mit Flare Network Foundation: Grants-Programm nutzen, Co-Marketing-Opportunity</w:t>
      </w:r>
    </w:p>
    <w:p>
      <w:pPr>
        <w:pStyle w:val="ListParagraph"/>
        <w:numPr>
          <w:ilvl w:val="0"/>
          <w:numId w:val="2"/>
        </w:numPr>
        <w:spacing w:before="40" w:after="40"/>
      </w:pPr>
      <w:r>
        <w:rPr>
          <w:rFonts w:ascii="Arial" w:cs="Arial" w:eastAsia="Arial" w:hAnsi="Arial"/>
          <w:b w:val="false"/>
          <w:bCs w:val="false"/>
          <w:color w:val="212121"/>
          <w:sz w:val="22"/>
          <w:szCs w:val="22"/>
        </w:rPr>
        <w:t xml:space="preserve">Integration in CoinTracking API: Zertifizierter Import-Partner von CoinTracking werden</w:t>
      </w:r>
    </w:p>
    <w:p>
      <w:pPr>
        <w:pStyle w:val="ListParagraph"/>
        <w:numPr>
          <w:ilvl w:val="0"/>
          <w:numId w:val="2"/>
        </w:numPr>
        <w:spacing w:before="40" w:after="40"/>
      </w:pPr>
      <w:r>
        <w:rPr>
          <w:rFonts w:ascii="Arial" w:cs="Arial" w:eastAsia="Arial" w:hAnsi="Arial"/>
          <w:b w:val="false"/>
          <w:bCs w:val="false"/>
          <w:color w:val="212121"/>
          <w:sz w:val="22"/>
          <w:szCs w:val="22"/>
        </w:rPr>
        <w:t xml:space="preserve">B2B-Partnerschaft mit Steuerberatungskanzleien: White-Label-Option oder Partnervertrieb</w:t>
      </w:r>
    </w:p>
    <w:p>
      <w:pPr>
        <w:pStyle w:val="ListParagraph"/>
        <w:numPr>
          <w:ilvl w:val="0"/>
          <w:numId w:val="2"/>
        </w:numPr>
        <w:spacing w:before="40" w:after="40"/>
      </w:pPr>
      <w:r>
        <w:rPr>
          <w:rFonts w:ascii="Arial" w:cs="Arial" w:eastAsia="Arial" w:hAnsi="Arial"/>
          <w:b w:val="false"/>
          <w:bCs w:val="false"/>
          <w:color w:val="212121"/>
          <w:sz w:val="22"/>
          <w:szCs w:val="22"/>
        </w:rPr>
        <w:t xml:space="preserve">Community-Aufbau: Präsenz in deutschen Krypto-Communities (Blocktrainer Forum, CoinTracking Forum)</w:t>
      </w:r>
    </w:p>
    <w:p>
      <w:pPr>
        <w:pStyle w:val="ListParagraph"/>
        <w:numPr>
          <w:ilvl w:val="0"/>
          <w:numId w:val="2"/>
        </w:numPr>
        <w:spacing w:before="40" w:after="40"/>
      </w:pPr>
      <w:r>
        <w:rPr>
          <w:rFonts w:ascii="Arial" w:cs="Arial" w:eastAsia="Arial" w:hAnsi="Arial"/>
          <w:b w:val="false"/>
          <w:bCs w:val="false"/>
          <w:color w:val="212121"/>
          <w:sz w:val="22"/>
          <w:szCs w:val="22"/>
        </w:rPr>
        <w:t xml:space="preserve">Datenschutz als USP: BSI-Grundschutz-konformes Hosting aktiv vermarkten</w:t>
      </w:r>
    </w:p>
    <w:p>
      <w:pPr>
        <w:spacing w:before="80" w:after="0"/>
      </w:pPr>
      <w:r>
        <w:t xml:space="preserve"/>
      </w:r>
    </w:p>
    <w:p>
      <w:pPr>
        <w:pStyle w:val="Heading2"/>
        <w:spacing w:before="280" w:after="120"/>
      </w:pPr>
      <w:r>
        <w:rPr>
          <w:rFonts w:ascii="Arial" w:cs="Arial" w:eastAsia="Arial" w:hAnsi="Arial"/>
          <w:b/>
          <w:bCs/>
          <w:color w:val="0D47A1"/>
          <w:sz w:val="28"/>
          <w:szCs w:val="28"/>
        </w:rPr>
        <w:t xml:space="preserve">11.4 Kritische Erfolgsfaktoren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rPr>
          <w:tblHeader/>
        </w:trPr>
        <w:tc>
          <w:tcPr>
            <w:tcW w:type="dxa" w:w="28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Erfolgsfaktor</w:t>
            </w:r>
          </w:p>
        </w:tc>
        <w:tc>
          <w:tcPr>
            <w:tcW w:type="dxa" w:w="35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Maßnahme</w:t>
            </w:r>
          </w:p>
        </w:tc>
        <w:tc>
          <w:tcPr>
            <w:tcW w:type="dxa" w:w="27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Verantwortung</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Steuerrechts-Aktualität</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Jährliches Update aller Mappings nach neuen BMF-Schreiben</w:t>
            </w:r>
          </w:p>
        </w:tc>
        <w:tc>
          <w:tcPr>
            <w:tcW w:type="dxa" w:w="27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Steuerberater + CTO</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Datenqualität</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Zero-Fehler-Toleranz bei EUR-Kursbewertung</w:t>
            </w:r>
          </w:p>
        </w:tc>
        <w:tc>
          <w:tcPr>
            <w:tcW w:type="dxa" w:w="27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Backend-Team</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Nutzerfreundlichkeit</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Onboarding in &lt; 5 Minuten (Wallet verbinden → erster Export)</w:t>
            </w:r>
          </w:p>
        </w:tc>
        <w:tc>
          <w:tcPr>
            <w:tcW w:type="dxa" w:w="27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Product Owner</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Time-to-Market</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MVP bis September 2026 – vor DAC8-Hochsaison (Steuererklärung 2026)</w:t>
            </w:r>
          </w:p>
        </w:tc>
        <w:tc>
          <w:tcPr>
            <w:tcW w:type="dxa" w:w="27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Projektleitung</w:t>
            </w:r>
          </w:p>
        </w:tc>
      </w:tr>
      <w:tr>
        <w:trPr>
          <w:tblHeader w:val="false"/>
        </w:trPr>
        <w:tc>
          <w:tcPr>
            <w:tcW w:type="dxa" w:w="28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Rechtssicherheit</w:t>
            </w:r>
          </w:p>
        </w:tc>
        <w:tc>
          <w:tcPr>
            <w:tcW w:type="dxa" w:w="35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Klare Disclaimer für Graubereichs-Transaktionen</w:t>
            </w:r>
          </w:p>
        </w:tc>
        <w:tc>
          <w:tcPr>
            <w:tcW w:type="dxa" w:w="27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Legal + Product</w:t>
            </w:r>
          </w:p>
        </w:tc>
      </w:tr>
    </w:tbl>
    <w:p>
      <w:r>
        <w:br/>
      </w:r>
    </w:p>
    <w:p>
      <w:pPr>
        <w:pStyle w:val="Heading1"/>
        <w:pBdr>
          <w:bottom w:val="single" w:color="0D47A1" w:sz="4" w:space="6"/>
        </w:pBdr>
        <w:spacing w:before="360" w:after="160"/>
      </w:pPr>
      <w:r>
        <w:rPr>
          <w:rFonts w:ascii="Arial" w:cs="Arial" w:eastAsia="Arial" w:hAnsi="Arial"/>
          <w:b/>
          <w:bCs/>
          <w:color w:val="0D47A1"/>
          <w:sz w:val="36"/>
          <w:szCs w:val="36"/>
        </w:rPr>
        <w:t xml:space="preserve">12. Glossar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Begriff</w:t>
            </w:r>
          </w:p>
        </w:tc>
        <w:tc>
          <w:tcPr>
            <w:tcW w:type="dxa" w:w="6026"/>
            <w:tcBorders>
              <w:top w:val="single" w:color="B0BEC5" w:sz="1"/>
              <w:left w:val="single" w:color="B0BEC5" w:sz="1"/>
              <w:bottom w:val="single" w:color="B0BEC5" w:sz="1"/>
              <w:right w:val="single" w:color="B0BEC5" w:sz="1"/>
            </w:tcBorders>
            <w:shd w:fill="0D47A1" w:val="clear"/>
            <w:tcMar>
              <w:top w:type="dxa" w:w="80"/>
              <w:left w:type="dxa" w:w="140"/>
              <w:bottom w:type="dxa" w:w="80"/>
              <w:right w:type="dxa" w:w="100"/>
            </w:tcMar>
          </w:tcPr>
          <w:p>
            <w:r>
              <w:rPr>
                <w:rFonts w:ascii="Arial" w:cs="Arial" w:eastAsia="Arial" w:hAnsi="Arial"/>
                <w:b/>
                <w:bCs/>
                <w:color w:val="FFFFFF"/>
                <w:sz w:val="20"/>
                <w:szCs w:val="20"/>
              </w:rPr>
              <w:t xml:space="preserve">Definition</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AMM</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Automated Market Maker – Algorithmus-basiertes Preisfindungssystem in DEXes</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Aave</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Dezentrales Multi-Chain Lending-/Borrowing-Protokoll (Ethereum-basiert, V3)</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APS (Apsis)</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Governance-Token des Ēnosys-Ökosystems</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BMF-Schreiben</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Bundesministerium der Finanzen – Verwaltungsanweisung zur Steuerbehandlung</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CDP</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Collateralized Debt Position – Besichertes Darlehen in DeFi (z.B. Ēnosys Loans)</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CoinTracking</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Deutsches Krypto-Portfolio- und Steuertool (Munich, DE) mit CSV-Importformat</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DAC8</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EU-Richtlinie zur automatischen Datenübermittlung von Krypto-Transaktionen ab 2026</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DEX</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Decentralized Exchange – Dezentrale Krypto-Börse ohne Intermediär</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DeFi</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Decentralized Finance – Dezentralisierte Finanzdienstleistungen auf Blockchain</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Ēnosys DEX</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DeFi-Suite auf Flare Network: AMM, Loans (CDP), Farming, Bridge</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EStG</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Einkommensteuergesetz – Deutsches Steuerrecht</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FIFO</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First In, First Out – Bewertungsmethode: Älteste Assets werden zuerst verkauft</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FLR</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Nativer Token des Flare Networks</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FAssets</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Flare-native Tokenisierung von BTC (FBTC), XRP (FXRP), DOGE (FDOGE)</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FDC</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Flare Data Connector – Cross-Chain-Datenprotokoll von Flare</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FTSO</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Flare Time Series Oracle – Dezentraler On-Chain-Preisfeed auf Flare</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GoBD</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Grundsätze zur ordnungsmäßigen Buchführung digitaler Dokumente (DE)</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HLN (Helion)</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Governance-Token des Ēnosys-Ökosystems</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HIFO</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Highest In, First Out – Steueroptimierte Bewertungsmethode</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Kinetic Market</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Lending-/Borrowing-Protokoll auf Flare Network (ROM-Labs)</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LayerZero</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Omnichain Messaging Protokoll – Basis für Stargate Finance</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LP</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Liquidity Provider/Pool – Liquiditätsbereitsteller in DEX-Pools</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MiCA</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Markets in Crypto-Assets – EU-Kryptoregulierungsrahmen (seit Dez. 2024)</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rFLR</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Reward FLR – Incentive-Token der Flare Network Emissions</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SparkDEX</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KI-gestützter DEX auf Flare Network (V4 AMM + Perps, $SPRK Token)</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Stargate Finance</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Omnichain Cross-Chain Bridge auf LayerZero-Basis (80+ Chains)</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SPRK</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Governance- und Revenue-Sharing-Token von SparkDEX</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Stablecoin</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Kryptowährung mit stabiler Anbindung an Fiatwährung (z.B. USDT, USDC)</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 22 Nr. 3 EStG</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Sonstige Einkünfte – Anwendbar auf Staking/Lending/Mining Rewards</w:t>
            </w:r>
          </w:p>
        </w:tc>
      </w:tr>
      <w:tr>
        <w:trPr>
          <w:tblHeader w:val="false"/>
        </w:trPr>
        <w:tc>
          <w:tcPr>
            <w:tcW w:type="dxa" w:w="30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00"/>
            </w:tcMar>
          </w:tcPr>
          <w:p>
            <w:r>
              <w:rPr>
                <w:rFonts w:ascii="Arial" w:cs="Arial" w:eastAsia="Arial" w:hAnsi="Arial"/>
                <w:b w:val="false"/>
                <w:bCs w:val="false"/>
                <w:color w:val="212121"/>
                <w:sz w:val="20"/>
                <w:szCs w:val="20"/>
              </w:rPr>
              <w:t xml:space="preserve">§ 23 EStG</w:t>
            </w:r>
          </w:p>
        </w:tc>
        <w:tc>
          <w:tcPr>
            <w:tcW w:type="dxa" w:w="6026"/>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00"/>
            </w:tcMar>
          </w:tcPr>
          <w:p>
            <w:r>
              <w:rPr>
                <w:rFonts w:ascii="Arial" w:cs="Arial" w:eastAsia="Arial" w:hAnsi="Arial"/>
                <w:b w:val="false"/>
                <w:bCs w:val="false"/>
                <w:color w:val="212121"/>
                <w:sz w:val="20"/>
                <w:szCs w:val="20"/>
              </w:rPr>
              <w:t xml:space="preserve">Private Veräußerungsgeschäfte – Anwendbar auf Krypto-Handel/Swaps</w:t>
            </w:r>
          </w:p>
        </w:tc>
      </w:tr>
    </w:tbl>
    <w:p>
      <w:r>
        <w:br/>
      </w:r>
    </w:p>
    <w:p>
      <w:pPr>
        <w:pStyle w:val="Heading1"/>
        <w:pBdr>
          <w:bottom w:val="single" w:color="0D47A1" w:sz="4" w:space="6"/>
        </w:pBdr>
        <w:spacing w:before="360" w:after="160"/>
      </w:pPr>
      <w:r>
        <w:rPr>
          <w:rFonts w:ascii="Arial" w:cs="Arial" w:eastAsia="Arial" w:hAnsi="Arial"/>
          <w:b/>
          <w:bCs/>
          <w:color w:val="0D47A1"/>
          <w:sz w:val="36"/>
          <w:szCs w:val="36"/>
        </w:rPr>
        <w:t xml:space="preserve">13. Quellenverzeichnis</w:t>
      </w:r>
    </w:p>
    <w:p>
      <w:pPr>
        <w:spacing w:before="60" w:after="100"/>
      </w:pPr>
      <w:r>
        <w:rPr>
          <w:rFonts w:ascii="Arial" w:cs="Arial" w:eastAsia="Arial" w:hAnsi="Arial"/>
          <w:color w:val="212121"/>
          <w:sz w:val="22"/>
          <w:szCs w:val="22"/>
        </w:rPr>
        <w:t xml:space="preserve">Folgende Quellen wurden im Rahmen dieser Analyse herangezogen:</w:t>
      </w:r>
    </w:p>
    <w:p>
      <w:pPr>
        <w:spacing w:before="60" w:after="0"/>
      </w:pPr>
      <w:r>
        <w:t xml:space="preserve"/>
      </w:r>
    </w:p>
    <w:p>
      <w:pPr>
        <w:pStyle w:val="Heading3"/>
        <w:spacing w:before="200" w:after="80"/>
      </w:pPr>
      <w:r>
        <w:rPr>
          <w:rFonts w:ascii="Arial" w:cs="Arial" w:eastAsia="Arial" w:hAnsi="Arial"/>
          <w:b/>
          <w:bCs/>
          <w:color w:val="0097A7"/>
          <w:sz w:val="24"/>
          <w:szCs w:val="24"/>
        </w:rPr>
        <w:t xml:space="preserve">Regulatorische Quellen</w:t>
      </w:r>
    </w:p>
    <w:p>
      <w:pPr>
        <w:pStyle w:val="ListParagraph"/>
        <w:numPr>
          <w:ilvl w:val="0"/>
          <w:numId w:val="2"/>
        </w:numPr>
        <w:spacing w:before="40" w:after="40"/>
      </w:pPr>
      <w:r>
        <w:rPr>
          <w:rFonts w:ascii="Arial" w:cs="Arial" w:eastAsia="Arial" w:hAnsi="Arial"/>
          <w:b w:val="false"/>
          <w:bCs w:val="false"/>
          <w:color w:val="212121"/>
          <w:sz w:val="22"/>
          <w:szCs w:val="22"/>
        </w:rPr>
        <w:t xml:space="preserve">BMF-Schreiben vom 06.03.2025 – Einzelfragen zu Kryptowerten (BStBl 2025 I S. 658)</w:t>
      </w:r>
    </w:p>
    <w:p>
      <w:pPr>
        <w:pStyle w:val="ListParagraph"/>
        <w:numPr>
          <w:ilvl w:val="0"/>
          <w:numId w:val="2"/>
        </w:numPr>
        <w:spacing w:before="40" w:after="40"/>
      </w:pPr>
      <w:r>
        <w:rPr>
          <w:rFonts w:ascii="Arial" w:cs="Arial" w:eastAsia="Arial" w:hAnsi="Arial"/>
          <w:b w:val="false"/>
          <w:bCs w:val="false"/>
          <w:color w:val="212121"/>
          <w:sz w:val="22"/>
          <w:szCs w:val="22"/>
        </w:rPr>
        <w:t xml:space="preserve">BFH-Urteil IX R 3/22 vom 14.02.2023 – Steuerliche Qualifikation von Kryptowährungen</w:t>
      </w:r>
    </w:p>
    <w:p>
      <w:pPr>
        <w:pStyle w:val="ListParagraph"/>
        <w:numPr>
          <w:ilvl w:val="0"/>
          <w:numId w:val="2"/>
        </w:numPr>
        <w:spacing w:before="40" w:after="40"/>
      </w:pPr>
      <w:r>
        <w:rPr>
          <w:rFonts w:ascii="Arial" w:cs="Arial" w:eastAsia="Arial" w:hAnsi="Arial"/>
          <w:b w:val="false"/>
          <w:bCs w:val="false"/>
          <w:color w:val="212121"/>
          <w:sz w:val="22"/>
          <w:szCs w:val="22"/>
        </w:rPr>
        <w:t xml:space="preserve">EU-Richtlinie DAC8 (2023/2226/EU) – Automatische Informationspflichten für CASPs</w:t>
      </w:r>
    </w:p>
    <w:p>
      <w:pPr>
        <w:pStyle w:val="ListParagraph"/>
        <w:numPr>
          <w:ilvl w:val="0"/>
          <w:numId w:val="2"/>
        </w:numPr>
        <w:spacing w:before="40" w:after="40"/>
      </w:pPr>
      <w:r>
        <w:rPr>
          <w:rFonts w:ascii="Arial" w:cs="Arial" w:eastAsia="Arial" w:hAnsi="Arial"/>
          <w:b w:val="false"/>
          <w:bCs w:val="false"/>
          <w:color w:val="212121"/>
          <w:sz w:val="22"/>
          <w:szCs w:val="22"/>
        </w:rPr>
        <w:t xml:space="preserve">EU-Verordnung MiCA (2023/1114) – Markets in Crypto-Assets Regulation</w:t>
      </w:r>
    </w:p>
    <w:p>
      <w:pPr>
        <w:pStyle w:val="ListParagraph"/>
        <w:numPr>
          <w:ilvl w:val="0"/>
          <w:numId w:val="2"/>
        </w:numPr>
        <w:spacing w:before="40" w:after="40"/>
      </w:pPr>
      <w:r>
        <w:rPr>
          <w:rFonts w:ascii="Arial" w:cs="Arial" w:eastAsia="Arial" w:hAnsi="Arial"/>
          <w:b w:val="false"/>
          <w:bCs w:val="false"/>
          <w:color w:val="212121"/>
          <w:sz w:val="22"/>
          <w:szCs w:val="22"/>
        </w:rPr>
        <w:t xml:space="preserve">DSGVO (EU 2016/679) – Datenschutz-Grundverordnung</w:t>
      </w:r>
    </w:p>
    <w:p>
      <w:pPr>
        <w:spacing w:before="60" w:after="0"/>
      </w:pPr>
      <w:r>
        <w:t xml:space="preserve"/>
      </w:r>
    </w:p>
    <w:p>
      <w:pPr>
        <w:pStyle w:val="Heading3"/>
        <w:spacing w:before="200" w:after="80"/>
      </w:pPr>
      <w:r>
        <w:rPr>
          <w:rFonts w:ascii="Arial" w:cs="Arial" w:eastAsia="Arial" w:hAnsi="Arial"/>
          <w:b/>
          <w:bCs/>
          <w:color w:val="0097A7"/>
          <w:sz w:val="24"/>
          <w:szCs w:val="24"/>
        </w:rPr>
        <w:t xml:space="preserve">Protokoll-Dokumentation</w:t>
      </w:r>
    </w:p>
    <w:p>
      <w:pPr>
        <w:pStyle w:val="ListParagraph"/>
        <w:numPr>
          <w:ilvl w:val="0"/>
          <w:numId w:val="2"/>
        </w:numPr>
        <w:spacing w:before="40" w:after="40"/>
      </w:pPr>
      <w:r>
        <w:rPr>
          <w:rFonts w:ascii="Arial" w:cs="Arial" w:eastAsia="Arial" w:hAnsi="Arial"/>
          <w:b w:val="false"/>
          <w:bCs w:val="false"/>
          <w:color w:val="212121"/>
          <w:sz w:val="22"/>
          <w:szCs w:val="22"/>
        </w:rPr>
        <w:t xml:space="preserve">Flare Network – Technical Documentation: https://dev.flare.network</w:t>
      </w:r>
    </w:p>
    <w:p>
      <w:pPr>
        <w:pStyle w:val="ListParagraph"/>
        <w:numPr>
          <w:ilvl w:val="0"/>
          <w:numId w:val="2"/>
        </w:numPr>
        <w:spacing w:before="40" w:after="40"/>
      </w:pPr>
      <w:r>
        <w:rPr>
          <w:rFonts w:ascii="Arial" w:cs="Arial" w:eastAsia="Arial" w:hAnsi="Arial"/>
          <w:b w:val="false"/>
          <w:bCs w:val="false"/>
          <w:color w:val="212121"/>
          <w:sz w:val="22"/>
          <w:szCs w:val="22"/>
        </w:rPr>
        <w:t xml:space="preserve">SparkDEX – Medium/Docs: https://sparkdex.ai (V4 Launch Feb 2026)</w:t>
      </w:r>
    </w:p>
    <w:p>
      <w:pPr>
        <w:pStyle w:val="ListParagraph"/>
        <w:numPr>
          <w:ilvl w:val="0"/>
          <w:numId w:val="2"/>
        </w:numPr>
        <w:spacing w:before="40" w:after="40"/>
      </w:pPr>
      <w:r>
        <w:rPr>
          <w:rFonts w:ascii="Arial" w:cs="Arial" w:eastAsia="Arial" w:hAnsi="Arial"/>
          <w:b w:val="false"/>
          <w:bCs w:val="false"/>
          <w:color w:val="212121"/>
          <w:sz w:val="22"/>
          <w:szCs w:val="22"/>
        </w:rPr>
        <w:t xml:space="preserve">Ēnosys DEX – Documentation: https://enosys.global</w:t>
      </w:r>
    </w:p>
    <w:p>
      <w:pPr>
        <w:pStyle w:val="ListParagraph"/>
        <w:numPr>
          <w:ilvl w:val="0"/>
          <w:numId w:val="2"/>
        </w:numPr>
        <w:spacing w:before="40" w:after="40"/>
      </w:pPr>
      <w:r>
        <w:rPr>
          <w:rFonts w:ascii="Arial" w:cs="Arial" w:eastAsia="Arial" w:hAnsi="Arial"/>
          <w:b w:val="false"/>
          <w:bCs w:val="false"/>
          <w:color w:val="212121"/>
          <w:sz w:val="22"/>
          <w:szCs w:val="22"/>
        </w:rPr>
        <w:t xml:space="preserve">Kinetic Market – Litepaper &amp; Docs: https://docs.kinetic.market</w:t>
      </w:r>
    </w:p>
    <w:p>
      <w:pPr>
        <w:pStyle w:val="ListParagraph"/>
        <w:numPr>
          <w:ilvl w:val="0"/>
          <w:numId w:val="2"/>
        </w:numPr>
        <w:spacing w:before="40" w:after="40"/>
      </w:pPr>
      <w:r>
        <w:rPr>
          <w:rFonts w:ascii="Arial" w:cs="Arial" w:eastAsia="Arial" w:hAnsi="Arial"/>
          <w:b w:val="false"/>
          <w:bCs w:val="false"/>
          <w:color w:val="212121"/>
          <w:sz w:val="22"/>
          <w:szCs w:val="22"/>
        </w:rPr>
        <w:t xml:space="preserve">Stargate Finance – User Docs: https://stargateprotocol.gitbook.io</w:t>
      </w:r>
    </w:p>
    <w:p>
      <w:pPr>
        <w:pStyle w:val="ListParagraph"/>
        <w:numPr>
          <w:ilvl w:val="0"/>
          <w:numId w:val="2"/>
        </w:numPr>
        <w:spacing w:before="40" w:after="40"/>
      </w:pPr>
      <w:r>
        <w:rPr>
          <w:rFonts w:ascii="Arial" w:cs="Arial" w:eastAsia="Arial" w:hAnsi="Arial"/>
          <w:b w:val="false"/>
          <w:bCs w:val="false"/>
          <w:color w:val="212121"/>
          <w:sz w:val="22"/>
          <w:szCs w:val="22"/>
        </w:rPr>
        <w:t xml:space="preserve">Aave V3 – Documentation: https://docs.aave.com</w:t>
      </w:r>
    </w:p>
    <w:p>
      <w:pPr>
        <w:spacing w:before="60" w:after="0"/>
      </w:pPr>
      <w:r>
        <w:t xml:space="preserve"/>
      </w:r>
    </w:p>
    <w:p>
      <w:pPr>
        <w:pStyle w:val="Heading3"/>
        <w:spacing w:before="200" w:after="80"/>
      </w:pPr>
      <w:r>
        <w:rPr>
          <w:rFonts w:ascii="Arial" w:cs="Arial" w:eastAsia="Arial" w:hAnsi="Arial"/>
          <w:b/>
          <w:bCs/>
          <w:color w:val="0097A7"/>
          <w:sz w:val="24"/>
          <w:szCs w:val="24"/>
        </w:rPr>
        <w:t xml:space="preserve">CoinTracking-Import-Spezifikation</w:t>
      </w:r>
    </w:p>
    <w:p>
      <w:pPr>
        <w:pStyle w:val="ListParagraph"/>
        <w:numPr>
          <w:ilvl w:val="0"/>
          <w:numId w:val="2"/>
        </w:numPr>
        <w:spacing w:before="40" w:after="40"/>
      </w:pPr>
      <w:r>
        <w:rPr>
          <w:rFonts w:ascii="Arial" w:cs="Arial" w:eastAsia="Arial" w:hAnsi="Arial"/>
          <w:b w:val="false"/>
          <w:bCs w:val="false"/>
          <w:color w:val="212121"/>
          <w:sz w:val="22"/>
          <w:szCs w:val="22"/>
        </w:rPr>
        <w:t xml:space="preserve">CoinTracking CSV-Import: https://cointracking.info/import/import_csv/?language=de</w:t>
      </w:r>
    </w:p>
    <w:p>
      <w:pPr>
        <w:pStyle w:val="ListParagraph"/>
        <w:numPr>
          <w:ilvl w:val="0"/>
          <w:numId w:val="2"/>
        </w:numPr>
        <w:spacing w:before="40" w:after="40"/>
      </w:pPr>
      <w:r>
        <w:rPr>
          <w:rFonts w:ascii="Arial" w:cs="Arial" w:eastAsia="Arial" w:hAnsi="Arial"/>
          <w:b w:val="false"/>
          <w:bCs w:val="false"/>
          <w:color w:val="212121"/>
          <w:sz w:val="22"/>
          <w:szCs w:val="22"/>
        </w:rPr>
        <w:t xml:space="preserve">CoinTracking Excel-Import &amp; Transaktionstypen: https://cointracking.info/import/import_xls/?language=de</w:t>
      </w:r>
    </w:p>
    <w:p>
      <w:pPr>
        <w:spacing w:before="60" w:after="0"/>
      </w:pPr>
      <w:r>
        <w:t xml:space="preserve"/>
      </w:r>
    </w:p>
    <w:p>
      <w:pPr>
        <w:pStyle w:val="Heading3"/>
        <w:spacing w:before="200" w:after="80"/>
      </w:pPr>
      <w:r>
        <w:rPr>
          <w:rFonts w:ascii="Arial" w:cs="Arial" w:eastAsia="Arial" w:hAnsi="Arial"/>
          <w:b/>
          <w:bCs/>
          <w:color w:val="0097A7"/>
          <w:sz w:val="24"/>
          <w:szCs w:val="24"/>
        </w:rPr>
        <w:t xml:space="preserve">Steuerliche Fachliteratur</w:t>
      </w:r>
    </w:p>
    <w:p>
      <w:pPr>
        <w:pStyle w:val="ListParagraph"/>
        <w:numPr>
          <w:ilvl w:val="0"/>
          <w:numId w:val="2"/>
        </w:numPr>
        <w:spacing w:before="40" w:after="40"/>
      </w:pPr>
      <w:r>
        <w:rPr>
          <w:rFonts w:ascii="Arial" w:cs="Arial" w:eastAsia="Arial" w:hAnsi="Arial"/>
          <w:b w:val="false"/>
          <w:bCs w:val="false"/>
          <w:color w:val="212121"/>
          <w:sz w:val="22"/>
          <w:szCs w:val="22"/>
        </w:rPr>
        <w:t xml:space="preserve">Blockpit DeFi Steuer Guide Deutschland 2025 (cointracking.info/de/krypto-steuer-de/defi-steuern)</w:t>
      </w:r>
    </w:p>
    <w:p>
      <w:pPr>
        <w:pStyle w:val="ListParagraph"/>
        <w:numPr>
          <w:ilvl w:val="0"/>
          <w:numId w:val="2"/>
        </w:numPr>
        <w:spacing w:before="40" w:after="40"/>
      </w:pPr>
      <w:r>
        <w:rPr>
          <w:rFonts w:ascii="Arial" w:cs="Arial" w:eastAsia="Arial" w:hAnsi="Arial"/>
          <w:b w:val="false"/>
          <w:bCs w:val="false"/>
          <w:color w:val="212121"/>
          <w:sz w:val="22"/>
          <w:szCs w:val="22"/>
        </w:rPr>
        <w:t xml:space="preserve">Schildhorn Steuerberater – Kryptowährungen &amp; Blockchain Besteuerung (Oktober 2025)</w:t>
      </w:r>
    </w:p>
    <w:p>
      <w:pPr>
        <w:pStyle w:val="ListParagraph"/>
        <w:numPr>
          <w:ilvl w:val="0"/>
          <w:numId w:val="2"/>
        </w:numPr>
        <w:spacing w:before="40" w:after="40"/>
      </w:pPr>
      <w:r>
        <w:rPr>
          <w:rFonts w:ascii="Arial" w:cs="Arial" w:eastAsia="Arial" w:hAnsi="Arial"/>
          <w:b w:val="false"/>
          <w:bCs w:val="false"/>
          <w:color w:val="212121"/>
          <w:sz w:val="22"/>
          <w:szCs w:val="22"/>
        </w:rPr>
        <w:t xml:space="preserve">ECOVIS RTS – BMF-Schreiben 2025 Analyse (Oktober 2025)</w:t>
      </w:r>
    </w:p>
    <w:p>
      <w:pPr>
        <w:pStyle w:val="ListParagraph"/>
        <w:numPr>
          <w:ilvl w:val="0"/>
          <w:numId w:val="2"/>
        </w:numPr>
        <w:spacing w:before="40" w:after="40"/>
      </w:pPr>
      <w:r>
        <w:rPr>
          <w:rFonts w:ascii="Arial" w:cs="Arial" w:eastAsia="Arial" w:hAnsi="Arial"/>
          <w:b w:val="false"/>
          <w:bCs w:val="false"/>
          <w:color w:val="212121"/>
          <w:sz w:val="22"/>
          <w:szCs w:val="22"/>
        </w:rPr>
        <w:t xml:space="preserve">tax-sparrow.de – BMF-Schreiben 2025 vs. 2022 Vergleich</w:t>
      </w:r>
    </w:p>
    <w:p>
      <w:pPr>
        <w:spacing w:before="200" w:after="0"/>
      </w:pPr>
      <w:r>
        <w:t xml:space="preserve"/>
      </w:r>
    </w:p>
    <w:p>
      <w:pPr>
        <w:pBdr>
          <w:top w:val="single" w:color="0D47A1" w:sz="4" w:space="8"/>
        </w:pBdr>
        <w:spacing w:before="200" w:after="0"/>
        <w:jc w:val="center"/>
      </w:pPr>
      <w:r>
        <w:rPr>
          <w:rFonts w:ascii="Arial" w:cs="Arial" w:eastAsia="Arial" w:hAnsi="Arial"/>
          <w:color w:val="888888"/>
          <w:sz w:val="18"/>
          <w:szCs w:val="18"/>
        </w:rPr>
        <w:t xml:space="preserve">Dieses Dokument wurde erstellt von NextGen IT Solutions GmbH, Stuttgart · März 2026</w:t>
      </w:r>
    </w:p>
    <w:p>
      <w:pPr>
        <w:jc w:val="center"/>
      </w:pPr>
      <w:r>
        <w:rPr>
          <w:rFonts w:ascii="Arial" w:cs="Arial" w:eastAsia="Arial" w:hAnsi="Arial"/>
          <w:i/>
          <w:iCs/>
          <w:color w:val="888888"/>
          <w:sz w:val="18"/>
          <w:szCs w:val="18"/>
        </w:rPr>
        <w:t xml:space="preserve">Alle Angaben ohne Gewähr. Dieses Dokument stellt keine Steuer- oder Rechtsberatung dar.</w:t>
      </w:r>
    </w:p>
    <w:p>
      <w:pPr>
        <w:pageBreakBefore/>
        <w:jc w:val="center"/>
      </w:pPr>
      <w:r>
        <w:rPr>
          <w:b/>
          <w:color w:val="0D47A1"/>
          <w:sz w:val="48"/>
        </w:rPr>
        <w:t xml:space="preserve"> </w:t>
      </w:r>
    </w:p>
    <w:p>
      <w:pPr>
        <w:pBdr>
          <w:bottom w:val="single" w:sz="6" w:space="6" w:color="0D47A1"/>
        </w:pBdr>
        <w:spacing w:before="480" w:after="240"/>
        <w:jc w:val="center"/>
      </w:pPr>
      <w:r>
        <w:rPr>
          <w:b/>
          <w:color w:val="0D47A1"/>
          <w:sz w:val="56"/>
          <w:rFonts w:ascii="Calibri" w:hAnsi="Calibri"/>
        </w:rPr>
        <w:t>TEIL II</w:t>
      </w:r>
    </w:p>
    <w:p>
      <w:pPr>
        <w:spacing w:before="120" w:after="120"/>
        <w:jc w:val="center"/>
      </w:pPr>
      <w:r>
        <w:rPr>
          <w:b/>
          <w:color w:val="555555"/>
          <w:sz w:val="32"/>
          <w:rFonts w:ascii="Calibri" w:hAnsi="Calibri"/>
        </w:rPr>
        <w:t>Produkt-Roadmap 2026–2027</w:t>
      </w:r>
    </w:p>
    <w:p>
      <w:pPr>
        <w:pBdr>
          <w:bottom w:val="single" w:sz="4" w:space="8" w:color="FF6F00"/>
        </w:pBdr>
        <w:spacing w:before="80" w:after="600"/>
        <w:jc w:val="center"/>
      </w:pPr>
      <w:r>
        <w:rPr>
          <w:color w:val="888888"/>
          <w:sz w:val="22"/>
          <w:rFonts w:ascii="Calibri" w:hAnsi="Calibri"/>
        </w:rPr>
        <w:t>DeFi Investment Tracker SaaS – Implementierungsplan &amp; Phasen</w:t>
      </w:r>
    </w:p>
    <w:p>
      <w:pPr>
        <w:spacing w:before="1400" w:after="80"/>
        <w:jc w:val="center"/>
      </w:pPr>
      <w:r>
        <w:rPr>
          <w:rFonts w:ascii="Calibri" w:cs="Calibri" w:eastAsia="Calibri" w:hAnsi="Calibri"/>
          <w:b/>
          <w:bCs/>
          <w:color w:val="0D47A1"/>
          <w:sz w:val="48"/>
          <w:szCs w:val="48"/>
        </w:rPr>
        <w:t xml:space="preserve">NextGen IT Solutions GmbH</w:t>
      </w:r>
    </w:p>
    <w:p>
      <w:pPr>
        <w:pBdr>
          <w:bottom w:val="single" w:color="BF360C" w:sz="6" w:space="10"/>
        </w:pBdr>
        <w:spacing w:before="0" w:after="600"/>
        <w:jc w:val="center"/>
      </w:pPr>
      <w:r>
        <w:rPr>
          <w:rFonts w:ascii="Calibri" w:cs="Calibri" w:eastAsia="Calibri" w:hAnsi="Calibri"/>
          <w:color w:val="666666"/>
          <w:sz w:val="22"/>
          <w:szCs w:val="22"/>
        </w:rPr>
        <w:t xml:space="preserve">Stuttgart · IT Services · Cloud · Security · Consulting</w:t>
      </w:r>
    </w:p>
    <w:p>
      <w:pPr>
        <w:spacing w:before="280" w:after="0"/>
      </w:pPr>
      <w:r>
        <w:t xml:space="preserve"/>
      </w:r>
    </w:p>
    <w:p>
      <w:pPr>
        <w:spacing w:before="0" w:after="60"/>
        <w:jc w:val="center"/>
      </w:pPr>
      <w:r>
        <w:rPr>
          <w:rFonts w:ascii="Calibri" w:cs="Calibri" w:eastAsia="Calibri" w:hAnsi="Calibri"/>
          <w:b/>
          <w:bCs/>
          <w:color w:val="006064"/>
          <w:spacing w:val="140"/>
          <w:sz w:val="24"/>
          <w:szCs w:val="24"/>
        </w:rPr>
        <w:t xml:space="preserve">PRODUKT-ROADMAP</w:t>
      </w:r>
    </w:p>
    <w:p>
      <w:pPr>
        <w:spacing w:before="0" w:after="60"/>
        <w:jc w:val="center"/>
      </w:pPr>
      <w:r>
        <w:rPr>
          <w:rFonts w:ascii="Calibri" w:cs="Calibri" w:eastAsia="Calibri" w:hAnsi="Calibri"/>
          <w:b/>
          <w:bCs/>
          <w:color w:val="0D47A1"/>
          <w:sz w:val="56"/>
          <w:szCs w:val="56"/>
        </w:rPr>
        <w:t xml:space="preserve">DeFi Investment Tracker SaaS</w:t>
      </w:r>
    </w:p>
    <w:p>
      <w:pPr>
        <w:spacing w:before="0" w:after="600"/>
        <w:jc w:val="center"/>
      </w:pPr>
      <w:r>
        <w:rPr>
          <w:rFonts w:ascii="Calibri" w:cs="Calibri" w:eastAsia="Calibri" w:hAnsi="Calibri"/>
          <w:color w:val="555555"/>
          <w:sz w:val="26"/>
          <w:szCs w:val="26"/>
        </w:rPr>
        <w:t xml:space="preserve">Deutschlandkonformes DeFi-Tracking &amp; CoinTracking-Export</w:t>
      </w:r>
    </w:p>
    <w:p>
      <w:pPr>
        <w:spacing w:before="200" w:after="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tblGrid>
      <w:tr>
        <w:tc>
          <w:tcPr>
            <w:tcW w:type="dxa" w:w="3400"/>
            <w:tcBorders>
              <w:top w:val="none" w:color="CFD8DC" w:sz="0"/>
              <w:left w:val="none" w:color="CFD8DC" w:sz="0"/>
              <w:bottom w:val="none" w:color="CFD8DC" w:sz="0"/>
              <w:right w:val="single" w:color="CFD8DC" w:sz="2"/>
            </w:tcBorders>
            <w:tcMar>
              <w:top w:type="dxa" w:w="80"/>
              <w:left w:type="dxa" w:w="200"/>
              <w:bottom w:type="dxa" w:w="80"/>
              <w:right w:type="dxa" w:w="200"/>
            </w:tcMar>
          </w:tcPr>
          <w:p>
            <w:r>
              <w:rPr>
                <w:rFonts w:ascii="Calibri" w:cs="Calibri" w:eastAsia="Calibri" w:hAnsi="Calibri"/>
                <w:color w:val="888888"/>
                <w:sz w:val="18"/>
                <w:szCs w:val="18"/>
              </w:rPr>
              <w:t xml:space="preserve">Auftraggeber</w:t>
            </w:r>
          </w:p>
          <w:p>
            <w:r>
              <w:rPr>
                <w:rFonts w:ascii="Calibri" w:cs="Calibri" w:eastAsia="Calibri" w:hAnsi="Calibri"/>
                <w:b/>
                <w:bCs/>
                <w:color w:val="212121"/>
                <w:sz w:val="21"/>
                <w:szCs w:val="21"/>
              </w:rPr>
              <w:t xml:space="preserve">NextGen IT Solutions GmbH</w:t>
            </w:r>
          </w:p>
          <w:p>
            <w:pPr>
              <w:spacing w:before="60" w:after="0"/>
            </w:pPr>
            <w:r>
              <w:t xml:space="preserve"/>
            </w:r>
          </w:p>
          <w:p>
            <w:r>
              <w:rPr>
                <w:rFonts w:ascii="Calibri" w:cs="Calibri" w:eastAsia="Calibri" w:hAnsi="Calibri"/>
                <w:color w:val="888888"/>
                <w:sz w:val="18"/>
                <w:szCs w:val="18"/>
              </w:rPr>
              <w:t xml:space="preserve">Dokument-Version</w:t>
            </w:r>
          </w:p>
          <w:p>
            <w:r>
              <w:rPr>
                <w:rFonts w:ascii="Calibri" w:cs="Calibri" w:eastAsia="Calibri" w:hAnsi="Calibri"/>
                <w:b/>
                <w:bCs/>
                <w:color w:val="212121"/>
                <w:sz w:val="21"/>
                <w:szCs w:val="21"/>
              </w:rPr>
              <w:t xml:space="preserve">Roadmap v1.0 – März 2026</w:t>
            </w:r>
          </w:p>
        </w:tc>
        <w:tc>
          <w:tcPr>
            <w:tcW w:type="dxa" w:w="3600"/>
            <w:tcBorders>
              <w:top w:val="none" w:color="CFD8DC" w:sz="0"/>
              <w:left w:val="none" w:color="CFD8DC" w:sz="0"/>
              <w:bottom w:val="none" w:color="CFD8DC" w:sz="0"/>
              <w:right w:val="none" w:color="CFD8DC" w:sz="0"/>
            </w:tcBorders>
            <w:tcMar>
              <w:top w:type="dxa" w:w="80"/>
              <w:left w:type="dxa" w:w="200"/>
              <w:bottom w:type="dxa" w:w="80"/>
              <w:right w:type="dxa" w:w="200"/>
            </w:tcMar>
          </w:tcPr>
          <w:p>
            <w:r>
              <w:rPr>
                <w:rFonts w:ascii="Calibri" w:cs="Calibri" w:eastAsia="Calibri" w:hAnsi="Calibri"/>
                <w:color w:val="888888"/>
                <w:sz w:val="18"/>
                <w:szCs w:val="18"/>
              </w:rPr>
              <w:t xml:space="preserve">Zeitraum</w:t>
            </w:r>
          </w:p>
          <w:p>
            <w:r>
              <w:rPr>
                <w:rFonts w:ascii="Calibri" w:cs="Calibri" w:eastAsia="Calibri" w:hAnsi="Calibri"/>
                <w:b/>
                <w:bCs/>
                <w:color w:val="212121"/>
                <w:sz w:val="21"/>
                <w:szCs w:val="21"/>
              </w:rPr>
              <w:t xml:space="preserve">April 2026 – Q1 2027</w:t>
            </w:r>
          </w:p>
          <w:p>
            <w:pPr>
              <w:spacing w:before="60" w:after="0"/>
            </w:pPr>
            <w:r>
              <w:t xml:space="preserve"/>
            </w:r>
          </w:p>
          <w:p>
            <w:r>
              <w:rPr>
                <w:rFonts w:ascii="Calibri" w:cs="Calibri" w:eastAsia="Calibri" w:hAnsi="Calibri"/>
                <w:color w:val="888888"/>
                <w:sz w:val="18"/>
                <w:szCs w:val="18"/>
              </w:rPr>
              <w:t xml:space="preserve">Empfehlung</w:t>
            </w:r>
          </w:p>
          <w:p>
            <w:r>
              <w:rPr>
                <w:rFonts w:ascii="Calibri" w:cs="Calibri" w:eastAsia="Calibri" w:hAnsi="Calibri"/>
                <w:b/>
                <w:bCs/>
                <w:color w:val="1B5E20"/>
                <w:sz w:val="21"/>
                <w:szCs w:val="21"/>
              </w:rPr>
              <w:t xml:space="preserve">✓ GO – Entwicklung empfohlen</w:t>
            </w:r>
          </w:p>
        </w:tc>
      </w:tr>
    </w:tbl>
    <w:p>
      <w:r>
        <w:br/>
      </w:r>
    </w:p>
    <w:p>
      <w:pPr>
        <w:pStyle w:val="Heading1"/>
      </w:pPr>
      <w:r>
        <w:rPr>
          <w:rFonts w:ascii="Calibri" w:cs="Calibri" w:eastAsia="Calibri" w:hAnsi="Calibri"/>
          <w:b/>
          <w:bCs/>
          <w:color w:val="0D47A1"/>
          <w:sz w:val="36"/>
          <w:szCs w:val="36"/>
        </w:rPr>
        <w:t xml:space="preserve">Roadmap-Übersicht</w:t>
      </w:r>
    </w:p>
    <w:p>
      <w:pPr>
        <w:spacing w:before="60" w:after="80"/>
      </w:pPr>
      <w:r>
        <w:rPr>
          <w:rFonts w:ascii="Calibri" w:cs="Calibri" w:eastAsia="Calibri" w:hAnsi="Calibri"/>
          <w:color w:val="212121"/>
          <w:sz w:val="21"/>
          <w:szCs w:val="21"/>
        </w:rPr>
        <w:t xml:space="preserve">Die Roadmap gliedert die Entwicklung des DeFi Investment Tracker SaaS in fünf sequenzielle Phasen über einen Zeitraum von 12 Monaten (April 2026 bis Q1 2027). Der MVP-Launch ist strategisch auf September 2026 terminiert – unmittelbar vor der Hochsaison der Steuererklärungen und zeitgleich mit dem Inkrafttreten der DAC8-Richtlinie, die ab 2026 erheblichen Compliance-Druck auf DeFi-Investoren erzeugt.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2800"/>
        <w:gridCol w:w="1800"/>
        <w:gridCol w:w="1300"/>
        <w:gridCol w:w="1326"/>
      </w:tblGrid>
      <w:tr>
        <w:trPr>
          <w:tblHeader/>
        </w:trPr>
        <w:tc>
          <w:tcPr>
            <w:tcW w:type="dxa" w:w="400"/>
            <w:tcBorders>
              <w:top w:val="single" w:color="CFD8DC" w:sz="1"/>
              <w:left w:val="single" w:color="CFD8DC" w:sz="1"/>
              <w:bottom w:val="single" w:color="CFD8DC" w:sz="1"/>
              <w:right w:val="single" w:color="CFD8DC" w:sz="1"/>
            </w:tcBorders>
            <w:shd w:fill="0D47A1" w:val="clear"/>
            <w:tcMar>
              <w:top w:type="dxa" w:w="80"/>
              <w:left w:type="dxa" w:w="120"/>
              <w:bottom w:type="dxa" w:w="80"/>
              <w:right w:type="dxa" w:w="80"/>
            </w:tcMar>
          </w:tcPr>
          <w:p>
            <w:r>
              <w:rPr>
                <w:rFonts w:ascii="Calibri" w:cs="Calibri" w:eastAsia="Calibri" w:hAnsi="Calibri"/>
                <w:b/>
                <w:bCs/>
                <w:color w:val="FFFFFF"/>
                <w:sz w:val="19"/>
                <w:szCs w:val="19"/>
              </w:rPr>
              <w:t xml:space="preserve">#</w:t>
            </w:r>
          </w:p>
        </w:tc>
        <w:tc>
          <w:tcPr>
            <w:tcW w:type="dxa" w:w="1400"/>
            <w:tcBorders>
              <w:top w:val="single" w:color="CFD8DC" w:sz="1"/>
              <w:left w:val="single" w:color="CFD8DC" w:sz="1"/>
              <w:bottom w:val="single" w:color="CFD8DC" w:sz="1"/>
              <w:right w:val="single" w:color="CFD8DC" w:sz="1"/>
            </w:tcBorders>
            <w:shd w:fill="0D47A1" w:val="clear"/>
            <w:tcMar>
              <w:top w:type="dxa" w:w="80"/>
              <w:left w:type="dxa" w:w="120"/>
              <w:bottom w:type="dxa" w:w="80"/>
              <w:right w:type="dxa" w:w="80"/>
            </w:tcMar>
          </w:tcPr>
          <w:p>
            <w:r>
              <w:rPr>
                <w:rFonts w:ascii="Calibri" w:cs="Calibri" w:eastAsia="Calibri" w:hAnsi="Calibri"/>
                <w:b/>
                <w:bCs/>
                <w:color w:val="FFFFFF"/>
                <w:sz w:val="19"/>
                <w:szCs w:val="19"/>
              </w:rPr>
              <w:t xml:space="preserve">Phase</w:t>
            </w:r>
          </w:p>
        </w:tc>
        <w:tc>
          <w:tcPr>
            <w:tcW w:type="dxa" w:w="2800"/>
            <w:tcBorders>
              <w:top w:val="single" w:color="CFD8DC" w:sz="1"/>
              <w:left w:val="single" w:color="CFD8DC" w:sz="1"/>
              <w:bottom w:val="single" w:color="CFD8DC" w:sz="1"/>
              <w:right w:val="single" w:color="CFD8DC" w:sz="1"/>
            </w:tcBorders>
            <w:shd w:fill="0D47A1" w:val="clear"/>
            <w:tcMar>
              <w:top w:type="dxa" w:w="80"/>
              <w:left w:type="dxa" w:w="120"/>
              <w:bottom w:type="dxa" w:w="80"/>
              <w:right w:type="dxa" w:w="80"/>
            </w:tcMar>
          </w:tcPr>
          <w:p>
            <w:r>
              <w:rPr>
                <w:rFonts w:ascii="Calibri" w:cs="Calibri" w:eastAsia="Calibri" w:hAnsi="Calibri"/>
                <w:b/>
                <w:bCs/>
                <w:color w:val="FFFFFF"/>
                <w:sz w:val="19"/>
                <w:szCs w:val="19"/>
              </w:rPr>
              <w:t xml:space="preserve">Fokus</w:t>
            </w:r>
          </w:p>
        </w:tc>
        <w:tc>
          <w:tcPr>
            <w:tcW w:type="dxa" w:w="1800"/>
            <w:tcBorders>
              <w:top w:val="single" w:color="CFD8DC" w:sz="1"/>
              <w:left w:val="single" w:color="CFD8DC" w:sz="1"/>
              <w:bottom w:val="single" w:color="CFD8DC" w:sz="1"/>
              <w:right w:val="single" w:color="CFD8DC" w:sz="1"/>
            </w:tcBorders>
            <w:shd w:fill="0D47A1" w:val="clear"/>
            <w:tcMar>
              <w:top w:type="dxa" w:w="80"/>
              <w:left w:type="dxa" w:w="120"/>
              <w:bottom w:type="dxa" w:w="80"/>
              <w:right w:type="dxa" w:w="80"/>
            </w:tcMar>
          </w:tcPr>
          <w:p>
            <w:r>
              <w:rPr>
                <w:rFonts w:ascii="Calibri" w:cs="Calibri" w:eastAsia="Calibri" w:hAnsi="Calibri"/>
                <w:b/>
                <w:bCs/>
                <w:color w:val="FFFFFF"/>
                <w:sz w:val="19"/>
                <w:szCs w:val="19"/>
              </w:rPr>
              <w:t xml:space="preserve">Zeitraum</w:t>
            </w:r>
          </w:p>
        </w:tc>
        <w:tc>
          <w:tcPr>
            <w:tcW w:type="dxa" w:w="1300"/>
            <w:tcBorders>
              <w:top w:val="single" w:color="CFD8DC" w:sz="1"/>
              <w:left w:val="single" w:color="CFD8DC" w:sz="1"/>
              <w:bottom w:val="single" w:color="CFD8DC" w:sz="1"/>
              <w:right w:val="single" w:color="CFD8DC" w:sz="1"/>
            </w:tcBorders>
            <w:shd w:fill="0D47A1" w:val="clear"/>
            <w:tcMar>
              <w:top w:type="dxa" w:w="80"/>
              <w:left w:type="dxa" w:w="120"/>
              <w:bottom w:type="dxa" w:w="80"/>
              <w:right w:type="dxa" w:w="80"/>
            </w:tcMar>
          </w:tcPr>
          <w:p>
            <w:r>
              <w:rPr>
                <w:rFonts w:ascii="Calibri" w:cs="Calibri" w:eastAsia="Calibri" w:hAnsi="Calibri"/>
                <w:b/>
                <w:bCs/>
                <w:color w:val="FFFFFF"/>
                <w:sz w:val="19"/>
                <w:szCs w:val="19"/>
              </w:rPr>
              <w:t xml:space="preserve">Dauer</w:t>
            </w:r>
          </w:p>
        </w:tc>
        <w:tc>
          <w:tcPr>
            <w:tcW w:type="dxa" w:w="1326"/>
            <w:tcBorders>
              <w:top w:val="single" w:color="CFD8DC" w:sz="1"/>
              <w:left w:val="single" w:color="CFD8DC" w:sz="1"/>
              <w:bottom w:val="single" w:color="CFD8DC" w:sz="1"/>
              <w:right w:val="single" w:color="CFD8DC" w:sz="1"/>
            </w:tcBorders>
            <w:shd w:fill="0D47A1" w:val="clear"/>
            <w:tcMar>
              <w:top w:type="dxa" w:w="80"/>
              <w:left w:type="dxa" w:w="120"/>
              <w:bottom w:type="dxa" w:w="80"/>
              <w:right w:type="dxa" w:w="80"/>
            </w:tcMar>
          </w:tcPr>
          <w:p>
            <w:r>
              <w:rPr>
                <w:rFonts w:ascii="Calibri" w:cs="Calibri" w:eastAsia="Calibri" w:hAnsi="Calibri"/>
                <w:b/>
                <w:bCs/>
                <w:color w:val="FFFFFF"/>
                <w:sz w:val="19"/>
                <w:szCs w:val="19"/>
              </w:rPr>
              <w:t xml:space="preserve">Status</w:t>
            </w:r>
          </w:p>
        </w:tc>
      </w:tr>
      <w:tr>
        <w:tc>
          <w:tcPr>
            <w:tcW w:type="dxa" w:w="400"/>
            <w:tcBorders>
              <w:top w:val="single" w:color="CFD8DC" w:sz="1"/>
              <w:left w:val="single" w:color="CFD8DC" w:sz="1"/>
              <w:bottom w:val="single" w:color="CFD8DC" w:sz="1"/>
              <w:right w:val="single" w:color="CFD8DC" w:sz="1"/>
            </w:tcBorders>
            <w:shd w:fill="F3E5F5" w:val="clear"/>
            <w:tcMar>
              <w:top w:type="dxa" w:w="80"/>
              <w:left w:type="dxa" w:w="120"/>
              <w:bottom w:type="dxa" w:w="80"/>
              <w:right w:type="dxa" w:w="80"/>
            </w:tcMar>
          </w:tcPr>
          <w:p>
            <w:r>
              <w:rPr>
                <w:rFonts w:ascii="Calibri" w:cs="Calibri" w:eastAsia="Calibri" w:hAnsi="Calibri"/>
                <w:b/>
                <w:bCs/>
                <w:color w:val="4A148C"/>
                <w:sz w:val="20"/>
                <w:szCs w:val="20"/>
              </w:rPr>
              <w:t xml:space="preserve">P0</w:t>
            </w:r>
          </w:p>
        </w:tc>
        <w:tc>
          <w:tcPr>
            <w:tcW w:type="dxa" w:w="1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bCs/>
                <w:color w:val="212121"/>
                <w:sz w:val="20"/>
                <w:szCs w:val="20"/>
              </w:rPr>
              <w:t xml:space="preserve">Discovery</w:t>
            </w:r>
          </w:p>
        </w:tc>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val="false"/>
                <w:bCs w:val="false"/>
                <w:color w:val="212121"/>
                <w:sz w:val="20"/>
                <w:szCs w:val="20"/>
              </w:rPr>
              <w:t xml:space="preserve">Architektur &amp; Rechtsvalidierung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val="false"/>
                <w:bCs w:val="false"/>
                <w:color w:val="212121"/>
                <w:sz w:val="20"/>
                <w:szCs w:val="20"/>
              </w:rPr>
              <w:t xml:space="preserve">April 2026</w:t>
            </w:r>
          </w:p>
        </w:tc>
        <w:tc>
          <w:tcPr>
            <w:tcW w:type="dxa" w:w="13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val="false"/>
                <w:bCs w:val="false"/>
                <w:color w:val="212121"/>
                <w:sz w:val="20"/>
                <w:szCs w:val="20"/>
              </w:rPr>
              <w:t xml:space="preserve">4 Wochen</w:t>
            </w:r>
          </w:p>
        </w:tc>
        <w:tc>
          <w:tcPr>
            <w:tcW w:type="dxa" w:w="1326"/>
            <w:tcBorders>
              <w:top w:val="single" w:color="CFD8DC" w:sz="1"/>
              <w:left w:val="single" w:color="CFD8DC" w:sz="1"/>
              <w:bottom w:val="single" w:color="CFD8DC" w:sz="1"/>
              <w:right w:val="single" w:color="CFD8DC" w:sz="1"/>
            </w:tcBorders>
            <w:shd w:fill="F3E5F5" w:val="clear"/>
            <w:tcMar>
              <w:top w:type="dxa" w:w="80"/>
              <w:left w:type="dxa" w:w="120"/>
              <w:bottom w:type="dxa" w:w="80"/>
              <w:right w:type="dxa" w:w="80"/>
            </w:tcMar>
          </w:tcPr>
          <w:p>
            <w:pPr>
              <w:jc w:val="center"/>
            </w:pPr>
            <w:r>
              <w:rPr>
                <w:rFonts w:ascii="Calibri" w:cs="Calibri" w:eastAsia="Calibri" w:hAnsi="Calibri"/>
                <w:b/>
                <w:bCs/>
                <w:color w:val="4A148C"/>
                <w:sz w:val="19"/>
                <w:szCs w:val="19"/>
              </w:rPr>
              <w:t xml:space="preserve">Planung</w:t>
            </w:r>
          </w:p>
        </w:tc>
      </w:tr>
      <w:tr>
        <w:tc>
          <w:tcPr>
            <w:tcW w:type="dxa" w:w="4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80"/>
            </w:tcMar>
          </w:tcPr>
          <w:p>
            <w:r>
              <w:rPr>
                <w:rFonts w:ascii="Calibri" w:cs="Calibri" w:eastAsia="Calibri" w:hAnsi="Calibri"/>
                <w:b/>
                <w:bCs/>
                <w:color w:val="0D47A1"/>
                <w:sz w:val="20"/>
                <w:szCs w:val="20"/>
              </w:rPr>
              <w:t xml:space="preserve">P1</w:t>
            </w:r>
          </w:p>
        </w:tc>
        <w:tc>
          <w:tcPr>
            <w:tcW w:type="dxa" w:w="1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bCs/>
                <w:color w:val="212121"/>
                <w:sz w:val="20"/>
                <w:szCs w:val="20"/>
              </w:rPr>
              <w:t xml:space="preserve">MVP Build</w:t>
            </w:r>
          </w:p>
        </w:tc>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val="false"/>
                <w:bCs w:val="false"/>
                <w:color w:val="212121"/>
                <w:sz w:val="20"/>
                <w:szCs w:val="20"/>
              </w:rPr>
              <w:t xml:space="preserve">Kern-Entwicklung Flare-Protokolle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val="false"/>
                <w:bCs w:val="false"/>
                <w:color w:val="212121"/>
                <w:sz w:val="20"/>
                <w:szCs w:val="20"/>
              </w:rPr>
              <w:t xml:space="preserve">Mai – Juli 2026</w:t>
            </w:r>
          </w:p>
        </w:tc>
        <w:tc>
          <w:tcPr>
            <w:tcW w:type="dxa" w:w="13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val="false"/>
                <w:bCs w:val="false"/>
                <w:color w:val="212121"/>
                <w:sz w:val="20"/>
                <w:szCs w:val="20"/>
              </w:rPr>
              <w:t xml:space="preserve">12 Wochen</w:t>
            </w:r>
          </w:p>
        </w:tc>
        <w:tc>
          <w:tcPr>
            <w:tcW w:type="dxa" w:w="1326"/>
            <w:tcBorders>
              <w:top w:val="single" w:color="CFD8DC" w:sz="1"/>
              <w:left w:val="single" w:color="CFD8DC" w:sz="1"/>
              <w:bottom w:val="single" w:color="CFD8DC" w:sz="1"/>
              <w:right w:val="single" w:color="CFD8DC" w:sz="1"/>
            </w:tcBorders>
            <w:shd w:fill="E3F2FD" w:val="clear"/>
            <w:tcMar>
              <w:top w:type="dxa" w:w="80"/>
              <w:left w:type="dxa" w:w="120"/>
              <w:bottom w:type="dxa" w:w="80"/>
              <w:right w:type="dxa" w:w="80"/>
            </w:tcMar>
          </w:tcPr>
          <w:p>
            <w:pPr>
              <w:jc w:val="center"/>
            </w:pPr>
            <w:r>
              <w:rPr>
                <w:rFonts w:ascii="Calibri" w:cs="Calibri" w:eastAsia="Calibri" w:hAnsi="Calibri"/>
                <w:b/>
                <w:bCs/>
                <w:color w:val="0D47A1"/>
                <w:sz w:val="19"/>
                <w:szCs w:val="19"/>
              </w:rPr>
              <w:t xml:space="preserve">Entwicklung</w:t>
            </w:r>
          </w:p>
        </w:tc>
      </w:tr>
      <w:tr>
        <w:tc>
          <w:tcPr>
            <w:tcW w:type="dxa" w:w="400"/>
            <w:tcBorders>
              <w:top w:val="single" w:color="CFD8DC" w:sz="1"/>
              <w:left w:val="single" w:color="CFD8DC" w:sz="1"/>
              <w:bottom w:val="single" w:color="CFD8DC" w:sz="1"/>
              <w:right w:val="single" w:color="CFD8DC" w:sz="1"/>
            </w:tcBorders>
            <w:shd w:fill="E0F7FA" w:val="clear"/>
            <w:tcMar>
              <w:top w:type="dxa" w:w="80"/>
              <w:left w:type="dxa" w:w="120"/>
              <w:bottom w:type="dxa" w:w="80"/>
              <w:right w:type="dxa" w:w="80"/>
            </w:tcMar>
          </w:tcPr>
          <w:p>
            <w:r>
              <w:rPr>
                <w:rFonts w:ascii="Calibri" w:cs="Calibri" w:eastAsia="Calibri" w:hAnsi="Calibri"/>
                <w:b/>
                <w:bCs/>
                <w:color w:val="006064"/>
                <w:sz w:val="20"/>
                <w:szCs w:val="20"/>
              </w:rPr>
              <w:t xml:space="preserve">P2</w:t>
            </w:r>
          </w:p>
        </w:tc>
        <w:tc>
          <w:tcPr>
            <w:tcW w:type="dxa" w:w="1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bCs/>
                <w:color w:val="212121"/>
                <w:sz w:val="20"/>
                <w:szCs w:val="20"/>
              </w:rPr>
              <w:t xml:space="preserve">Beta</w:t>
            </w:r>
          </w:p>
        </w:tc>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val="false"/>
                <w:bCs w:val="false"/>
                <w:color w:val="212121"/>
                <w:sz w:val="20"/>
                <w:szCs w:val="20"/>
              </w:rPr>
              <w:t xml:space="preserve">Geschlossener Beta-Test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val="false"/>
                <w:bCs w:val="false"/>
                <w:color w:val="212121"/>
                <w:sz w:val="20"/>
                <w:szCs w:val="20"/>
              </w:rPr>
              <w:t xml:space="preserve">August 2026</w:t>
            </w:r>
          </w:p>
        </w:tc>
        <w:tc>
          <w:tcPr>
            <w:tcW w:type="dxa" w:w="13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val="false"/>
                <w:bCs w:val="false"/>
                <w:color w:val="212121"/>
                <w:sz w:val="20"/>
                <w:szCs w:val="20"/>
              </w:rPr>
              <w:t xml:space="preserve">4 Wochen</w:t>
            </w:r>
          </w:p>
        </w:tc>
        <w:tc>
          <w:tcPr>
            <w:tcW w:type="dxa" w:w="1326"/>
            <w:tcBorders>
              <w:top w:val="single" w:color="CFD8DC" w:sz="1"/>
              <w:left w:val="single" w:color="CFD8DC" w:sz="1"/>
              <w:bottom w:val="single" w:color="CFD8DC" w:sz="1"/>
              <w:right w:val="single" w:color="CFD8DC" w:sz="1"/>
            </w:tcBorders>
            <w:shd w:fill="E0F7FA" w:val="clear"/>
            <w:tcMar>
              <w:top w:type="dxa" w:w="80"/>
              <w:left w:type="dxa" w:w="120"/>
              <w:bottom w:type="dxa" w:w="80"/>
              <w:right w:type="dxa" w:w="80"/>
            </w:tcMar>
          </w:tcPr>
          <w:p>
            <w:pPr>
              <w:jc w:val="center"/>
            </w:pPr>
            <w:r>
              <w:rPr>
                <w:rFonts w:ascii="Calibri" w:cs="Calibri" w:eastAsia="Calibri" w:hAnsi="Calibri"/>
                <w:b/>
                <w:bCs/>
                <w:color w:val="006064"/>
                <w:sz w:val="19"/>
                <w:szCs w:val="19"/>
              </w:rPr>
              <w:t xml:space="preserve">Test</w:t>
            </w:r>
          </w:p>
        </w:tc>
      </w:tr>
      <w:tr>
        <w:tc>
          <w:tcPr>
            <w:tcW w:type="dxa" w:w="400"/>
            <w:tcBorders>
              <w:top w:val="single" w:color="CFD8DC" w:sz="1"/>
              <w:left w:val="single" w:color="CFD8DC" w:sz="1"/>
              <w:bottom w:val="single" w:color="CFD8DC" w:sz="1"/>
              <w:right w:val="single" w:color="CFD8DC" w:sz="1"/>
            </w:tcBorders>
            <w:shd w:fill="FFF3E0" w:val="clear"/>
            <w:tcMar>
              <w:top w:type="dxa" w:w="80"/>
              <w:left w:type="dxa" w:w="120"/>
              <w:bottom w:type="dxa" w:w="80"/>
              <w:right w:type="dxa" w:w="80"/>
            </w:tcMar>
          </w:tcPr>
          <w:p>
            <w:r>
              <w:rPr>
                <w:rFonts w:ascii="Calibri" w:cs="Calibri" w:eastAsia="Calibri" w:hAnsi="Calibri"/>
                <w:b/>
                <w:bCs/>
                <w:color w:val="BF360C"/>
                <w:sz w:val="20"/>
                <w:szCs w:val="20"/>
              </w:rPr>
              <w:t xml:space="preserve">P3</w:t>
            </w:r>
          </w:p>
        </w:tc>
        <w:tc>
          <w:tcPr>
            <w:tcW w:type="dxa" w:w="1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bCs/>
                <w:color w:val="212121"/>
                <w:sz w:val="20"/>
                <w:szCs w:val="20"/>
              </w:rPr>
              <w:t xml:space="preserve">Launch</w:t>
            </w:r>
          </w:p>
        </w:tc>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val="false"/>
                <w:bCs w:val="false"/>
                <w:color w:val="212121"/>
                <w:sz w:val="20"/>
                <w:szCs w:val="20"/>
              </w:rPr>
              <w:t xml:space="preserve">Markteinführung &amp; Go-to-Market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val="false"/>
                <w:bCs w:val="false"/>
                <w:color w:val="212121"/>
                <w:sz w:val="20"/>
                <w:szCs w:val="20"/>
              </w:rPr>
              <w:t xml:space="preserve">September 2026</w:t>
            </w:r>
          </w:p>
        </w:tc>
        <w:tc>
          <w:tcPr>
            <w:tcW w:type="dxa" w:w="13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val="false"/>
                <w:bCs w:val="false"/>
                <w:color w:val="212121"/>
                <w:sz w:val="20"/>
                <w:szCs w:val="20"/>
              </w:rPr>
              <w:t xml:space="preserve">Go-Live</w:t>
            </w:r>
          </w:p>
        </w:tc>
        <w:tc>
          <w:tcPr>
            <w:tcW w:type="dxa" w:w="1326"/>
            <w:tcBorders>
              <w:top w:val="single" w:color="CFD8DC" w:sz="1"/>
              <w:left w:val="single" w:color="CFD8DC" w:sz="1"/>
              <w:bottom w:val="single" w:color="CFD8DC" w:sz="1"/>
              <w:right w:val="single" w:color="CFD8DC" w:sz="1"/>
            </w:tcBorders>
            <w:shd w:fill="FFF3E0" w:val="clear"/>
            <w:tcMar>
              <w:top w:type="dxa" w:w="80"/>
              <w:left w:type="dxa" w:w="120"/>
              <w:bottom w:type="dxa" w:w="80"/>
              <w:right w:type="dxa" w:w="80"/>
            </w:tcMar>
          </w:tcPr>
          <w:p>
            <w:pPr>
              <w:jc w:val="center"/>
            </w:pPr>
            <w:r>
              <w:rPr>
                <w:rFonts w:ascii="Calibri" w:cs="Calibri" w:eastAsia="Calibri" w:hAnsi="Calibri"/>
                <w:b/>
                <w:bCs/>
                <w:color w:val="BF360C"/>
                <w:sz w:val="19"/>
                <w:szCs w:val="19"/>
              </w:rPr>
              <w:t xml:space="preserve">Launch</w:t>
            </w:r>
          </w:p>
        </w:tc>
      </w:tr>
      <w:tr>
        <w:tc>
          <w:tcPr>
            <w:tcW w:type="dxa" w:w="4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80"/>
            </w:tcMar>
          </w:tcPr>
          <w:p>
            <w:r>
              <w:rPr>
                <w:rFonts w:ascii="Calibri" w:cs="Calibri" w:eastAsia="Calibri" w:hAnsi="Calibri"/>
                <w:b/>
                <w:bCs/>
                <w:color w:val="1B5E20"/>
                <w:sz w:val="20"/>
                <w:szCs w:val="20"/>
              </w:rPr>
              <w:t xml:space="preserve">P4</w:t>
            </w:r>
          </w:p>
        </w:tc>
        <w:tc>
          <w:tcPr>
            <w:tcW w:type="dxa" w:w="1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bCs/>
                <w:color w:val="212121"/>
                <w:sz w:val="20"/>
                <w:szCs w:val="20"/>
              </w:rPr>
              <w:t xml:space="preserve">Skalierung</w:t>
            </w:r>
          </w:p>
        </w:tc>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val="false"/>
                <w:bCs w:val="false"/>
                <w:color w:val="212121"/>
                <w:sz w:val="20"/>
                <w:szCs w:val="20"/>
              </w:rPr>
              <w:t xml:space="preserve">Multi-Chain &amp; B2B-Portal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val="false"/>
                <w:bCs w:val="false"/>
                <w:color w:val="212121"/>
                <w:sz w:val="20"/>
                <w:szCs w:val="20"/>
              </w:rPr>
              <w:t xml:space="preserve">Q4 2026 – Q1 2027</w:t>
            </w:r>
          </w:p>
        </w:tc>
        <w:tc>
          <w:tcPr>
            <w:tcW w:type="dxa" w:w="13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80"/>
            </w:tcMar>
          </w:tcPr>
          <w:p>
            <w:r>
              <w:rPr>
                <w:rFonts w:ascii="Calibri" w:cs="Calibri" w:eastAsia="Calibri" w:hAnsi="Calibri"/>
                <w:b w:val="false"/>
                <w:bCs w:val="false"/>
                <w:color w:val="212121"/>
                <w:sz w:val="20"/>
                <w:szCs w:val="20"/>
              </w:rPr>
              <w:t xml:space="preserve">~6 Monate</w:t>
            </w:r>
          </w:p>
        </w:tc>
        <w:tc>
          <w:tcPr>
            <w:tcW w:type="dxa" w:w="1326"/>
            <w:tcBorders>
              <w:top w:val="single" w:color="CFD8DC" w:sz="1"/>
              <w:left w:val="single" w:color="CFD8DC" w:sz="1"/>
              <w:bottom w:val="single" w:color="CFD8DC" w:sz="1"/>
              <w:right w:val="single" w:color="CFD8DC" w:sz="1"/>
            </w:tcBorders>
            <w:shd w:fill="E8F5E9" w:val="clear"/>
            <w:tcMar>
              <w:top w:type="dxa" w:w="80"/>
              <w:left w:type="dxa" w:w="120"/>
              <w:bottom w:type="dxa" w:w="80"/>
              <w:right w:type="dxa" w:w="80"/>
            </w:tcMar>
          </w:tcPr>
          <w:p>
            <w:pPr>
              <w:jc w:val="center"/>
            </w:pPr>
            <w:r>
              <w:rPr>
                <w:rFonts w:ascii="Calibri" w:cs="Calibri" w:eastAsia="Calibri" w:hAnsi="Calibri"/>
                <w:b/>
                <w:bCs/>
                <w:color w:val="1B5E20"/>
                <w:sz w:val="19"/>
                <w:szCs w:val="19"/>
              </w:rPr>
              <w:t xml:space="preserve">Roadmap</w:t>
            </w:r>
          </w:p>
        </w:tc>
      </w:tr>
    </w:tbl>
    <w:p>
      <w:pPr>
        <w:spacing w:before="120" w:after="0"/>
      </w:pPr>
      <w:r>
        <w:t xml:space="preserve"/>
      </w:r>
    </w:p>
    <w:p>
      <w:pPr>
        <w:pStyle w:val="Heading2"/>
      </w:pPr>
      <w:r>
        <w:rPr>
          <w:rFonts w:ascii="Calibri" w:cs="Calibri" w:eastAsia="Calibri" w:hAnsi="Calibri"/>
          <w:b/>
          <w:bCs/>
          <w:color w:val="0D47A1"/>
          <w:sz w:val="26"/>
          <w:szCs w:val="26"/>
        </w:rPr>
        <w:t xml:space="preserve">Kennzahlen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CFD8DC" w:sz="1"/>
              <w:left w:val="single" w:color="CFD8DC" w:sz="1"/>
              <w:bottom w:val="single" w:color="CFD8DC" w:sz="1"/>
              <w:right w:val="single" w:color="CFD8DC" w:sz="1"/>
            </w:tcBorders>
            <w:shd w:fill="F5F5F5" w:val="clear"/>
            <w:tcMar>
              <w:top w:type="dxa" w:w="100"/>
              <w:left w:type="dxa" w:w="140"/>
              <w:bottom w:type="dxa" w:w="100"/>
              <w:right w:type="dxa" w:w="100"/>
            </w:tcMar>
            <w:vAlign w:val="center"/>
          </w:tcPr>
          <w:p>
            <w:pPr>
              <w:jc w:val="center"/>
            </w:pPr>
            <w:r>
              <w:rPr>
                <w:rFonts w:ascii="Calibri" w:cs="Calibri" w:eastAsia="Calibri" w:hAnsi="Calibri"/>
                <w:color w:val="546E7A"/>
                <w:sz w:val="17"/>
                <w:szCs w:val="17"/>
              </w:rPr>
              <w:t xml:space="preserve">Gesamtdauer</w:t>
            </w:r>
          </w:p>
          <w:p>
            <w:pPr>
              <w:jc w:val="center"/>
            </w:pPr>
            <w:r>
              <w:rPr>
                <w:rFonts w:ascii="Calibri" w:cs="Calibri" w:eastAsia="Calibri" w:hAnsi="Calibri"/>
                <w:b/>
                <w:bCs/>
                <w:color w:val="0D47A1"/>
                <w:sz w:val="24"/>
                <w:szCs w:val="24"/>
              </w:rPr>
              <w:t xml:space="preserve">12 Monate</w:t>
            </w:r>
          </w:p>
        </w:tc>
        <w:tc>
          <w:tcPr>
            <w:tcW w:type="dxa" w:w="1805"/>
            <w:tcBorders>
              <w:top w:val="single" w:color="CFD8DC" w:sz="1"/>
              <w:left w:val="single" w:color="CFD8DC" w:sz="1"/>
              <w:bottom w:val="single" w:color="CFD8DC" w:sz="1"/>
              <w:right w:val="single" w:color="CFD8DC" w:sz="1"/>
            </w:tcBorders>
            <w:shd w:fill="F5F5F5" w:val="clear"/>
            <w:tcMar>
              <w:top w:type="dxa" w:w="100"/>
              <w:left w:type="dxa" w:w="140"/>
              <w:bottom w:type="dxa" w:w="100"/>
              <w:right w:type="dxa" w:w="100"/>
            </w:tcMar>
            <w:vAlign w:val="center"/>
          </w:tcPr>
          <w:p>
            <w:pPr>
              <w:jc w:val="center"/>
            </w:pPr>
            <w:r>
              <w:rPr>
                <w:rFonts w:ascii="Calibri" w:cs="Calibri" w:eastAsia="Calibri" w:hAnsi="Calibri"/>
                <w:color w:val="546E7A"/>
                <w:sz w:val="17"/>
                <w:szCs w:val="17"/>
              </w:rPr>
              <w:t xml:space="preserve">MVP-Kosten</w:t>
            </w:r>
          </w:p>
          <w:p>
            <w:pPr>
              <w:jc w:val="center"/>
            </w:pPr>
            <w:r>
              <w:rPr>
                <w:rFonts w:ascii="Calibri" w:cs="Calibri" w:eastAsia="Calibri" w:hAnsi="Calibri"/>
                <w:b/>
                <w:bCs/>
                <w:color w:val="0D47A1"/>
                <w:sz w:val="24"/>
                <w:szCs w:val="24"/>
              </w:rPr>
              <w:t xml:space="preserve">€ 62K – 87K</w:t>
            </w:r>
          </w:p>
        </w:tc>
        <w:tc>
          <w:tcPr>
            <w:tcW w:type="dxa" w:w="1805"/>
            <w:tcBorders>
              <w:top w:val="single" w:color="CFD8DC" w:sz="1"/>
              <w:left w:val="single" w:color="CFD8DC" w:sz="1"/>
              <w:bottom w:val="single" w:color="CFD8DC" w:sz="1"/>
              <w:right w:val="single" w:color="CFD8DC" w:sz="1"/>
            </w:tcBorders>
            <w:shd w:fill="F5F5F5" w:val="clear"/>
            <w:tcMar>
              <w:top w:type="dxa" w:w="100"/>
              <w:left w:type="dxa" w:w="140"/>
              <w:bottom w:type="dxa" w:w="100"/>
              <w:right w:type="dxa" w:w="100"/>
            </w:tcMar>
            <w:vAlign w:val="center"/>
          </w:tcPr>
          <w:p>
            <w:pPr>
              <w:jc w:val="center"/>
            </w:pPr>
            <w:r>
              <w:rPr>
                <w:rFonts w:ascii="Calibri" w:cs="Calibri" w:eastAsia="Calibri" w:hAnsi="Calibri"/>
                <w:color w:val="546E7A"/>
                <w:sz w:val="17"/>
                <w:szCs w:val="17"/>
              </w:rPr>
              <w:t xml:space="preserve">MVP-Launch</w:t>
            </w:r>
          </w:p>
          <w:p>
            <w:pPr>
              <w:jc w:val="center"/>
            </w:pPr>
            <w:r>
              <w:rPr>
                <w:rFonts w:ascii="Calibri" w:cs="Calibri" w:eastAsia="Calibri" w:hAnsi="Calibri"/>
                <w:b/>
                <w:bCs/>
                <w:color w:val="0D47A1"/>
                <w:sz w:val="24"/>
                <w:szCs w:val="24"/>
              </w:rPr>
              <w:t xml:space="preserve">Sept. 2026</w:t>
            </w:r>
          </w:p>
        </w:tc>
        <w:tc>
          <w:tcPr>
            <w:tcW w:type="dxa" w:w="1805"/>
            <w:tcBorders>
              <w:top w:val="single" w:color="CFD8DC" w:sz="1"/>
              <w:left w:val="single" w:color="CFD8DC" w:sz="1"/>
              <w:bottom w:val="single" w:color="CFD8DC" w:sz="1"/>
              <w:right w:val="single" w:color="CFD8DC" w:sz="1"/>
            </w:tcBorders>
            <w:shd w:fill="F5F5F5" w:val="clear"/>
            <w:tcMar>
              <w:top w:type="dxa" w:w="100"/>
              <w:left w:type="dxa" w:w="140"/>
              <w:bottom w:type="dxa" w:w="100"/>
              <w:right w:type="dxa" w:w="100"/>
            </w:tcMar>
            <w:vAlign w:val="center"/>
          </w:tcPr>
          <w:p>
            <w:pPr>
              <w:jc w:val="center"/>
            </w:pPr>
            <w:r>
              <w:rPr>
                <w:rFonts w:ascii="Calibri" w:cs="Calibri" w:eastAsia="Calibri" w:hAnsi="Calibri"/>
                <w:color w:val="546E7A"/>
                <w:sz w:val="17"/>
                <w:szCs w:val="17"/>
              </w:rPr>
              <w:t xml:space="preserve">Ziel-Protokolle</w:t>
            </w:r>
          </w:p>
          <w:p>
            <w:pPr>
              <w:jc w:val="center"/>
            </w:pPr>
            <w:r>
              <w:rPr>
                <w:rFonts w:ascii="Calibri" w:cs="Calibri" w:eastAsia="Calibri" w:hAnsi="Calibri"/>
                <w:b/>
                <w:bCs/>
                <w:color w:val="0D47A1"/>
                <w:sz w:val="24"/>
                <w:szCs w:val="24"/>
              </w:rPr>
              <w:t xml:space="preserve">6 DeFi-Protokolle</w:t>
            </w:r>
          </w:p>
        </w:tc>
        <w:tc>
          <w:tcPr>
            <w:tcW w:type="dxa" w:w="1805"/>
            <w:tcBorders>
              <w:top w:val="single" w:color="CFD8DC" w:sz="1"/>
              <w:left w:val="single" w:color="CFD8DC" w:sz="1"/>
              <w:bottom w:val="single" w:color="CFD8DC" w:sz="1"/>
              <w:right w:val="single" w:color="CFD8DC" w:sz="1"/>
            </w:tcBorders>
            <w:shd w:fill="F5F5F5" w:val="clear"/>
            <w:tcMar>
              <w:top w:type="dxa" w:w="100"/>
              <w:left w:type="dxa" w:w="140"/>
              <w:bottom w:type="dxa" w:w="100"/>
              <w:right w:type="dxa" w:w="100"/>
            </w:tcMar>
            <w:vAlign w:val="center"/>
          </w:tcPr>
          <w:p>
            <w:pPr>
              <w:jc w:val="center"/>
            </w:pPr>
            <w:r>
              <w:rPr>
                <w:rFonts w:ascii="Calibri" w:cs="Calibri" w:eastAsia="Calibri" w:hAnsi="Calibri"/>
                <w:color w:val="546E7A"/>
                <w:sz w:val="17"/>
                <w:szCs w:val="17"/>
              </w:rPr>
              <w:t xml:space="preserve">Ziel-Märkte</w:t>
            </w:r>
          </w:p>
          <w:p>
            <w:pPr>
              <w:jc w:val="center"/>
            </w:pPr>
            <w:r>
              <w:rPr>
                <w:rFonts w:ascii="Calibri" w:cs="Calibri" w:eastAsia="Calibri" w:hAnsi="Calibri"/>
                <w:b/>
                <w:bCs/>
                <w:color w:val="0D47A1"/>
                <w:sz w:val="24"/>
                <w:szCs w:val="24"/>
              </w:rPr>
              <w:t xml:space="preserve">B2C + B2B</w:t>
            </w:r>
          </w:p>
        </w:tc>
      </w:tr>
    </w:tbl>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1600"/>
        <w:gridCol w:w="826"/>
      </w:tblGrid>
      <w:tr>
        <w:tc>
          <w:tcPr>
            <w:tcW w:type="dxa" w:w="1400"/>
            <w:tcBorders>
              <w:top w:val="single" w:color="4A148C" w:sz="12"/>
              <w:left w:val="single" w:color="CFD8DC" w:sz="1"/>
              <w:bottom w:val="single" w:color="CFD8DC" w:sz="1"/>
              <w:right w:val="single" w:color="CFD8DC" w:sz="1"/>
            </w:tcBorders>
            <w:shd w:fill="F3E5F5" w:val="clear"/>
            <w:tcMar>
              <w:top w:type="dxa" w:w="120"/>
              <w:left w:type="dxa" w:w="160"/>
              <w:bottom w:type="dxa" w:w="120"/>
              <w:right w:type="dxa" w:w="100"/>
            </w:tcMar>
            <w:vAlign w:val="center"/>
          </w:tcPr>
          <w:p>
            <w:pPr>
              <w:jc w:val="center"/>
            </w:pPr>
            <w:r>
              <w:rPr>
                <w:rFonts w:ascii="Calibri" w:cs="Calibri" w:eastAsia="Calibri" w:hAnsi="Calibri"/>
                <w:b/>
                <w:bCs/>
                <w:color w:val="4A148C"/>
                <w:sz w:val="28"/>
                <w:szCs w:val="28"/>
              </w:rPr>
              <w:t xml:space="preserve">PHASE 0</w:t>
            </w:r>
          </w:p>
        </w:tc>
        <w:tc>
          <w:tcPr>
            <w:tcW w:type="dxa" w:w="5200"/>
            <w:tcBorders>
              <w:top w:val="single" w:color="4A148C" w:sz="12"/>
              <w:left w:val="single" w:color="CFD8DC" w:sz="1"/>
              <w:bottom w:val="single" w:color="CFD8DC" w:sz="1"/>
              <w:right w:val="single" w:color="CFD8DC" w:sz="1"/>
            </w:tcBorders>
            <w:shd w:fill="F3E5F5" w:val="clear"/>
            <w:tcMar>
              <w:top w:type="dxa" w:w="100"/>
              <w:left w:type="dxa" w:w="160"/>
              <w:bottom w:type="dxa" w:w="100"/>
              <w:right w:type="dxa" w:w="100"/>
            </w:tcMar>
            <w:vAlign w:val="center"/>
          </w:tcPr>
          <w:p>
            <w:r>
              <w:rPr>
                <w:rFonts w:ascii="Calibri" w:cs="Calibri" w:eastAsia="Calibri" w:hAnsi="Calibri"/>
                <w:b/>
                <w:bCs/>
                <w:color w:val="4A148C"/>
                <w:sz w:val="26"/>
                <w:szCs w:val="26"/>
              </w:rPr>
              <w:t xml:space="preserve">Discovery – Technische Grundlagen &amp; Rechtsvalidierung</w:t>
            </w:r>
          </w:p>
        </w:tc>
        <w:tc>
          <w:tcPr>
            <w:tcW w:type="dxa" w:w="1600"/>
            <w:tcBorders>
              <w:top w:val="single" w:color="4A148C" w:sz="12"/>
              <w:left w:val="single" w:color="CFD8DC" w:sz="1"/>
              <w:bottom w:val="single" w:color="CFD8DC" w:sz="1"/>
              <w:right w:val="single" w:color="CFD8DC" w:sz="1"/>
            </w:tcBorders>
            <w:shd w:fill="F3E5F5" w:val="clear"/>
            <w:tcMar>
              <w:top w:type="dxa" w:w="100"/>
              <w:left w:type="dxa" w:w="120"/>
              <w:bottom w:type="dxa" w:w="100"/>
              <w:right w:type="dxa" w:w="100"/>
            </w:tcMar>
            <w:vAlign w:val="center"/>
          </w:tcPr>
          <w:p>
            <w:pPr>
              <w:jc w:val="center"/>
            </w:pPr>
            <w:r>
              <w:rPr>
                <w:rFonts w:ascii="Calibri" w:cs="Calibri" w:eastAsia="Calibri" w:hAnsi="Calibri"/>
                <w:b/>
                <w:bCs/>
                <w:color w:val="4A148C"/>
                <w:sz w:val="20"/>
                <w:szCs w:val="20"/>
              </w:rPr>
              <w:t xml:space="preserve">April 2026</w:t>
            </w:r>
          </w:p>
          <w:p>
            <w:pPr>
              <w:jc w:val="center"/>
            </w:pPr>
            <w:r>
              <w:rPr>
                <w:rFonts w:ascii="Calibri" w:cs="Calibri" w:eastAsia="Calibri" w:hAnsi="Calibri"/>
                <w:color w:val="546E7A"/>
                <w:sz w:val="18"/>
                <w:szCs w:val="18"/>
              </w:rPr>
              <w:t xml:space="preserve">4 Wochen</w:t>
            </w:r>
          </w:p>
        </w:tc>
        <w:tc>
          <w:tcPr>
            <w:tcW w:type="dxa" w:w="826"/>
            <w:tcBorders>
              <w:top w:val="single" w:color="4A148C" w:sz="12"/>
              <w:left w:val="single" w:color="CFD8DC" w:sz="1"/>
              <w:bottom w:val="single" w:color="CFD8DC" w:sz="1"/>
              <w:right w:val="single" w:color="CFD8DC" w:sz="1"/>
            </w:tcBorders>
            <w:shd w:fill="F3E5F5" w:val="clear"/>
            <w:tcMar>
              <w:top w:type="dxa" w:w="100"/>
              <w:left w:type="dxa" w:w="80"/>
              <w:bottom w:type="dxa" w:w="100"/>
              <w:right w:type="dxa" w:w="80"/>
            </w:tcMar>
            <w:vAlign w:val="center"/>
          </w:tcPr>
          <w:p>
            <w:pPr>
              <w:jc w:val="center"/>
            </w:pPr>
            <w:r>
              <w:rPr>
                <w:rFonts w:ascii="Calibri" w:cs="Calibri" w:eastAsia="Calibri" w:hAnsi="Calibri"/>
                <w:b/>
                <w:bCs/>
                <w:color w:val="4A148C"/>
                <w:sz w:val="32"/>
                <w:szCs w:val="32"/>
              </w:rPr>
              <w:t xml:space="preserve">●</w:t>
            </w:r>
          </w:p>
        </w:tc>
      </w:tr>
    </w:tbl>
    <w:p>
      <w:pPr>
        <w:spacing w:before="100" w:after="0"/>
      </w:pPr>
      <w:r>
        <w:t xml:space="preserve"/>
      </w:r>
    </w:p>
    <w:p>
      <w:pPr>
        <w:spacing w:before="60" w:after="80"/>
      </w:pPr>
      <w:r>
        <w:rPr>
          <w:rFonts w:ascii="Calibri" w:cs="Calibri" w:eastAsia="Calibri" w:hAnsi="Calibri"/>
          <w:color w:val="212121"/>
          <w:sz w:val="21"/>
          <w:szCs w:val="21"/>
        </w:rPr>
        <w:t xml:space="preserve">Ziel: Technische und rechtliche Grundlagen schaffen, bevor mit der Entwicklung begonnen wird. Alle Subgraph-Quellen validieren, Steuerrechts-Graubereiche klären, erste Nutzerfeedbacks einholen.</w:t>
      </w:r>
    </w:p>
    <w:p>
      <w:pPr>
        <w:spacing w:before="80" w:after="0"/>
      </w:pPr>
      <w:r>
        <w:t xml:space="preserve"/>
      </w:r>
    </w:p>
    <w:tbl>
      <w:tblPr>
        <w:tblW w:type="dxa" w:w="9026"/>
        <w:tblBorders>
          <w:top w:val="single" w:color="CFD8DC" w:sz="1"/>
          <w:left w:val="single" w:color="CFD8DC" w:sz="1"/>
          <w:bottom w:val="single" w:color="CFD8DC" w:sz="1"/>
          <w:right w:val="single" w:color="CFD8DC" w:sz="1"/>
          <w:insideH w:val="single" w:color="auto" w:sz="4"/>
          <w:insideV w:val="single" w:color="auto" w:sz="4"/>
        </w:tblBorders>
      </w:tblPr>
      <w:tblGrid>
        <w:gridCol w:w="4413"/>
        <w:gridCol w:w="4413"/>
      </w:tblGrid>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4A148C"/>
                <w:sz w:val="20"/>
                <w:szCs w:val="20"/>
              </w:rPr>
              <w:t xml:space="preserve">▸  </w:t>
            </w:r>
            <w:r>
              <w:rPr>
                <w:rFonts w:ascii="Calibri" w:cs="Calibri" w:eastAsia="Calibri" w:hAnsi="Calibri"/>
                <w:color w:val="212121"/>
                <w:sz w:val="20"/>
                <w:szCs w:val="20"/>
              </w:rPr>
              <w:t xml:space="preserve">Technische Architektur definieren &amp; dokumentieren</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4A148C"/>
                <w:sz w:val="20"/>
                <w:szCs w:val="20"/>
              </w:rPr>
              <w:t xml:space="preserve">▸  </w:t>
            </w:r>
            <w:r>
              <w:rPr>
                <w:rFonts w:ascii="Calibri" w:cs="Calibri" w:eastAsia="Calibri" w:hAnsi="Calibri"/>
                <w:color w:val="212121"/>
                <w:sz w:val="20"/>
                <w:szCs w:val="20"/>
              </w:rPr>
              <w:t xml:space="preserve">10 Nutzerinterviews (Flare DeFi Community)</w:t>
            </w:r>
          </w:p>
        </w:tc>
      </w:tr>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4A148C"/>
                <w:sz w:val="20"/>
                <w:szCs w:val="20"/>
              </w:rPr>
              <w:t xml:space="preserve">▸  </w:t>
            </w:r>
            <w:r>
              <w:rPr>
                <w:rFonts w:ascii="Calibri" w:cs="Calibri" w:eastAsia="Calibri" w:hAnsi="Calibri"/>
                <w:color w:val="212121"/>
                <w:sz w:val="20"/>
                <w:szCs w:val="20"/>
              </w:rPr>
              <w:t xml:space="preserve">Smart-Contract-ABIs für alle 6 Protokolle sammeln</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4A148C"/>
                <w:sz w:val="20"/>
                <w:szCs w:val="20"/>
              </w:rPr>
              <w:t xml:space="preserve">▸  </w:t>
            </w:r>
            <w:r>
              <w:rPr>
                <w:rFonts w:ascii="Calibri" w:cs="Calibri" w:eastAsia="Calibri" w:hAnsi="Calibri"/>
                <w:color w:val="212121"/>
                <w:sz w:val="20"/>
                <w:szCs w:val="20"/>
              </w:rPr>
              <w:t xml:space="preserve">Wettbewerbsmonitoring (Blockpit, Koinly auf Flare?)</w:t>
            </w:r>
          </w:p>
        </w:tc>
      </w:tr>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4A148C"/>
                <w:sz w:val="20"/>
                <w:szCs w:val="20"/>
              </w:rPr>
              <w:t xml:space="preserve">▸  </w:t>
            </w:r>
            <w:r>
              <w:rPr>
                <w:rFonts w:ascii="Calibri" w:cs="Calibri" w:eastAsia="Calibri" w:hAnsi="Calibri"/>
                <w:color w:val="212121"/>
                <w:sz w:val="20"/>
                <w:szCs w:val="20"/>
              </w:rPr>
              <w:t xml:space="preserve">Steuerrechts-Validierung BMF 2025 (LP/CDP-Graubereich)</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4A148C"/>
                <w:sz w:val="20"/>
                <w:szCs w:val="20"/>
              </w:rPr>
              <w:t xml:space="preserve">▸  </w:t>
            </w:r>
            <w:r>
              <w:rPr>
                <w:rFonts w:ascii="Calibri" w:cs="Calibri" w:eastAsia="Calibri" w:hAnsi="Calibri"/>
                <w:color w:val="212121"/>
                <w:sz w:val="20"/>
                <w:szCs w:val="20"/>
              </w:rPr>
              <w:t xml:space="preserve">Projektplan &amp; Sprint-Struktur aufsetzen</w:t>
            </w:r>
          </w:p>
        </w:tc>
      </w:tr>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4A148C"/>
                <w:sz w:val="20"/>
                <w:szCs w:val="20"/>
              </w:rPr>
              <w:t xml:space="preserve">▸  </w:t>
            </w:r>
            <w:r>
              <w:rPr>
                <w:rFonts w:ascii="Calibri" w:cs="Calibri" w:eastAsia="Calibri" w:hAnsi="Calibri"/>
                <w:color w:val="212121"/>
                <w:sz w:val="20"/>
                <w:szCs w:val="20"/>
              </w:rPr>
              <w:t xml:space="preserve">The Graph Subgraph-Audit (SparkDEX V4, Ēnosys V3)</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4A148C"/>
                <w:sz w:val="20"/>
                <w:szCs w:val="20"/>
              </w:rPr>
              <w:t xml:space="preserve">▸  </w:t>
            </w:r>
            <w:r>
              <w:rPr>
                <w:rFonts w:ascii="Calibri" w:cs="Calibri" w:eastAsia="Calibri" w:hAnsi="Calibri"/>
                <w:color w:val="212121"/>
                <w:sz w:val="20"/>
                <w:szCs w:val="20"/>
              </w:rPr>
              <w:t xml:space="preserve">DSGVO-Datenschutzkonzept erstellen</w:t>
            </w:r>
          </w:p>
        </w:tc>
      </w:tr>
    </w:tbl>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FD8DC" w:sz="1"/>
              <w:left w:val="single" w:color="CFD8DC" w:sz="1"/>
              <w:bottom w:val="single" w:color="CFD8DC" w:sz="1"/>
              <w:right w:val="single" w:color="CFD8DC" w:sz="1"/>
            </w:tcBorders>
            <w:shd w:fill="F5F5F5" w:val="clear"/>
            <w:tcMar>
              <w:top w:type="dxa" w:w="80"/>
              <w:left w:type="dxa" w:w="160"/>
              <w:bottom w:type="dxa" w:w="80"/>
              <w:right w:type="dxa" w:w="160"/>
            </w:tcMar>
          </w:tcPr>
          <w:p>
            <w:pPr>
              <w:spacing w:before="0" w:after="0"/>
            </w:pPr>
            <w:r>
              <w:rPr>
                <w:rFonts w:ascii="Calibri" w:cs="Calibri" w:eastAsia="Calibri" w:hAnsi="Calibri"/>
                <w:b/>
                <w:bCs/>
                <w:color w:val="546E7A"/>
                <w:sz w:val="19"/>
                <w:szCs w:val="19"/>
              </w:rPr>
              <w:t xml:space="preserve">Team:  </w:t>
            </w:r>
            <w:r>
              <w:rPr>
                <w:rFonts w:ascii="Calibri" w:cs="Calibri" w:eastAsia="Calibri" w:hAnsi="Calibri"/>
                <w:color w:val="212121"/>
                <w:sz w:val="19"/>
                <w:szCs w:val="19"/>
              </w:rPr>
              <w:t xml:space="preserve">1 Senior Backend-Dev (Blockchain)</w:t>
            </w:r>
            <w:r>
              <w:rPr>
                <w:rFonts w:ascii="Calibri" w:cs="Calibri" w:eastAsia="Calibri" w:hAnsi="Calibri"/>
                <w:color w:val="CFD8DC"/>
                <w:sz w:val="19"/>
                <w:szCs w:val="19"/>
              </w:rPr>
              <w:t xml:space="preserve">   ·   </w:t>
            </w:r>
            <w:r>
              <w:rPr>
                <w:rFonts w:ascii="Calibri" w:cs="Calibri" w:eastAsia="Calibri" w:hAnsi="Calibri"/>
                <w:color w:val="212121"/>
                <w:sz w:val="19"/>
                <w:szCs w:val="19"/>
              </w:rPr>
              <w:t xml:space="preserve">1 Krypto-Steuerberater</w:t>
            </w:r>
            <w:r>
              <w:t xml:space="preserve"/>
            </w:r>
          </w:p>
        </w:tc>
      </w:tr>
    </w:tbl>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1600"/>
        <w:gridCol w:w="826"/>
      </w:tblGrid>
      <w:tr>
        <w:tc>
          <w:tcPr>
            <w:tcW w:type="dxa" w:w="1400"/>
            <w:tcBorders>
              <w:top w:val="single" w:color="0D47A1" w:sz="12"/>
              <w:left w:val="single" w:color="CFD8DC" w:sz="1"/>
              <w:bottom w:val="single" w:color="CFD8DC" w:sz="1"/>
              <w:right w:val="single" w:color="CFD8DC" w:sz="1"/>
            </w:tcBorders>
            <w:shd w:fill="E3F2FD" w:val="clear"/>
            <w:tcMar>
              <w:top w:type="dxa" w:w="120"/>
              <w:left w:type="dxa" w:w="160"/>
              <w:bottom w:type="dxa" w:w="120"/>
              <w:right w:type="dxa" w:w="100"/>
            </w:tcMar>
            <w:vAlign w:val="center"/>
          </w:tcPr>
          <w:p>
            <w:pPr>
              <w:jc w:val="center"/>
            </w:pPr>
            <w:r>
              <w:rPr>
                <w:rFonts w:ascii="Calibri" w:cs="Calibri" w:eastAsia="Calibri" w:hAnsi="Calibri"/>
                <w:b/>
                <w:bCs/>
                <w:color w:val="0D47A1"/>
                <w:sz w:val="28"/>
                <w:szCs w:val="28"/>
              </w:rPr>
              <w:t xml:space="preserve">PHASE 1</w:t>
            </w:r>
          </w:p>
        </w:tc>
        <w:tc>
          <w:tcPr>
            <w:tcW w:type="dxa" w:w="5200"/>
            <w:tcBorders>
              <w:top w:val="single" w:color="0D47A1" w:sz="12"/>
              <w:left w:val="single" w:color="CFD8DC" w:sz="1"/>
              <w:bottom w:val="single" w:color="CFD8DC" w:sz="1"/>
              <w:right w:val="single" w:color="CFD8DC" w:sz="1"/>
            </w:tcBorders>
            <w:shd w:fill="E3F2FD" w:val="clear"/>
            <w:tcMar>
              <w:top w:type="dxa" w:w="100"/>
              <w:left w:type="dxa" w:w="160"/>
              <w:bottom w:type="dxa" w:w="100"/>
              <w:right w:type="dxa" w:w="100"/>
            </w:tcMar>
            <w:vAlign w:val="center"/>
          </w:tcPr>
          <w:p>
            <w:r>
              <w:rPr>
                <w:rFonts w:ascii="Calibri" w:cs="Calibri" w:eastAsia="Calibri" w:hAnsi="Calibri"/>
                <w:b/>
                <w:bCs/>
                <w:color w:val="0D47A1"/>
                <w:sz w:val="26"/>
                <w:szCs w:val="26"/>
              </w:rPr>
              <w:t xml:space="preserve">MVP Build – Kern-Entwicklung &amp; Flare-Integration</w:t>
            </w:r>
          </w:p>
        </w:tc>
        <w:tc>
          <w:tcPr>
            <w:tcW w:type="dxa" w:w="1600"/>
            <w:tcBorders>
              <w:top w:val="single" w:color="0D47A1" w:sz="12"/>
              <w:left w:val="single" w:color="CFD8DC" w:sz="1"/>
              <w:bottom w:val="single" w:color="CFD8DC" w:sz="1"/>
              <w:right w:val="single" w:color="CFD8DC" w:sz="1"/>
            </w:tcBorders>
            <w:shd w:fill="E3F2FD" w:val="clear"/>
            <w:tcMar>
              <w:top w:type="dxa" w:w="100"/>
              <w:left w:type="dxa" w:w="120"/>
              <w:bottom w:type="dxa" w:w="100"/>
              <w:right w:type="dxa" w:w="100"/>
            </w:tcMar>
            <w:vAlign w:val="center"/>
          </w:tcPr>
          <w:p>
            <w:pPr>
              <w:jc w:val="center"/>
            </w:pPr>
            <w:r>
              <w:rPr>
                <w:rFonts w:ascii="Calibri" w:cs="Calibri" w:eastAsia="Calibri" w:hAnsi="Calibri"/>
                <w:b/>
                <w:bCs/>
                <w:color w:val="0D47A1"/>
                <w:sz w:val="20"/>
                <w:szCs w:val="20"/>
              </w:rPr>
              <w:t xml:space="preserve">Mai – Juli 2026</w:t>
            </w:r>
          </w:p>
          <w:p>
            <w:pPr>
              <w:jc w:val="center"/>
            </w:pPr>
            <w:r>
              <w:rPr>
                <w:rFonts w:ascii="Calibri" w:cs="Calibri" w:eastAsia="Calibri" w:hAnsi="Calibri"/>
                <w:color w:val="546E7A"/>
                <w:sz w:val="18"/>
                <w:szCs w:val="18"/>
              </w:rPr>
              <w:t xml:space="preserve">12 Wochen</w:t>
            </w:r>
          </w:p>
        </w:tc>
        <w:tc>
          <w:tcPr>
            <w:tcW w:type="dxa" w:w="826"/>
            <w:tcBorders>
              <w:top w:val="single" w:color="0D47A1" w:sz="12"/>
              <w:left w:val="single" w:color="CFD8DC" w:sz="1"/>
              <w:bottom w:val="single" w:color="CFD8DC" w:sz="1"/>
              <w:right w:val="single" w:color="CFD8DC" w:sz="1"/>
            </w:tcBorders>
            <w:shd w:fill="E3F2FD" w:val="clear"/>
            <w:tcMar>
              <w:top w:type="dxa" w:w="100"/>
              <w:left w:type="dxa" w:w="80"/>
              <w:bottom w:type="dxa" w:w="100"/>
              <w:right w:type="dxa" w:w="80"/>
            </w:tcMar>
            <w:vAlign w:val="center"/>
          </w:tcPr>
          <w:p>
            <w:pPr>
              <w:jc w:val="center"/>
            </w:pPr>
            <w:r>
              <w:rPr>
                <w:rFonts w:ascii="Calibri" w:cs="Calibri" w:eastAsia="Calibri" w:hAnsi="Calibri"/>
                <w:b/>
                <w:bCs/>
                <w:color w:val="0D47A1"/>
                <w:sz w:val="32"/>
                <w:szCs w:val="32"/>
              </w:rPr>
              <w:t xml:space="preserve">●</w:t>
            </w:r>
          </w:p>
        </w:tc>
      </w:tr>
    </w:tbl>
    <w:p>
      <w:pPr>
        <w:spacing w:before="100" w:after="0"/>
      </w:pPr>
      <w:r>
        <w:t xml:space="preserve"/>
      </w:r>
    </w:p>
    <w:p>
      <w:pPr>
        <w:spacing w:before="60" w:after="80"/>
      </w:pPr>
      <w:r>
        <w:rPr>
          <w:rFonts w:ascii="Calibri" w:cs="Calibri" w:eastAsia="Calibri" w:hAnsi="Calibri"/>
          <w:color w:val="212121"/>
          <w:sz w:val="21"/>
          <w:szCs w:val="21"/>
        </w:rPr>
        <w:t xml:space="preserve">Ziel: Vollständig funktionsfähiges MVP mit Integration aller drei Flare-nativen Protokolle (SparkDEX, Ēnosys, Kinetic), FTSO-EUR-Kursbewertung und CoinTracking-CSV-Export. FIFO-Steuerberechnung nach BMF 2025 als Standard.</w:t>
      </w:r>
    </w:p>
    <w:p>
      <w:pPr>
        <w:spacing w:before="80" w:after="0"/>
      </w:pPr>
      <w:r>
        <w:t xml:space="preserve"/>
      </w:r>
    </w:p>
    <w:tbl>
      <w:tblPr>
        <w:tblW w:type="dxa" w:w="9026"/>
        <w:tblBorders>
          <w:top w:val="single" w:color="CFD8DC" w:sz="1"/>
          <w:left w:val="single" w:color="CFD8DC" w:sz="1"/>
          <w:bottom w:val="single" w:color="CFD8DC" w:sz="1"/>
          <w:right w:val="single" w:color="CFD8DC" w:sz="1"/>
          <w:insideH w:val="single" w:color="auto" w:sz="4"/>
          <w:insideV w:val="single" w:color="auto" w:sz="4"/>
        </w:tblBorders>
      </w:tblPr>
      <w:tblGrid>
        <w:gridCol w:w="4413"/>
        <w:gridCol w:w="4413"/>
      </w:tblGrid>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0D47A1"/>
                <w:sz w:val="20"/>
                <w:szCs w:val="20"/>
              </w:rPr>
              <w:t xml:space="preserve">▸  </w:t>
            </w:r>
            <w:r>
              <w:rPr>
                <w:rFonts w:ascii="Calibri" w:cs="Calibri" w:eastAsia="Calibri" w:hAnsi="Calibri"/>
                <w:color w:val="212121"/>
                <w:sz w:val="20"/>
                <w:szCs w:val="20"/>
              </w:rPr>
              <w:t xml:space="preserve">Flare Network Wallet-Import &amp; TX-Indexer</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0D47A1"/>
                <w:sz w:val="20"/>
                <w:szCs w:val="20"/>
              </w:rPr>
              <w:t xml:space="preserve">▸  </w:t>
            </w:r>
            <w:r>
              <w:rPr>
                <w:rFonts w:ascii="Calibri" w:cs="Calibri" w:eastAsia="Calibri" w:hAnsi="Calibri"/>
                <w:color w:val="212121"/>
                <w:sz w:val="20"/>
                <w:szCs w:val="20"/>
              </w:rPr>
              <w:t xml:space="preserve">FIFO Steuerberechnung (DE-Standard, BMF 2025)</w:t>
            </w:r>
          </w:p>
        </w:tc>
      </w:tr>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0D47A1"/>
                <w:sz w:val="20"/>
                <w:szCs w:val="20"/>
              </w:rPr>
              <w:t xml:space="preserve">▸  </w:t>
            </w:r>
            <w:r>
              <w:rPr>
                <w:rFonts w:ascii="Calibri" w:cs="Calibri" w:eastAsia="Calibri" w:hAnsi="Calibri"/>
                <w:color w:val="212121"/>
                <w:sz w:val="20"/>
                <w:szCs w:val="20"/>
              </w:rPr>
              <w:t xml:space="preserve">SparkDEX V3/V4: Swap, LP Provide/Remove, Farm, Staking</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0D47A1"/>
                <w:sz w:val="20"/>
                <w:szCs w:val="20"/>
              </w:rPr>
              <w:t xml:space="preserve">▸  </w:t>
            </w:r>
            <w:r>
              <w:rPr>
                <w:rFonts w:ascii="Calibri" w:cs="Calibri" w:eastAsia="Calibri" w:hAnsi="Calibri"/>
                <w:color w:val="212121"/>
                <w:sz w:val="20"/>
                <w:szCs w:val="20"/>
              </w:rPr>
              <w:t xml:space="preserve">Manuell-Kategorisierung UI (unbekannte TX)</w:t>
            </w:r>
          </w:p>
        </w:tc>
      </w:tr>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0D47A1"/>
                <w:sz w:val="20"/>
                <w:szCs w:val="20"/>
              </w:rPr>
              <w:t xml:space="preserve">▸  </w:t>
            </w:r>
            <w:r>
              <w:rPr>
                <w:rFonts w:ascii="Calibri" w:cs="Calibri" w:eastAsia="Calibri" w:hAnsi="Calibri"/>
                <w:color w:val="212121"/>
                <w:sz w:val="20"/>
                <w:szCs w:val="20"/>
              </w:rPr>
              <w:t xml:space="preserve">Ēnosys DEX: AMM Swaps, CDP Loans, Farming Rewards</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0D47A1"/>
                <w:sz w:val="20"/>
                <w:szCs w:val="20"/>
              </w:rPr>
              <w:t xml:space="preserve">▸  </w:t>
            </w:r>
            <w:r>
              <w:rPr>
                <w:rFonts w:ascii="Calibri" w:cs="Calibri" w:eastAsia="Calibri" w:hAnsi="Calibri"/>
                <w:color w:val="212121"/>
                <w:sz w:val="20"/>
                <w:szCs w:val="20"/>
              </w:rPr>
              <w:t xml:space="preserve">Steuerreport PDF DE (Anlage SO Zusammenfassung)</w:t>
            </w:r>
          </w:p>
        </w:tc>
      </w:tr>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0D47A1"/>
                <w:sz w:val="20"/>
                <w:szCs w:val="20"/>
              </w:rPr>
              <w:t xml:space="preserve">▸  </w:t>
            </w:r>
            <w:r>
              <w:rPr>
                <w:rFonts w:ascii="Calibri" w:cs="Calibri" w:eastAsia="Calibri" w:hAnsi="Calibri"/>
                <w:color w:val="212121"/>
                <w:sz w:val="20"/>
                <w:szCs w:val="20"/>
              </w:rPr>
              <w:t xml:space="preserve">Kinetic Market: Supply, Borrow, Repay, Liquidation</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0D47A1"/>
                <w:sz w:val="20"/>
                <w:szCs w:val="20"/>
              </w:rPr>
              <w:t xml:space="preserve">▸  </w:t>
            </w:r>
            <w:r>
              <w:rPr>
                <w:rFonts w:ascii="Calibri" w:cs="Calibri" w:eastAsia="Calibri" w:hAnsi="Calibri"/>
                <w:color w:val="212121"/>
                <w:sz w:val="20"/>
                <w:szCs w:val="20"/>
              </w:rPr>
              <w:t xml:space="preserve">DSGVO-Hosting Setup (Hetzner Nürnberg, AES-256)</w:t>
            </w:r>
          </w:p>
        </w:tc>
      </w:tr>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0D47A1"/>
                <w:sz w:val="20"/>
                <w:szCs w:val="20"/>
              </w:rPr>
              <w:t xml:space="preserve">▸  </w:t>
            </w:r>
            <w:r>
              <w:rPr>
                <w:rFonts w:ascii="Calibri" w:cs="Calibri" w:eastAsia="Calibri" w:hAnsi="Calibri"/>
                <w:color w:val="212121"/>
                <w:sz w:val="20"/>
                <w:szCs w:val="20"/>
              </w:rPr>
              <w:t xml:space="preserve">FTSO EUR-Kursbewertung (Echtzeit + historisch)</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0D47A1"/>
                <w:sz w:val="20"/>
                <w:szCs w:val="20"/>
              </w:rPr>
              <w:t xml:space="preserve">▸  </w:t>
            </w:r>
            <w:r>
              <w:rPr>
                <w:rFonts w:ascii="Calibri" w:cs="Calibri" w:eastAsia="Calibri" w:hAnsi="Calibri"/>
                <w:color w:val="212121"/>
                <w:sz w:val="20"/>
                <w:szCs w:val="20"/>
              </w:rPr>
              <w:t xml:space="preserve">Basic Dashboard: Wallet-Connect, TX-Liste, Export</w:t>
            </w:r>
          </w:p>
        </w:tc>
      </w:tr>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0D47A1"/>
                <w:sz w:val="20"/>
                <w:szCs w:val="20"/>
              </w:rPr>
              <w:t xml:space="preserve">▸  </w:t>
            </w:r>
            <w:r>
              <w:rPr>
                <w:rFonts w:ascii="Calibri" w:cs="Calibri" w:eastAsia="Calibri" w:hAnsi="Calibri"/>
                <w:color w:val="212121"/>
                <w:sz w:val="20"/>
                <w:szCs w:val="20"/>
              </w:rPr>
              <w:t xml:space="preserve">CoinTracking CSV-Export (15-Spalten-Format)</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0D47A1"/>
                <w:sz w:val="20"/>
                <w:szCs w:val="20"/>
              </w:rPr>
              <w:t xml:space="preserve">▸  </w:t>
            </w:r>
            <w:r>
              <w:rPr>
                <w:rFonts w:ascii="Calibri" w:cs="Calibri" w:eastAsia="Calibri" w:hAnsi="Calibri"/>
                <w:color w:val="212121"/>
                <w:sz w:val="20"/>
                <w:szCs w:val="20"/>
              </w:rPr>
              <w:t xml:space="preserve">Nutzerkonten &amp; Auth (NextAuth.js + 2FA TOTP)</w:t>
            </w:r>
          </w:p>
        </w:tc>
      </w:tr>
    </w:tbl>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
              <w:left w:val="thick" w:color="0D47A1" w:sz="18"/>
              <w:bottom w:val="single" w:color="0D47A1" w:sz="1"/>
              <w:right w:val="single" w:color="0D47A1" w:sz="1"/>
            </w:tcBorders>
            <w:shd w:fill="E3F2FD" w:val="clear"/>
            <w:tcMar>
              <w:top w:type="dxa" w:w="100"/>
              <w:left w:type="dxa" w:w="200"/>
              <w:bottom w:type="dxa" w:w="100"/>
              <w:right w:type="dxa" w:w="140"/>
            </w:tcMar>
          </w:tcPr>
          <w:p>
            <w:pPr>
              <w:spacing w:before="0" w:after="0"/>
            </w:pPr>
            <w:r>
              <w:rPr>
                <w:rFonts w:ascii="Calibri" w:cs="Calibri" w:eastAsia="Calibri" w:hAnsi="Calibri"/>
                <w:color w:val="212121"/>
                <w:sz w:val="20"/>
                <w:szCs w:val="20"/>
              </w:rPr>
              <w:t xml:space="preserve">MVP-Scope: Alle drei Flare-nativen Protokolle werden vollständig integriert. Stargate Finance und Aave (Multi-Chain) sind bewusst in Phase 4 verschoben, um den MVP-Launch-Termin September 2026 zu halten.</w:t>
            </w:r>
          </w:p>
        </w:tc>
      </w:tr>
    </w:tbl>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CFD8DC" w:sz="1"/>
              <w:left w:val="single" w:color="CFD8DC" w:sz="1"/>
              <w:bottom w:val="single" w:color="CFD8DC" w:sz="1"/>
              <w:right w:val="single" w:color="CFD8DC" w:sz="1"/>
            </w:tcBorders>
            <w:shd w:fill="F5F5F5" w:val="clear"/>
            <w:tcMar>
              <w:top w:type="dxa" w:w="80"/>
              <w:left w:type="dxa" w:w="160"/>
              <w:bottom w:type="dxa" w:w="80"/>
              <w:right w:type="dxa" w:w="160"/>
            </w:tcMar>
          </w:tcPr>
          <w:p>
            <w:pPr>
              <w:spacing w:before="0" w:after="0"/>
            </w:pPr>
            <w:r>
              <w:rPr>
                <w:rFonts w:ascii="Calibri" w:cs="Calibri" w:eastAsia="Calibri" w:hAnsi="Calibri"/>
                <w:b/>
                <w:bCs/>
                <w:color w:val="546E7A"/>
                <w:sz w:val="19"/>
                <w:szCs w:val="19"/>
              </w:rPr>
              <w:t xml:space="preserve">Team:  </w:t>
            </w:r>
            <w:r>
              <w:rPr>
                <w:rFonts w:ascii="Calibri" w:cs="Calibri" w:eastAsia="Calibri" w:hAnsi="Calibri"/>
                <w:color w:val="212121"/>
                <w:sz w:val="19"/>
                <w:szCs w:val="19"/>
              </w:rPr>
              <w:t xml:space="preserve">2 Senior Backend-Devs (Blockchain + Node.js)</w:t>
            </w:r>
            <w:r>
              <w:rPr>
                <w:rFonts w:ascii="Calibri" w:cs="Calibri" w:eastAsia="Calibri" w:hAnsi="Calibri"/>
                <w:color w:val="CFD8DC"/>
                <w:sz w:val="19"/>
                <w:szCs w:val="19"/>
              </w:rPr>
              <w:t xml:space="preserve">   ·   </w:t>
            </w:r>
            <w:r>
              <w:rPr>
                <w:rFonts w:ascii="Calibri" w:cs="Calibri" w:eastAsia="Calibri" w:hAnsi="Calibri"/>
                <w:color w:val="212121"/>
                <w:sz w:val="19"/>
                <w:szCs w:val="19"/>
              </w:rPr>
              <w:t xml:space="preserve">1 Frontend-Dev (Next.js)</w:t>
            </w:r>
            <w:r>
              <w:rPr>
                <w:rFonts w:ascii="Calibri" w:cs="Calibri" w:eastAsia="Calibri" w:hAnsi="Calibri"/>
                <w:color w:val="CFD8DC"/>
                <w:sz w:val="19"/>
                <w:szCs w:val="19"/>
              </w:rPr>
              <w:t xml:space="preserve">   ·   </w:t>
            </w:r>
            <w:r>
              <w:rPr>
                <w:rFonts w:ascii="Calibri" w:cs="Calibri" w:eastAsia="Calibri" w:hAnsi="Calibri"/>
                <w:color w:val="212121"/>
                <w:sz w:val="19"/>
                <w:szCs w:val="19"/>
              </w:rPr>
              <w:t xml:space="preserve">1 DevOps / Cloud</w:t>
            </w:r>
            <w:r>
              <w:t xml:space="preserve"/>
            </w:r>
          </w:p>
        </w:tc>
        <w:tc>
          <w:tcPr>
            <w:tcW w:type="dxa" w:w="3526"/>
            <w:tcBorders>
              <w:top w:val="single" w:color="CFD8DC" w:sz="1"/>
              <w:left w:val="single" w:color="CFD8DC" w:sz="1"/>
              <w:bottom w:val="single" w:color="CFD8DC" w:sz="1"/>
              <w:right w:val="single" w:color="CFD8DC" w:sz="1"/>
            </w:tcBorders>
            <w:shd w:fill="FFF8E1" w:val="clear"/>
            <w:tcMar>
              <w:top w:type="dxa" w:w="80"/>
              <w:left w:type="dxa" w:w="160"/>
              <w:bottom w:type="dxa" w:w="80"/>
              <w:right w:type="dxa" w:w="100"/>
            </w:tcMar>
          </w:tcPr>
          <w:p>
            <w:pPr>
              <w:spacing w:before="0" w:after="0"/>
            </w:pPr>
            <w:r>
              <w:rPr>
                <w:rFonts w:ascii="Calibri" w:cs="Calibri" w:eastAsia="Calibri" w:hAnsi="Calibri"/>
                <w:b/>
                <w:bCs/>
                <w:color w:val="BF360C"/>
                <w:sz w:val="19"/>
                <w:szCs w:val="19"/>
              </w:rPr>
              <w:t>Kosten: € 62.000 – € 87.000 gesamt</w:t>
            </w:r>
          </w:p>
        </w:tc>
      </w:tr>
    </w:tbl>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1600"/>
        <w:gridCol w:w="826"/>
      </w:tblGrid>
      <w:tr>
        <w:tc>
          <w:tcPr>
            <w:tcW w:type="dxa" w:w="1400"/>
            <w:tcBorders>
              <w:top w:val="single" w:color="006064" w:sz="12"/>
              <w:left w:val="single" w:color="CFD8DC" w:sz="1"/>
              <w:bottom w:val="single" w:color="CFD8DC" w:sz="1"/>
              <w:right w:val="single" w:color="CFD8DC" w:sz="1"/>
            </w:tcBorders>
            <w:shd w:fill="E0F7FA" w:val="clear"/>
            <w:tcMar>
              <w:top w:type="dxa" w:w="120"/>
              <w:left w:type="dxa" w:w="160"/>
              <w:bottom w:type="dxa" w:w="120"/>
              <w:right w:type="dxa" w:w="100"/>
            </w:tcMar>
            <w:vAlign w:val="center"/>
          </w:tcPr>
          <w:p>
            <w:pPr>
              <w:jc w:val="center"/>
            </w:pPr>
            <w:r>
              <w:rPr>
                <w:rFonts w:ascii="Calibri" w:cs="Calibri" w:eastAsia="Calibri" w:hAnsi="Calibri"/>
                <w:b/>
                <w:bCs/>
                <w:color w:val="006064"/>
                <w:sz w:val="28"/>
                <w:szCs w:val="28"/>
              </w:rPr>
              <w:t xml:space="preserve">PHASE 2</w:t>
            </w:r>
          </w:p>
        </w:tc>
        <w:tc>
          <w:tcPr>
            <w:tcW w:type="dxa" w:w="5200"/>
            <w:tcBorders>
              <w:top w:val="single" w:color="006064" w:sz="12"/>
              <w:left w:val="single" w:color="CFD8DC" w:sz="1"/>
              <w:bottom w:val="single" w:color="CFD8DC" w:sz="1"/>
              <w:right w:val="single" w:color="CFD8DC" w:sz="1"/>
            </w:tcBorders>
            <w:shd w:fill="E0F7FA" w:val="clear"/>
            <w:tcMar>
              <w:top w:type="dxa" w:w="100"/>
              <w:left w:type="dxa" w:w="160"/>
              <w:bottom w:type="dxa" w:w="100"/>
              <w:right w:type="dxa" w:w="100"/>
            </w:tcMar>
            <w:vAlign w:val="center"/>
          </w:tcPr>
          <w:p>
            <w:r>
              <w:rPr>
                <w:rFonts w:ascii="Calibri" w:cs="Calibri" w:eastAsia="Calibri" w:hAnsi="Calibri"/>
                <w:b/>
                <w:bCs/>
                <w:color w:val="006064"/>
                <w:sz w:val="26"/>
                <w:szCs w:val="26"/>
              </w:rPr>
              <w:t xml:space="preserve">Beta – Geschlossener Beta-Test &amp; Validierung</w:t>
            </w:r>
          </w:p>
        </w:tc>
        <w:tc>
          <w:tcPr>
            <w:tcW w:type="dxa" w:w="1600"/>
            <w:tcBorders>
              <w:top w:val="single" w:color="006064" w:sz="12"/>
              <w:left w:val="single" w:color="CFD8DC" w:sz="1"/>
              <w:bottom w:val="single" w:color="CFD8DC" w:sz="1"/>
              <w:right w:val="single" w:color="CFD8DC" w:sz="1"/>
            </w:tcBorders>
            <w:shd w:fill="E0F7FA" w:val="clear"/>
            <w:tcMar>
              <w:top w:type="dxa" w:w="100"/>
              <w:left w:type="dxa" w:w="120"/>
              <w:bottom w:type="dxa" w:w="100"/>
              <w:right w:type="dxa" w:w="100"/>
            </w:tcMar>
            <w:vAlign w:val="center"/>
          </w:tcPr>
          <w:p>
            <w:pPr>
              <w:jc w:val="center"/>
            </w:pPr>
            <w:r>
              <w:rPr>
                <w:rFonts w:ascii="Calibri" w:cs="Calibri" w:eastAsia="Calibri" w:hAnsi="Calibri"/>
                <w:b/>
                <w:bCs/>
                <w:color w:val="006064"/>
                <w:sz w:val="20"/>
                <w:szCs w:val="20"/>
              </w:rPr>
              <w:t xml:space="preserve">August 2026</w:t>
            </w:r>
          </w:p>
          <w:p>
            <w:pPr>
              <w:jc w:val="center"/>
            </w:pPr>
            <w:r>
              <w:rPr>
                <w:rFonts w:ascii="Calibri" w:cs="Calibri" w:eastAsia="Calibri" w:hAnsi="Calibri"/>
                <w:color w:val="546E7A"/>
                <w:sz w:val="18"/>
                <w:szCs w:val="18"/>
              </w:rPr>
              <w:t xml:space="preserve">4 Wochen</w:t>
            </w:r>
          </w:p>
        </w:tc>
        <w:tc>
          <w:tcPr>
            <w:tcW w:type="dxa" w:w="826"/>
            <w:tcBorders>
              <w:top w:val="single" w:color="006064" w:sz="12"/>
              <w:left w:val="single" w:color="CFD8DC" w:sz="1"/>
              <w:bottom w:val="single" w:color="CFD8DC" w:sz="1"/>
              <w:right w:val="single" w:color="CFD8DC" w:sz="1"/>
            </w:tcBorders>
            <w:shd w:fill="E0F7FA" w:val="clear"/>
            <w:tcMar>
              <w:top w:type="dxa" w:w="100"/>
              <w:left w:type="dxa" w:w="80"/>
              <w:bottom w:type="dxa" w:w="100"/>
              <w:right w:type="dxa" w:w="80"/>
            </w:tcMar>
            <w:vAlign w:val="center"/>
          </w:tcPr>
          <w:p>
            <w:pPr>
              <w:jc w:val="center"/>
            </w:pPr>
            <w:r>
              <w:rPr>
                <w:rFonts w:ascii="Calibri" w:cs="Calibri" w:eastAsia="Calibri" w:hAnsi="Calibri"/>
                <w:b/>
                <w:bCs/>
                <w:color w:val="006064"/>
                <w:sz w:val="32"/>
                <w:szCs w:val="32"/>
              </w:rPr>
              <w:t xml:space="preserve">●</w:t>
            </w:r>
          </w:p>
        </w:tc>
      </w:tr>
    </w:tbl>
    <w:p>
      <w:pPr>
        <w:spacing w:before="100" w:after="0"/>
      </w:pPr>
      <w:r>
        <w:t xml:space="preserve"/>
      </w:r>
    </w:p>
    <w:p>
      <w:pPr>
        <w:spacing w:before="60" w:after="80"/>
      </w:pPr>
      <w:r>
        <w:rPr>
          <w:rFonts w:ascii="Calibri" w:cs="Calibri" w:eastAsia="Calibri" w:hAnsi="Calibri"/>
          <w:color w:val="212121"/>
          <w:sz w:val="21"/>
          <w:szCs w:val="21"/>
        </w:rPr>
        <w:t xml:space="preserve">Ziel: 50 Early-Adopter aus der Flare DeFi Community testen den MVP intensiv. Alle gefundenen Bugs werden behoben, der Steuerberater validiert alle TX-Mappings, und die CoinTracking-CSV-Kompatibilität wird End-to-End getestet.</w:t>
      </w:r>
    </w:p>
    <w:p>
      <w:pPr>
        <w:spacing w:before="80" w:after="0"/>
      </w:pPr>
      <w:r>
        <w:t xml:space="preserve"/>
      </w:r>
    </w:p>
    <w:tbl>
      <w:tblPr>
        <w:tblW w:type="dxa" w:w="9026"/>
        <w:tblBorders>
          <w:top w:val="single" w:color="CFD8DC" w:sz="1"/>
          <w:left w:val="single" w:color="CFD8DC" w:sz="1"/>
          <w:bottom w:val="single" w:color="CFD8DC" w:sz="1"/>
          <w:right w:val="single" w:color="CFD8DC" w:sz="1"/>
          <w:insideH w:val="single" w:color="auto" w:sz="4"/>
          <w:insideV w:val="single" w:color="auto" w:sz="4"/>
        </w:tblBorders>
      </w:tblPr>
      <w:tblGrid>
        <w:gridCol w:w="4413"/>
        <w:gridCol w:w="4413"/>
      </w:tblGrid>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006064"/>
                <w:sz w:val="20"/>
                <w:szCs w:val="20"/>
              </w:rPr>
              <w:t xml:space="preserve">▸  </w:t>
            </w:r>
            <w:r>
              <w:rPr>
                <w:rFonts w:ascii="Calibri" w:cs="Calibri" w:eastAsia="Calibri" w:hAnsi="Calibri"/>
                <w:color w:val="212121"/>
                <w:sz w:val="20"/>
                <w:szCs w:val="20"/>
              </w:rPr>
              <w:t xml:space="preserve">Beta-Recruiting: 50 Early-Adopter (Flare Community, Discord)</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006064"/>
                <w:sz w:val="20"/>
                <w:szCs w:val="20"/>
              </w:rPr>
              <w:t xml:space="preserve">▸  </w:t>
            </w:r>
            <w:r>
              <w:rPr>
                <w:rFonts w:ascii="Calibri" w:cs="Calibri" w:eastAsia="Calibri" w:hAnsi="Calibri"/>
                <w:color w:val="212121"/>
                <w:sz w:val="20"/>
                <w:szCs w:val="20"/>
              </w:rPr>
              <w:t xml:space="preserve">Performance-Optimierung Indexer (Ziel: &lt; 30s Sync)</w:t>
            </w:r>
          </w:p>
        </w:tc>
      </w:tr>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006064"/>
                <w:sz w:val="20"/>
                <w:szCs w:val="20"/>
              </w:rPr>
              <w:t xml:space="preserve">▸  </w:t>
            </w:r>
            <w:r>
              <w:rPr>
                <w:rFonts w:ascii="Calibri" w:cs="Calibri" w:eastAsia="Calibri" w:hAnsi="Calibri"/>
                <w:color w:val="212121"/>
                <w:sz w:val="20"/>
                <w:szCs w:val="20"/>
              </w:rPr>
              <w:t xml:space="preserve">Onboarding-Test: Wallet-Connect → Export &lt; 5 Minuten</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006064"/>
                <w:sz w:val="20"/>
                <w:szCs w:val="20"/>
              </w:rPr>
              <w:t xml:space="preserve">▸  </w:t>
            </w:r>
            <w:r>
              <w:rPr>
                <w:rFonts w:ascii="Calibri" w:cs="Calibri" w:eastAsia="Calibri" w:hAnsi="Calibri"/>
                <w:color w:val="212121"/>
                <w:sz w:val="20"/>
                <w:szCs w:val="20"/>
              </w:rPr>
              <w:t xml:space="preserve">Security Audit: Wallet-Datenspeicherung, API-Keys</w:t>
            </w:r>
          </w:p>
        </w:tc>
      </w:tr>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006064"/>
                <w:sz w:val="20"/>
                <w:szCs w:val="20"/>
              </w:rPr>
              <w:t xml:space="preserve">▸  </w:t>
            </w:r>
            <w:r>
              <w:rPr>
                <w:rFonts w:ascii="Calibri" w:cs="Calibri" w:eastAsia="Calibri" w:hAnsi="Calibri"/>
                <w:color w:val="212121"/>
                <w:sz w:val="20"/>
                <w:szCs w:val="20"/>
              </w:rPr>
              <w:t xml:space="preserve">Bug-Fixing auf Basis Nutzerfeedback (2-Wochen-Sprint)</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006064"/>
                <w:sz w:val="20"/>
                <w:szCs w:val="20"/>
              </w:rPr>
              <w:t xml:space="preserve">▸  </w:t>
            </w:r>
            <w:r>
              <w:rPr>
                <w:rFonts w:ascii="Calibri" w:cs="Calibri" w:eastAsia="Calibri" w:hAnsi="Calibri"/>
                <w:color w:val="212121"/>
                <w:sz w:val="20"/>
                <w:szCs w:val="20"/>
              </w:rPr>
              <w:t xml:space="preserve">CoinTracking CSV End-to-End Import-Validierung</w:t>
            </w:r>
          </w:p>
        </w:tc>
      </w:tr>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006064"/>
                <w:sz w:val="20"/>
                <w:szCs w:val="20"/>
              </w:rPr>
              <w:t xml:space="preserve">▸  </w:t>
            </w:r>
            <w:r>
              <w:rPr>
                <w:rFonts w:ascii="Calibri" w:cs="Calibri" w:eastAsia="Calibri" w:hAnsi="Calibri"/>
                <w:color w:val="212121"/>
                <w:sz w:val="20"/>
                <w:szCs w:val="20"/>
              </w:rPr>
              <w:t xml:space="preserve">Steuerberater-Review aller TX-Typen &amp; CoinTracking-Mapping</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006064"/>
                <w:sz w:val="20"/>
                <w:szCs w:val="20"/>
              </w:rPr>
              <w:t xml:space="preserve">▸  </w:t>
            </w:r>
            <w:r>
              <w:rPr>
                <w:rFonts w:ascii="Calibri" w:cs="Calibri" w:eastAsia="Calibri" w:hAnsi="Calibri"/>
                <w:color w:val="212121"/>
                <w:sz w:val="20"/>
                <w:szCs w:val="20"/>
              </w:rPr>
              <w:t xml:space="preserve">Dokumentation: Nutzerhandbuch &amp; FAQ</w:t>
            </w:r>
          </w:p>
        </w:tc>
      </w:tr>
    </w:tbl>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FD8DC" w:sz="1"/>
              <w:left w:val="single" w:color="CFD8DC" w:sz="1"/>
              <w:bottom w:val="single" w:color="CFD8DC" w:sz="1"/>
              <w:right w:val="single" w:color="CFD8DC" w:sz="1"/>
            </w:tcBorders>
            <w:shd w:fill="F5F5F5" w:val="clear"/>
            <w:tcMar>
              <w:top w:type="dxa" w:w="80"/>
              <w:left w:type="dxa" w:w="160"/>
              <w:bottom w:type="dxa" w:w="80"/>
              <w:right w:type="dxa" w:w="160"/>
            </w:tcMar>
          </w:tcPr>
          <w:p>
            <w:pPr>
              <w:spacing w:before="0" w:after="0"/>
            </w:pPr>
            <w:r>
              <w:rPr>
                <w:rFonts w:ascii="Calibri" w:cs="Calibri" w:eastAsia="Calibri" w:hAnsi="Calibri"/>
                <w:b/>
                <w:bCs/>
                <w:color w:val="546E7A"/>
                <w:sz w:val="19"/>
                <w:szCs w:val="19"/>
              </w:rPr>
              <w:t xml:space="preserve">Team:  </w:t>
            </w:r>
            <w:r>
              <w:rPr>
                <w:rFonts w:ascii="Calibri" w:cs="Calibri" w:eastAsia="Calibri" w:hAnsi="Calibri"/>
                <w:color w:val="212121"/>
                <w:sz w:val="19"/>
                <w:szCs w:val="19"/>
              </w:rPr>
              <w:t xml:space="preserve">1 QA Engineer</w:t>
            </w:r>
            <w:r>
              <w:rPr>
                <w:rFonts w:ascii="Calibri" w:cs="Calibri" w:eastAsia="Calibri" w:hAnsi="Calibri"/>
                <w:color w:val="CFD8DC"/>
                <w:sz w:val="19"/>
                <w:szCs w:val="19"/>
              </w:rPr>
              <w:t xml:space="preserve">   ·   </w:t>
            </w:r>
            <w:r>
              <w:rPr>
                <w:rFonts w:ascii="Calibri" w:cs="Calibri" w:eastAsia="Calibri" w:hAnsi="Calibri"/>
                <w:color w:val="212121"/>
                <w:sz w:val="19"/>
                <w:szCs w:val="19"/>
              </w:rPr>
              <w:t xml:space="preserve">2 Devs (Bug-Fixing)</w:t>
            </w:r>
            <w:r>
              <w:rPr>
                <w:rFonts w:ascii="Calibri" w:cs="Calibri" w:eastAsia="Calibri" w:hAnsi="Calibri"/>
                <w:color w:val="CFD8DC"/>
                <w:sz w:val="19"/>
                <w:szCs w:val="19"/>
              </w:rPr>
              <w:t xml:space="preserve">   ·   </w:t>
            </w:r>
            <w:r>
              <w:rPr>
                <w:rFonts w:ascii="Calibri" w:cs="Calibri" w:eastAsia="Calibri" w:hAnsi="Calibri"/>
                <w:color w:val="212121"/>
                <w:sz w:val="19"/>
                <w:szCs w:val="19"/>
              </w:rPr>
              <w:t xml:space="preserve">1 Krypto-Steuerberater</w:t>
            </w:r>
            <w:r>
              <w:t xml:space="preserve"/>
            </w:r>
          </w:p>
        </w:tc>
      </w:tr>
    </w:tbl>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1600"/>
        <w:gridCol w:w="826"/>
      </w:tblGrid>
      <w:tr>
        <w:tc>
          <w:tcPr>
            <w:tcW w:type="dxa" w:w="1400"/>
            <w:tcBorders>
              <w:top w:val="single" w:color="BF360C" w:sz="12"/>
              <w:left w:val="single" w:color="CFD8DC" w:sz="1"/>
              <w:bottom w:val="single" w:color="CFD8DC" w:sz="1"/>
              <w:right w:val="single" w:color="CFD8DC" w:sz="1"/>
            </w:tcBorders>
            <w:shd w:fill="FFF3E0" w:val="clear"/>
            <w:tcMar>
              <w:top w:type="dxa" w:w="120"/>
              <w:left w:type="dxa" w:w="160"/>
              <w:bottom w:type="dxa" w:w="120"/>
              <w:right w:type="dxa" w:w="100"/>
            </w:tcMar>
            <w:vAlign w:val="center"/>
          </w:tcPr>
          <w:p>
            <w:pPr>
              <w:jc w:val="center"/>
            </w:pPr>
            <w:r>
              <w:rPr>
                <w:rFonts w:ascii="Calibri" w:cs="Calibri" w:eastAsia="Calibri" w:hAnsi="Calibri"/>
                <w:b/>
                <w:bCs/>
                <w:color w:val="BF360C"/>
                <w:sz w:val="28"/>
                <w:szCs w:val="28"/>
              </w:rPr>
              <w:t xml:space="preserve">PHASE 3</w:t>
            </w:r>
          </w:p>
        </w:tc>
        <w:tc>
          <w:tcPr>
            <w:tcW w:type="dxa" w:w="5200"/>
            <w:tcBorders>
              <w:top w:val="single" w:color="BF360C" w:sz="12"/>
              <w:left w:val="single" w:color="CFD8DC" w:sz="1"/>
              <w:bottom w:val="single" w:color="CFD8DC" w:sz="1"/>
              <w:right w:val="single" w:color="CFD8DC" w:sz="1"/>
            </w:tcBorders>
            <w:shd w:fill="FFF3E0" w:val="clear"/>
            <w:tcMar>
              <w:top w:type="dxa" w:w="100"/>
              <w:left w:type="dxa" w:w="160"/>
              <w:bottom w:type="dxa" w:w="100"/>
              <w:right w:type="dxa" w:w="100"/>
            </w:tcMar>
            <w:vAlign w:val="center"/>
          </w:tcPr>
          <w:p>
            <w:r>
              <w:rPr>
                <w:rFonts w:ascii="Calibri" w:cs="Calibri" w:eastAsia="Calibri" w:hAnsi="Calibri"/>
                <w:b/>
                <w:bCs/>
                <w:color w:val="BF360C"/>
                <w:sz w:val="26"/>
                <w:szCs w:val="26"/>
              </w:rPr>
              <w:t xml:space="preserve">Launch – Markteinführung &amp; Go-to-Market</w:t>
            </w:r>
          </w:p>
        </w:tc>
        <w:tc>
          <w:tcPr>
            <w:tcW w:type="dxa" w:w="1600"/>
            <w:tcBorders>
              <w:top w:val="single" w:color="BF360C" w:sz="12"/>
              <w:left w:val="single" w:color="CFD8DC" w:sz="1"/>
              <w:bottom w:val="single" w:color="CFD8DC" w:sz="1"/>
              <w:right w:val="single" w:color="CFD8DC" w:sz="1"/>
            </w:tcBorders>
            <w:shd w:fill="FFF3E0" w:val="clear"/>
            <w:tcMar>
              <w:top w:type="dxa" w:w="100"/>
              <w:left w:type="dxa" w:w="120"/>
              <w:bottom w:type="dxa" w:w="100"/>
              <w:right w:type="dxa" w:w="100"/>
            </w:tcMar>
            <w:vAlign w:val="center"/>
          </w:tcPr>
          <w:p>
            <w:pPr>
              <w:jc w:val="center"/>
            </w:pPr>
            <w:r>
              <w:rPr>
                <w:rFonts w:ascii="Calibri" w:cs="Calibri" w:eastAsia="Calibri" w:hAnsi="Calibri"/>
                <w:b/>
                <w:bCs/>
                <w:color w:val="BF360C"/>
                <w:sz w:val="20"/>
                <w:szCs w:val="20"/>
              </w:rPr>
              <w:t xml:space="preserve">September 2026</w:t>
            </w:r>
          </w:p>
          <w:p>
            <w:pPr>
              <w:jc w:val="center"/>
            </w:pPr>
            <w:r>
              <w:rPr>
                <w:rFonts w:ascii="Calibri" w:cs="Calibri" w:eastAsia="Calibri" w:hAnsi="Calibri"/>
                <w:color w:val="546E7A"/>
                <w:sz w:val="18"/>
                <w:szCs w:val="18"/>
              </w:rPr>
              <w:t xml:space="preserve">Go-Live</w:t>
            </w:r>
          </w:p>
        </w:tc>
        <w:tc>
          <w:tcPr>
            <w:tcW w:type="dxa" w:w="826"/>
            <w:tcBorders>
              <w:top w:val="single" w:color="BF360C" w:sz="12"/>
              <w:left w:val="single" w:color="CFD8DC" w:sz="1"/>
              <w:bottom w:val="single" w:color="CFD8DC" w:sz="1"/>
              <w:right w:val="single" w:color="CFD8DC" w:sz="1"/>
            </w:tcBorders>
            <w:shd w:fill="FFF3E0" w:val="clear"/>
            <w:tcMar>
              <w:top w:type="dxa" w:w="100"/>
              <w:left w:type="dxa" w:w="80"/>
              <w:bottom w:type="dxa" w:w="100"/>
              <w:right w:type="dxa" w:w="80"/>
            </w:tcMar>
            <w:vAlign w:val="center"/>
          </w:tcPr>
          <w:p>
            <w:pPr>
              <w:jc w:val="center"/>
            </w:pPr>
            <w:r>
              <w:rPr>
                <w:rFonts w:ascii="Calibri" w:cs="Calibri" w:eastAsia="Calibri" w:hAnsi="Calibri"/>
                <w:b/>
                <w:bCs/>
                <w:color w:val="BF360C"/>
                <w:sz w:val="32"/>
                <w:szCs w:val="32"/>
              </w:rPr>
              <w:t xml:space="preserve">●</w:t>
            </w:r>
          </w:p>
        </w:tc>
      </w:tr>
    </w:tbl>
    <w:p>
      <w:pPr>
        <w:spacing w:before="100" w:after="0"/>
      </w:pPr>
      <w:r>
        <w:t xml:space="preserve"/>
      </w:r>
    </w:p>
    <w:p>
      <w:pPr>
        <w:spacing w:before="60" w:after="80"/>
      </w:pPr>
      <w:r>
        <w:rPr>
          <w:rFonts w:ascii="Calibri" w:cs="Calibri" w:eastAsia="Calibri" w:hAnsi="Calibri"/>
          <w:color w:val="212121"/>
          <w:sz w:val="21"/>
          <w:szCs w:val="21"/>
        </w:rPr>
        <w:t xml:space="preserve">Ziel: Öffentlicher Launch des Tools. Pricing-Tiers aktivieren, Marketing-Kampagnen starten und strategische Partnerschaften mit der Flare Network Foundation sowie ersten Steuerberatungskanzleien einleiten.</w:t>
      </w:r>
    </w:p>
    <w:p>
      <w:pPr>
        <w:spacing w:before="80" w:after="0"/>
      </w:pPr>
      <w:r>
        <w:t xml:space="preserve"/>
      </w:r>
    </w:p>
    <w:tbl>
      <w:tblPr>
        <w:tblW w:type="dxa" w:w="9026"/>
        <w:tblBorders>
          <w:top w:val="single" w:color="CFD8DC" w:sz="1"/>
          <w:left w:val="single" w:color="CFD8DC" w:sz="1"/>
          <w:bottom w:val="single" w:color="CFD8DC" w:sz="1"/>
          <w:right w:val="single" w:color="CFD8DC" w:sz="1"/>
          <w:insideH w:val="single" w:color="auto" w:sz="4"/>
          <w:insideV w:val="single" w:color="auto" w:sz="4"/>
        </w:tblBorders>
      </w:tblPr>
      <w:tblGrid>
        <w:gridCol w:w="4413"/>
        <w:gridCol w:w="4413"/>
      </w:tblGrid>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BF360C"/>
                <w:sz w:val="20"/>
                <w:szCs w:val="20"/>
              </w:rPr>
              <w:t xml:space="preserve">▸  </w:t>
            </w:r>
            <w:r>
              <w:rPr>
                <w:rFonts w:ascii="Calibri" w:cs="Calibri" w:eastAsia="Calibri" w:hAnsi="Calibri"/>
                <w:color w:val="212121"/>
                <w:sz w:val="20"/>
                <w:szCs w:val="20"/>
              </w:rPr>
              <w:t xml:space="preserve">Public Launch: app.defi-tracker.de</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BF360C"/>
                <w:sz w:val="20"/>
                <w:szCs w:val="20"/>
              </w:rPr>
              <w:t xml:space="preserve">▸  </w:t>
            </w:r>
            <w:r>
              <w:rPr>
                <w:rFonts w:ascii="Calibri" w:cs="Calibri" w:eastAsia="Calibri" w:hAnsi="Calibri"/>
                <w:color w:val="212121"/>
                <w:sz w:val="20"/>
                <w:szCs w:val="20"/>
              </w:rPr>
              <w:t xml:space="preserve">CoinTracking-Partner-Zertifizierung beantragen</w:t>
            </w:r>
          </w:p>
        </w:tc>
      </w:tr>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BF360C"/>
                <w:sz w:val="20"/>
                <w:szCs w:val="20"/>
              </w:rPr>
              <w:t xml:space="preserve">▸  </w:t>
            </w:r>
            <w:r>
              <w:rPr>
                <w:rFonts w:ascii="Calibri" w:cs="Calibri" w:eastAsia="Calibri" w:hAnsi="Calibri"/>
                <w:color w:val="212121"/>
                <w:sz w:val="20"/>
                <w:szCs w:val="20"/>
              </w:rPr>
              <w:t xml:space="preserve">Pricing aktivieren: Starter / Pro / Business / Kanzlei</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BF360C"/>
                <w:sz w:val="20"/>
                <w:szCs w:val="20"/>
              </w:rPr>
              <w:t xml:space="preserve">▸  </w:t>
            </w:r>
            <w:r>
              <w:rPr>
                <w:rFonts w:ascii="Calibri" w:cs="Calibri" w:eastAsia="Calibri" w:hAnsi="Calibri"/>
                <w:color w:val="212121"/>
                <w:sz w:val="20"/>
                <w:szCs w:val="20"/>
              </w:rPr>
              <w:t xml:space="preserve">Erstgespräche: 5 Steuerberatungskanzleien (B2B)</w:t>
            </w:r>
          </w:p>
        </w:tc>
      </w:tr>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BF360C"/>
                <w:sz w:val="20"/>
                <w:szCs w:val="20"/>
              </w:rPr>
              <w:t xml:space="preserve">▸  </w:t>
            </w:r>
            <w:r>
              <w:rPr>
                <w:rFonts w:ascii="Calibri" w:cs="Calibri" w:eastAsia="Calibri" w:hAnsi="Calibri"/>
                <w:color w:val="212121"/>
                <w:sz w:val="20"/>
                <w:szCs w:val="20"/>
              </w:rPr>
              <w:t xml:space="preserve">Marketing: Blocktrainer Forum, Reddit r/CryptoCurrency DE, X</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BF360C"/>
                <w:sz w:val="20"/>
                <w:szCs w:val="20"/>
              </w:rPr>
              <w:t xml:space="preserve">▸  </w:t>
            </w:r>
            <w:r>
              <w:rPr>
                <w:rFonts w:ascii="Calibri" w:cs="Calibri" w:eastAsia="Calibri" w:hAnsi="Calibri"/>
                <w:color w:val="212121"/>
                <w:sz w:val="20"/>
                <w:szCs w:val="20"/>
              </w:rPr>
              <w:t xml:space="preserve">Pressearbeit: Krypto-Medien (BTC-ECHO, Coin-Ratgeber)</w:t>
            </w:r>
          </w:p>
        </w:tc>
      </w:tr>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BF360C"/>
                <w:sz w:val="20"/>
                <w:szCs w:val="20"/>
              </w:rPr>
              <w:t xml:space="preserve">▸  </w:t>
            </w:r>
            <w:r>
              <w:rPr>
                <w:rFonts w:ascii="Calibri" w:cs="Calibri" w:eastAsia="Calibri" w:hAnsi="Calibri"/>
                <w:color w:val="212121"/>
                <w:sz w:val="20"/>
                <w:szCs w:val="20"/>
              </w:rPr>
              <w:t xml:space="preserve">Partnership-Kontakt: Flare Network Foundation (Grants)</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BF360C"/>
                <w:sz w:val="20"/>
                <w:szCs w:val="20"/>
              </w:rPr>
              <w:t xml:space="preserve">▸  </w:t>
            </w:r>
            <w:r>
              <w:rPr>
                <w:rFonts w:ascii="Calibri" w:cs="Calibri" w:eastAsia="Calibri" w:hAnsi="Calibri"/>
                <w:color w:val="212121"/>
                <w:sz w:val="20"/>
                <w:szCs w:val="20"/>
              </w:rPr>
              <w:t xml:space="preserve">User Support &amp; Helpdesk einrichten</w:t>
            </w:r>
          </w:p>
        </w:tc>
      </w:tr>
    </w:tbl>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360C" w:sz="1"/>
              <w:left w:val="thick" w:color="BF360C" w:sz="18"/>
              <w:bottom w:val="single" w:color="BF360C" w:sz="1"/>
              <w:right w:val="single" w:color="BF360C" w:sz="1"/>
            </w:tcBorders>
            <w:shd w:fill="FFF3E0" w:val="clear"/>
            <w:tcMar>
              <w:top w:type="dxa" w:w="100"/>
              <w:left w:type="dxa" w:w="200"/>
              <w:bottom w:type="dxa" w:w="100"/>
              <w:right w:type="dxa" w:w="140"/>
            </w:tcMar>
          </w:tcPr>
          <w:p>
            <w:pPr>
              <w:spacing w:before="0" w:after="0"/>
            </w:pPr>
            <w:r>
              <w:rPr>
                <w:rFonts w:ascii="Calibri" w:cs="Calibri" w:eastAsia="Calibri" w:hAnsi="Calibri"/>
                <w:color w:val="212121"/>
                <w:sz w:val="20"/>
                <w:szCs w:val="20"/>
              </w:rPr>
              <w:t xml:space="preserve">DAC8-Timing: Der Launch unmittelbar vor der DAC8-Hochsaison (Steuererklärungen 2026, Abgabe bis 31.07.2027) ist strategisch optimal. Nutzer mit CEX+DeFi-Portfolio werden durch den automatischen Datenaustausch der Exchanges mit dem BZSt unter Zugzwang gesetzt.</w:t>
            </w:r>
          </w:p>
        </w:tc>
      </w:tr>
    </w:tbl>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FD8DC" w:sz="1"/>
              <w:left w:val="single" w:color="CFD8DC" w:sz="1"/>
              <w:bottom w:val="single" w:color="CFD8DC" w:sz="1"/>
              <w:right w:val="single" w:color="CFD8DC" w:sz="1"/>
            </w:tcBorders>
            <w:shd w:fill="F5F5F5" w:val="clear"/>
            <w:tcMar>
              <w:top w:type="dxa" w:w="80"/>
              <w:left w:type="dxa" w:w="160"/>
              <w:bottom w:type="dxa" w:w="80"/>
              <w:right w:type="dxa" w:w="160"/>
            </w:tcMar>
          </w:tcPr>
          <w:p>
            <w:pPr>
              <w:spacing w:before="0" w:after="0"/>
            </w:pPr>
            <w:r>
              <w:rPr>
                <w:rFonts w:ascii="Calibri" w:cs="Calibri" w:eastAsia="Calibri" w:hAnsi="Calibri"/>
                <w:b/>
                <w:bCs/>
                <w:color w:val="546E7A"/>
                <w:sz w:val="19"/>
                <w:szCs w:val="19"/>
              </w:rPr>
              <w:t xml:space="preserve">Team:  </w:t>
            </w:r>
            <w:r>
              <w:rPr>
                <w:rFonts w:ascii="Calibri" w:cs="Calibri" w:eastAsia="Calibri" w:hAnsi="Calibri"/>
                <w:color w:val="212121"/>
                <w:sz w:val="19"/>
                <w:szCs w:val="19"/>
              </w:rPr>
              <w:t xml:space="preserve">Full Development Team</w:t>
            </w:r>
            <w:r>
              <w:rPr>
                <w:rFonts w:ascii="Calibri" w:cs="Calibri" w:eastAsia="Calibri" w:hAnsi="Calibri"/>
                <w:color w:val="CFD8DC"/>
                <w:sz w:val="19"/>
                <w:szCs w:val="19"/>
              </w:rPr>
              <w:t xml:space="preserve">   ·   </w:t>
            </w:r>
            <w:r>
              <w:rPr>
                <w:rFonts w:ascii="Calibri" w:cs="Calibri" w:eastAsia="Calibri" w:hAnsi="Calibri"/>
                <w:color w:val="212121"/>
                <w:sz w:val="19"/>
                <w:szCs w:val="19"/>
              </w:rPr>
              <w:t xml:space="preserve">Marketing &amp; PR</w:t>
            </w:r>
            <w:r>
              <w:rPr>
                <w:rFonts w:ascii="Calibri" w:cs="Calibri" w:eastAsia="Calibri" w:hAnsi="Calibri"/>
                <w:color w:val="CFD8DC"/>
                <w:sz w:val="19"/>
                <w:szCs w:val="19"/>
              </w:rPr>
              <w:t xml:space="preserve">   ·   </w:t>
            </w:r>
            <w:r>
              <w:rPr>
                <w:rFonts w:ascii="Calibri" w:cs="Calibri" w:eastAsia="Calibri" w:hAnsi="Calibri"/>
                <w:color w:val="212121"/>
                <w:sz w:val="19"/>
                <w:szCs w:val="19"/>
              </w:rPr>
              <w:t xml:space="preserve">Sales B2B</w:t>
            </w:r>
            <w:r>
              <w:t xml:space="preserve"/>
            </w:r>
          </w:p>
        </w:tc>
      </w:tr>
    </w:tbl>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1600"/>
        <w:gridCol w:w="826"/>
      </w:tblGrid>
      <w:tr>
        <w:tc>
          <w:tcPr>
            <w:tcW w:type="dxa" w:w="1400"/>
            <w:tcBorders>
              <w:top w:val="single" w:color="1B5E20" w:sz="12"/>
              <w:left w:val="single" w:color="CFD8DC" w:sz="1"/>
              <w:bottom w:val="single" w:color="CFD8DC" w:sz="1"/>
              <w:right w:val="single" w:color="CFD8DC" w:sz="1"/>
            </w:tcBorders>
            <w:shd w:fill="E8F5E9" w:val="clear"/>
            <w:tcMar>
              <w:top w:type="dxa" w:w="120"/>
              <w:left w:type="dxa" w:w="160"/>
              <w:bottom w:type="dxa" w:w="120"/>
              <w:right w:type="dxa" w:w="100"/>
            </w:tcMar>
            <w:vAlign w:val="center"/>
          </w:tcPr>
          <w:p>
            <w:pPr>
              <w:jc w:val="center"/>
            </w:pPr>
            <w:r>
              <w:rPr>
                <w:rFonts w:ascii="Calibri" w:cs="Calibri" w:eastAsia="Calibri" w:hAnsi="Calibri"/>
                <w:b/>
                <w:bCs/>
                <w:color w:val="1B5E20"/>
                <w:sz w:val="28"/>
                <w:szCs w:val="28"/>
              </w:rPr>
              <w:t xml:space="preserve">PHASE 4</w:t>
            </w:r>
          </w:p>
        </w:tc>
        <w:tc>
          <w:tcPr>
            <w:tcW w:type="dxa" w:w="5200"/>
            <w:tcBorders>
              <w:top w:val="single" w:color="1B5E20" w:sz="12"/>
              <w:left w:val="single" w:color="CFD8DC" w:sz="1"/>
              <w:bottom w:val="single" w:color="CFD8DC" w:sz="1"/>
              <w:right w:val="single" w:color="CFD8DC" w:sz="1"/>
            </w:tcBorders>
            <w:shd w:fill="E8F5E9" w:val="clear"/>
            <w:tcMar>
              <w:top w:type="dxa" w:w="100"/>
              <w:left w:type="dxa" w:w="160"/>
              <w:bottom w:type="dxa" w:w="100"/>
              <w:right w:type="dxa" w:w="100"/>
            </w:tcMar>
            <w:vAlign w:val="center"/>
          </w:tcPr>
          <w:p>
            <w:r>
              <w:rPr>
                <w:rFonts w:ascii="Calibri" w:cs="Calibri" w:eastAsia="Calibri" w:hAnsi="Calibri"/>
                <w:b/>
                <w:bCs/>
                <w:color w:val="1B5E20"/>
                <w:sz w:val="26"/>
                <w:szCs w:val="26"/>
              </w:rPr>
              <w:t xml:space="preserve">Skalierung – Multi-Chain, ELSTER &amp; B2B-Portal</w:t>
            </w:r>
          </w:p>
        </w:tc>
        <w:tc>
          <w:tcPr>
            <w:tcW w:type="dxa" w:w="1600"/>
            <w:tcBorders>
              <w:top w:val="single" w:color="1B5E20" w:sz="12"/>
              <w:left w:val="single" w:color="CFD8DC" w:sz="1"/>
              <w:bottom w:val="single" w:color="CFD8DC" w:sz="1"/>
              <w:right w:val="single" w:color="CFD8DC" w:sz="1"/>
            </w:tcBorders>
            <w:shd w:fill="E8F5E9" w:val="clear"/>
            <w:tcMar>
              <w:top w:type="dxa" w:w="100"/>
              <w:left w:type="dxa" w:w="120"/>
              <w:bottom w:type="dxa" w:w="100"/>
              <w:right w:type="dxa" w:w="100"/>
            </w:tcMar>
            <w:vAlign w:val="center"/>
          </w:tcPr>
          <w:p>
            <w:pPr>
              <w:jc w:val="center"/>
            </w:pPr>
            <w:r>
              <w:rPr>
                <w:rFonts w:ascii="Calibri" w:cs="Calibri" w:eastAsia="Calibri" w:hAnsi="Calibri"/>
                <w:b/>
                <w:bCs/>
                <w:color w:val="1B5E20"/>
                <w:sz w:val="20"/>
                <w:szCs w:val="20"/>
              </w:rPr>
              <w:t xml:space="preserve">Q4 2026 – Q1 2027</w:t>
            </w:r>
          </w:p>
          <w:p>
            <w:pPr>
              <w:jc w:val="center"/>
            </w:pPr>
            <w:r>
              <w:rPr>
                <w:rFonts w:ascii="Calibri" w:cs="Calibri" w:eastAsia="Calibri" w:hAnsi="Calibri"/>
                <w:color w:val="546E7A"/>
                <w:sz w:val="18"/>
                <w:szCs w:val="18"/>
              </w:rPr>
              <w:t xml:space="preserve">~6 Monate</w:t>
            </w:r>
          </w:p>
        </w:tc>
        <w:tc>
          <w:tcPr>
            <w:tcW w:type="dxa" w:w="826"/>
            <w:tcBorders>
              <w:top w:val="single" w:color="1B5E20" w:sz="12"/>
              <w:left w:val="single" w:color="CFD8DC" w:sz="1"/>
              <w:bottom w:val="single" w:color="CFD8DC" w:sz="1"/>
              <w:right w:val="single" w:color="CFD8DC" w:sz="1"/>
            </w:tcBorders>
            <w:shd w:fill="E8F5E9" w:val="clear"/>
            <w:tcMar>
              <w:top w:type="dxa" w:w="100"/>
              <w:left w:type="dxa" w:w="80"/>
              <w:bottom w:type="dxa" w:w="100"/>
              <w:right w:type="dxa" w:w="80"/>
            </w:tcMar>
            <w:vAlign w:val="center"/>
          </w:tcPr>
          <w:p>
            <w:pPr>
              <w:jc w:val="center"/>
            </w:pPr>
            <w:r>
              <w:rPr>
                <w:rFonts w:ascii="Calibri" w:cs="Calibri" w:eastAsia="Calibri" w:hAnsi="Calibri"/>
                <w:b/>
                <w:bCs/>
                <w:color w:val="1B5E20"/>
                <w:sz w:val="32"/>
                <w:szCs w:val="32"/>
              </w:rPr>
              <w:t xml:space="preserve">●</w:t>
            </w:r>
          </w:p>
        </w:tc>
      </w:tr>
    </w:tbl>
    <w:p>
      <w:pPr>
        <w:spacing w:before="100" w:after="0"/>
      </w:pPr>
      <w:r>
        <w:t xml:space="preserve"/>
      </w:r>
    </w:p>
    <w:p>
      <w:pPr>
        <w:spacing w:before="60" w:after="80"/>
      </w:pPr>
      <w:r>
        <w:rPr>
          <w:rFonts w:ascii="Calibri" w:cs="Calibri" w:eastAsia="Calibri" w:hAnsi="Calibri"/>
          <w:color w:val="212121"/>
          <w:sz w:val="21"/>
          <w:szCs w:val="21"/>
        </w:rPr>
        <w:t xml:space="preserve">Ziel: Erweiterung auf die beiden verbleibenden Protokolle (Stargate Finance, Aave Multi-Chain), Einführung steuerlicher Optimierungswerkzeuge (LIFO/HIFO, Graubereich-Szenario-Rechner) und Aufbau des B2B-Steuerberater-Portals.</w:t>
      </w:r>
    </w:p>
    <w:p>
      <w:pPr>
        <w:spacing w:before="80" w:after="0"/>
      </w:pPr>
      <w:r>
        <w:t xml:space="preserve"/>
      </w:r>
    </w:p>
    <w:tbl>
      <w:tblPr>
        <w:tblW w:type="dxa" w:w="9026"/>
        <w:tblBorders>
          <w:top w:val="single" w:color="CFD8DC" w:sz="1"/>
          <w:left w:val="single" w:color="CFD8DC" w:sz="1"/>
          <w:bottom w:val="single" w:color="CFD8DC" w:sz="1"/>
          <w:right w:val="single" w:color="CFD8DC" w:sz="1"/>
          <w:insideH w:val="single" w:color="auto" w:sz="4"/>
          <w:insideV w:val="single" w:color="auto" w:sz="4"/>
        </w:tblBorders>
      </w:tblPr>
      <w:tblGrid>
        <w:gridCol w:w="4413"/>
        <w:gridCol w:w="4413"/>
      </w:tblGrid>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1B5E20"/>
                <w:sz w:val="20"/>
                <w:szCs w:val="20"/>
              </w:rPr>
              <w:t xml:space="preserve">▸  </w:t>
            </w:r>
            <w:r>
              <w:rPr>
                <w:rFonts w:ascii="Calibri" w:cs="Calibri" w:eastAsia="Calibri" w:hAnsi="Calibri"/>
                <w:color w:val="212121"/>
                <w:sz w:val="20"/>
                <w:szCs w:val="20"/>
              </w:rPr>
              <w:t xml:space="preserve">Stargate Bridge: Multi-Chain TX-Verknüpfung via LayerZero-ID</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1B5E20"/>
                <w:sz w:val="20"/>
                <w:szCs w:val="20"/>
              </w:rPr>
              <w:t xml:space="preserve">▸  </w:t>
            </w:r>
            <w:r>
              <w:rPr>
                <w:rFonts w:ascii="Calibri" w:cs="Calibri" w:eastAsia="Calibri" w:hAnsi="Calibri"/>
                <w:color w:val="212121"/>
                <w:sz w:val="20"/>
                <w:szCs w:val="20"/>
              </w:rPr>
              <w:t xml:space="preserve">Graubereich-Szenario-Rechner (konservativ vs. liberal LP)</w:t>
            </w:r>
          </w:p>
        </w:tc>
      </w:tr>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1B5E20"/>
                <w:sz w:val="20"/>
                <w:szCs w:val="20"/>
              </w:rPr>
              <w:t xml:space="preserve">▸  </w:t>
            </w:r>
            <w:r>
              <w:rPr>
                <w:rFonts w:ascii="Calibri" w:cs="Calibri" w:eastAsia="Calibri" w:hAnsi="Calibri"/>
                <w:color w:val="212121"/>
                <w:sz w:val="20"/>
                <w:szCs w:val="20"/>
              </w:rPr>
              <w:t xml:space="preserve">Aave V3: 12-Chain-Integration (ETH, Polygon, Arbitrum…)</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1B5E20"/>
                <w:sz w:val="20"/>
                <w:szCs w:val="20"/>
              </w:rPr>
              <w:t xml:space="preserve">▸  </w:t>
            </w:r>
            <w:r>
              <w:rPr>
                <w:rFonts w:ascii="Calibri" w:cs="Calibri" w:eastAsia="Calibri" w:hAnsi="Calibri"/>
                <w:color w:val="212121"/>
                <w:sz w:val="20"/>
                <w:szCs w:val="20"/>
              </w:rPr>
              <w:t xml:space="preserve">Impermanent Loss Report + steuerliche Einordnung</w:t>
            </w:r>
          </w:p>
        </w:tc>
      </w:tr>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1B5E20"/>
                <w:sz w:val="20"/>
                <w:szCs w:val="20"/>
              </w:rPr>
              <w:t xml:space="preserve">▸  </w:t>
            </w:r>
            <w:r>
              <w:rPr>
                <w:rFonts w:ascii="Calibri" w:cs="Calibri" w:eastAsia="Calibri" w:hAnsi="Calibri"/>
                <w:color w:val="212121"/>
                <w:sz w:val="20"/>
                <w:szCs w:val="20"/>
              </w:rPr>
              <w:t xml:space="preserve">LIFO / HIFO Steueroptimierungsrechner</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1B5E20"/>
                <w:sz w:val="20"/>
                <w:szCs w:val="20"/>
              </w:rPr>
              <w:t xml:space="preserve">▸  </w:t>
            </w:r>
            <w:r>
              <w:rPr>
                <w:rFonts w:ascii="Calibri" w:cs="Calibri" w:eastAsia="Calibri" w:hAnsi="Calibri"/>
                <w:color w:val="212121"/>
                <w:sz w:val="20"/>
                <w:szCs w:val="20"/>
              </w:rPr>
              <w:t xml:space="preserve">Portfolio-Analytics Dashboard (P&amp;L, DeFi-Rendite)</w:t>
            </w:r>
          </w:p>
        </w:tc>
      </w:tr>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1B5E20"/>
                <w:sz w:val="20"/>
                <w:szCs w:val="20"/>
              </w:rPr>
              <w:t xml:space="preserve">▸  </w:t>
            </w:r>
            <w:r>
              <w:rPr>
                <w:rFonts w:ascii="Calibri" w:cs="Calibri" w:eastAsia="Calibri" w:hAnsi="Calibri"/>
                <w:color w:val="212121"/>
                <w:sz w:val="20"/>
                <w:szCs w:val="20"/>
              </w:rPr>
              <w:t xml:space="preserve">ELSTER XML Export (direkte Steuererklärung DE)</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1B5E20"/>
                <w:sz w:val="20"/>
                <w:szCs w:val="20"/>
              </w:rPr>
              <w:t xml:space="preserve">▸  </w:t>
            </w:r>
            <w:r>
              <w:rPr>
                <w:rFonts w:ascii="Calibri" w:cs="Calibri" w:eastAsia="Calibri" w:hAnsi="Calibri"/>
                <w:color w:val="212121"/>
                <w:sz w:val="20"/>
                <w:szCs w:val="20"/>
              </w:rPr>
              <w:t xml:space="preserve">Wallet-Labeling (Auto-Erkennung Protokoll-Contracts)</w:t>
            </w:r>
          </w:p>
        </w:tc>
      </w:tr>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1B5E20"/>
                <w:sz w:val="20"/>
                <w:szCs w:val="20"/>
              </w:rPr>
              <w:t xml:space="preserve">▸  </w:t>
            </w:r>
            <w:r>
              <w:rPr>
                <w:rFonts w:ascii="Calibri" w:cs="Calibri" w:eastAsia="Calibri" w:hAnsi="Calibri"/>
                <w:color w:val="212121"/>
                <w:sz w:val="20"/>
                <w:szCs w:val="20"/>
              </w:rPr>
              <w:t xml:space="preserve">Steuerberater-Portal (Multi-Mandant B2B)</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1B5E20"/>
                <w:sz w:val="20"/>
                <w:szCs w:val="20"/>
              </w:rPr>
              <w:t xml:space="preserve">▸  </w:t>
            </w:r>
            <w:r>
              <w:rPr>
                <w:rFonts w:ascii="Calibri" w:cs="Calibri" w:eastAsia="Calibri" w:hAnsi="Calibri"/>
                <w:color w:val="212121"/>
                <w:sz w:val="20"/>
                <w:szCs w:val="20"/>
              </w:rPr>
              <w:t xml:space="preserve">AML-Screening Modul (Optional für Kanzleikunden)</w:t>
            </w:r>
          </w:p>
        </w:tc>
      </w:tr>
      <w:tr>
        <w:tc>
          <w:tcPr>
            <w:tcW w:type="dxa" w:w="4413"/>
            <w:tcBorders>
              <w:top w:val="none" w:color="CFD8DC" w:sz="0"/>
              <w:left w:val="none" w:color="CFD8DC" w:sz="0"/>
              <w:bottom w:val="none" w:color="CFD8DC" w:sz="0"/>
              <w:right w:val="single" w:color="CFD8DC" w:sz="1"/>
            </w:tcBorders>
            <w:shd w:fill="FFFFFF" w:val="clear"/>
            <w:tcMar>
              <w:top w:type="dxa" w:w="60"/>
              <w:left w:type="dxa" w:w="140"/>
              <w:bottom w:type="dxa" w:w="60"/>
              <w:right w:type="dxa" w:w="140"/>
            </w:tcMar>
          </w:tcPr>
          <w:p>
            <w:pPr>
              <w:spacing w:before="0" w:after="0"/>
            </w:pPr>
            <w:r>
              <w:rPr>
                <w:rFonts w:ascii="Calibri" w:cs="Calibri" w:eastAsia="Calibri" w:hAnsi="Calibri"/>
                <w:b/>
                <w:bCs/>
                <w:color w:val="1B5E20"/>
                <w:sz w:val="20"/>
                <w:szCs w:val="20"/>
              </w:rPr>
              <w:t xml:space="preserve">▸  </w:t>
            </w:r>
            <w:r>
              <w:rPr>
                <w:rFonts w:ascii="Calibri" w:cs="Calibri" w:eastAsia="Calibri" w:hAnsi="Calibri"/>
                <w:color w:val="212121"/>
                <w:sz w:val="20"/>
                <w:szCs w:val="20"/>
              </w:rPr>
              <w:t xml:space="preserve">REST API für Buchhaltungssoftware-Integration</w:t>
            </w:r>
          </w:p>
        </w:tc>
        <w:tc>
          <w:tcPr>
            <w:tcW w:type="dxa" w:w="4413"/>
            <w:tcBorders>
              <w:top w:val="none" w:color="CFD8DC" w:sz="0"/>
              <w:left w:val="none" w:color="CFD8DC" w:sz="0"/>
              <w:bottom w:val="none" w:color="CFD8DC" w:sz="0"/>
              <w:right w:val="none" w:color="CFD8DC" w:sz="0"/>
            </w:tcBorders>
            <w:shd w:fill="FFFFFF" w:val="clear"/>
            <w:tcMar>
              <w:top w:type="dxa" w:w="60"/>
              <w:left w:type="dxa" w:w="140"/>
              <w:bottom w:type="dxa" w:w="60"/>
              <w:right w:type="dxa" w:w="100"/>
            </w:tcMar>
          </w:tcPr>
          <w:p>
            <w:pPr>
              <w:spacing w:before="0" w:after="0"/>
            </w:pPr>
            <w:r>
              <w:rPr>
                <w:rFonts w:ascii="Calibri" w:cs="Calibri" w:eastAsia="Calibri" w:hAnsi="Calibri"/>
                <w:b/>
                <w:bCs/>
                <w:color w:val="1B5E20"/>
                <w:sz w:val="20"/>
                <w:szCs w:val="20"/>
              </w:rPr>
              <w:t xml:space="preserve">▸  </w:t>
            </w:r>
            <w:r>
              <w:rPr>
                <w:rFonts w:ascii="Calibri" w:cs="Calibri" w:eastAsia="Calibri" w:hAnsi="Calibri"/>
                <w:color w:val="212121"/>
                <w:sz w:val="20"/>
                <w:szCs w:val="20"/>
              </w:rPr>
              <w:t xml:space="preserve">White-Label Option für B2B-Partner</w:t>
            </w:r>
          </w:p>
        </w:tc>
      </w:tr>
    </w:tbl>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FD8DC" w:sz="1"/>
              <w:left w:val="single" w:color="CFD8DC" w:sz="1"/>
              <w:bottom w:val="single" w:color="CFD8DC" w:sz="1"/>
              <w:right w:val="single" w:color="CFD8DC" w:sz="1"/>
            </w:tcBorders>
            <w:shd w:fill="F5F5F5" w:val="clear"/>
            <w:tcMar>
              <w:top w:type="dxa" w:w="80"/>
              <w:left w:type="dxa" w:w="160"/>
              <w:bottom w:type="dxa" w:w="80"/>
              <w:right w:type="dxa" w:w="160"/>
            </w:tcMar>
          </w:tcPr>
          <w:p>
            <w:pPr>
              <w:spacing w:before="0" w:after="0"/>
            </w:pPr>
            <w:r>
              <w:rPr>
                <w:rFonts w:ascii="Calibri" w:cs="Calibri" w:eastAsia="Calibri" w:hAnsi="Calibri"/>
                <w:b/>
                <w:bCs/>
                <w:color w:val="546E7A"/>
                <w:sz w:val="19"/>
                <w:szCs w:val="19"/>
              </w:rPr>
              <w:t xml:space="preserve">Team:  </w:t>
            </w:r>
            <w:r>
              <w:rPr>
                <w:rFonts w:ascii="Calibri" w:cs="Calibri" w:eastAsia="Calibri" w:hAnsi="Calibri"/>
                <w:color w:val="212121"/>
                <w:sz w:val="19"/>
                <w:szCs w:val="19"/>
              </w:rPr>
              <w:t xml:space="preserve">Team-Erweiterung</w:t>
            </w:r>
            <w:r>
              <w:rPr>
                <w:rFonts w:ascii="Calibri" w:cs="Calibri" w:eastAsia="Calibri" w:hAnsi="Calibri"/>
                <w:color w:val="CFD8DC"/>
                <w:sz w:val="19"/>
                <w:szCs w:val="19"/>
              </w:rPr>
              <w:t xml:space="preserve">   ·   </w:t>
            </w:r>
            <w:r>
              <w:rPr>
                <w:rFonts w:ascii="Calibri" w:cs="Calibri" w:eastAsia="Calibri" w:hAnsi="Calibri"/>
                <w:color w:val="212121"/>
                <w:sz w:val="19"/>
                <w:szCs w:val="19"/>
              </w:rPr>
              <w:t xml:space="preserve">1 B2B Sales</w:t>
            </w:r>
            <w:r>
              <w:rPr>
                <w:rFonts w:ascii="Calibri" w:cs="Calibri" w:eastAsia="Calibri" w:hAnsi="Calibri"/>
                <w:color w:val="CFD8DC"/>
                <w:sz w:val="19"/>
                <w:szCs w:val="19"/>
              </w:rPr>
              <w:t xml:space="preserve">   ·   </w:t>
            </w:r>
            <w:r>
              <w:rPr>
                <w:rFonts w:ascii="Calibri" w:cs="Calibri" w:eastAsia="Calibri" w:hAnsi="Calibri"/>
                <w:color w:val="212121"/>
                <w:sz w:val="19"/>
                <w:szCs w:val="19"/>
              </w:rPr>
              <w:t xml:space="preserve">1 Backend (Multi-Chain)</w:t>
            </w:r>
            <w:r>
              <w:rPr>
                <w:rFonts w:ascii="Calibri" w:cs="Calibri" w:eastAsia="Calibri" w:hAnsi="Calibri"/>
                <w:color w:val="CFD8DC"/>
                <w:sz w:val="19"/>
                <w:szCs w:val="19"/>
              </w:rPr>
              <w:t xml:space="preserve">   ·   </w:t>
            </w:r>
            <w:r>
              <w:rPr>
                <w:rFonts w:ascii="Calibri" w:cs="Calibri" w:eastAsia="Calibri" w:hAnsi="Calibri"/>
                <w:color w:val="212121"/>
                <w:sz w:val="19"/>
                <w:szCs w:val="19"/>
              </w:rPr>
              <w:t xml:space="preserve">1 Frontend (Kanzlei-Portal)</w:t>
            </w:r>
            <w:r>
              <w:t xml:space="preserve"/>
            </w:r>
          </w:p>
        </w:tc>
      </w:tr>
    </w:tbl>
    <w:p>
      <w:pPr>
        <w:spacing w:before="160" w:after="0"/>
      </w:pPr>
      <w:r>
        <w:t xml:space="preserve"/>
      </w:r>
    </w:p>
    <w:p>
      <w:pPr>
        <w:pStyle w:val="Heading1"/>
      </w:pPr>
      <w:r>
        <w:rPr>
          <w:rFonts w:ascii="Calibri" w:cs="Calibri" w:eastAsia="Calibri" w:hAnsi="Calibri"/>
          <w:b/>
          <w:bCs/>
          <w:color w:val="0D47A1"/>
          <w:sz w:val="36"/>
          <w:szCs w:val="36"/>
        </w:rPr>
        <w:t xml:space="preserve">Preismodell (ab September 2026)</w:t>
      </w:r>
    </w:p>
    <w:p>
      <w:pPr>
        <w:spacing w:before="60" w:after="80"/>
      </w:pPr>
      <w:r>
        <w:rPr>
          <w:rFonts w:ascii="Calibri" w:cs="Calibri" w:eastAsia="Calibri" w:hAnsi="Calibri"/>
          <w:color w:val="212121"/>
          <w:sz w:val="21"/>
          <w:szCs w:val="21"/>
        </w:rPr>
        <w:t xml:space="preserve">Das Preismodell deckt vier Segmente ab: Privatanleger (B2C), fortgeschrittene Nutzer, Unternehmen und Steuerberatungskanzleien (B2B). Alle Pläne beinhalten den CoinTracking-konformen CSV-Export.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226"/>
      </w:tblGrid>
      <w:tr>
        <w:trPr>
          <w:tblHeader/>
        </w:trPr>
        <w:tc>
          <w:tcPr>
            <w:tcW w:type="dxa" w:w="1600"/>
            <w:tcBorders>
              <w:top w:val="single" w:color="CFD8DC" w:sz="1"/>
              <w:left w:val="single" w:color="CFD8DC" w:sz="1"/>
              <w:bottom w:val="single" w:color="CFD8DC" w:sz="1"/>
              <w:right w:val="single" w:color="CFD8DC" w:sz="1"/>
            </w:tcBorders>
            <w:shd w:fill="0D47A1" w:val="clear"/>
            <w:tcMar>
              <w:top w:type="dxa" w:w="80"/>
              <w:left w:type="dxa" w:w="140"/>
              <w:bottom w:type="dxa" w:w="80"/>
              <w:right w:type="dxa" w:w="80"/>
            </w:tcMar>
          </w:tcPr>
          <w:p>
            <w:r>
              <w:rPr>
                <w:rFonts w:ascii="Calibri" w:cs="Calibri" w:eastAsia="Calibri" w:hAnsi="Calibri"/>
                <w:b/>
                <w:bCs/>
                <w:color w:val="FFFFFF"/>
                <w:sz w:val="20"/>
                <w:szCs w:val="20"/>
              </w:rPr>
              <w:t xml:space="preserve">Plan</w:t>
            </w:r>
          </w:p>
        </w:tc>
        <w:tc>
          <w:tcPr>
            <w:tcW w:type="dxa" w:w="2200"/>
            <w:tcBorders>
              <w:top w:val="single" w:color="CFD8DC" w:sz="1"/>
              <w:left w:val="single" w:color="CFD8DC" w:sz="1"/>
              <w:bottom w:val="single" w:color="CFD8DC" w:sz="1"/>
              <w:right w:val="single" w:color="CFD8DC" w:sz="1"/>
            </w:tcBorders>
            <w:shd w:fill="0D47A1" w:val="clear"/>
            <w:tcMar>
              <w:top w:type="dxa" w:w="80"/>
              <w:left w:type="dxa" w:w="140"/>
              <w:bottom w:type="dxa" w:w="80"/>
              <w:right w:type="dxa" w:w="80"/>
            </w:tcMar>
          </w:tcPr>
          <w:p>
            <w:r>
              <w:rPr>
                <w:rFonts w:ascii="Calibri" w:cs="Calibri" w:eastAsia="Calibri" w:hAnsi="Calibri"/>
                <w:b/>
                <w:bCs/>
                <w:color w:val="FFFFFF"/>
                <w:sz w:val="20"/>
                <w:szCs w:val="20"/>
              </w:rPr>
              <w:t xml:space="preserve">Preis</w:t>
            </w:r>
          </w:p>
        </w:tc>
        <w:tc>
          <w:tcPr>
            <w:tcW w:type="dxa" w:w="2000"/>
            <w:tcBorders>
              <w:top w:val="single" w:color="CFD8DC" w:sz="1"/>
              <w:left w:val="single" w:color="CFD8DC" w:sz="1"/>
              <w:bottom w:val="single" w:color="CFD8DC" w:sz="1"/>
              <w:right w:val="single" w:color="CFD8DC" w:sz="1"/>
            </w:tcBorders>
            <w:shd w:fill="0D47A1" w:val="clear"/>
            <w:tcMar>
              <w:top w:type="dxa" w:w="80"/>
              <w:left w:type="dxa" w:w="140"/>
              <w:bottom w:type="dxa" w:w="80"/>
              <w:right w:type="dxa" w:w="80"/>
            </w:tcMar>
          </w:tcPr>
          <w:p>
            <w:r>
              <w:rPr>
                <w:rFonts w:ascii="Calibri" w:cs="Calibri" w:eastAsia="Calibri" w:hAnsi="Calibri"/>
                <w:b/>
                <w:bCs/>
                <w:color w:val="FFFFFF"/>
                <w:sz w:val="20"/>
                <w:szCs w:val="20"/>
              </w:rPr>
              <w:t xml:space="preserve">Transaktionen</w:t>
            </w:r>
          </w:p>
        </w:tc>
        <w:tc>
          <w:tcPr>
            <w:tcW w:type="dxa" w:w="3226"/>
            <w:tcBorders>
              <w:top w:val="single" w:color="CFD8DC" w:sz="1"/>
              <w:left w:val="single" w:color="CFD8DC" w:sz="1"/>
              <w:bottom w:val="single" w:color="CFD8DC" w:sz="1"/>
              <w:right w:val="single" w:color="CFD8DC" w:sz="1"/>
            </w:tcBorders>
            <w:shd w:fill="0D47A1" w:val="clear"/>
            <w:tcMar>
              <w:top w:type="dxa" w:w="80"/>
              <w:left w:type="dxa" w:w="140"/>
              <w:bottom w:type="dxa" w:w="80"/>
              <w:right w:type="dxa" w:w="80"/>
            </w:tcMar>
          </w:tcPr>
          <w:p>
            <w:r>
              <w:rPr>
                <w:rFonts w:ascii="Calibri" w:cs="Calibri" w:eastAsia="Calibri" w:hAnsi="Calibri"/>
                <w:b/>
                <w:bCs/>
                <w:color w:val="FFFFFF"/>
                <w:sz w:val="20"/>
                <w:szCs w:val="20"/>
              </w:rPr>
              <w:t xml:space="preserve">Enthaltene Features</w:t>
            </w:r>
          </w:p>
        </w:tc>
      </w:tr>
      <w:tr>
        <w:tc>
          <w:tcPr>
            <w:tcW w:type="dxa" w:w="16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80"/>
            </w:tcMar>
          </w:tcPr>
          <w:p>
            <w:r>
              <w:rPr>
                <w:rFonts w:ascii="Calibri" w:cs="Calibri" w:eastAsia="Calibri" w:hAnsi="Calibri"/>
                <w:b/>
                <w:bCs/>
                <w:color w:val="1565C0"/>
                <w:sz w:val="21"/>
                <w:szCs w:val="21"/>
              </w:rPr>
              <w:t xml:space="preserve">Starter</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80"/>
            </w:tcMar>
          </w:tcPr>
          <w:p>
            <w:r>
              <w:rPr>
                <w:rFonts w:ascii="Calibri" w:cs="Calibri" w:eastAsia="Calibri" w:hAnsi="Calibri"/>
                <w:b/>
                <w:bCs/>
                <w:color w:val="0D47A1"/>
                <w:sz w:val="21"/>
                <w:szCs w:val="21"/>
              </w:rPr>
              <w:t xml:space="preserve">€ 9,99 / Monat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80"/>
            </w:tcMar>
          </w:tcPr>
          <w:p>
            <w:r>
              <w:rPr>
                <w:rFonts w:ascii="Calibri" w:cs="Calibri" w:eastAsia="Calibri" w:hAnsi="Calibri"/>
                <w:color w:val="212121"/>
                <w:sz w:val="20"/>
                <w:szCs w:val="20"/>
              </w:rPr>
              <w:t xml:space="preserve">200 TX / Jahr</w:t>
            </w:r>
          </w:p>
        </w:tc>
        <w:tc>
          <w:tcPr>
            <w:tcW w:type="dxa" w:w="3226"/>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Calibri" w:cs="Calibri" w:eastAsia="Calibri" w:hAnsi="Calibri"/>
                <w:color w:val="212121"/>
                <w:sz w:val="20"/>
                <w:szCs w:val="20"/>
              </w:rPr>
              <w:t xml:space="preserve">Flare Network, 1 Wallet, CSV Export, FIFO</w:t>
            </w:r>
          </w:p>
        </w:tc>
      </w:tr>
      <w:tr>
        <w:tc>
          <w:tcPr>
            <w:tcW w:type="dxa" w:w="16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80"/>
            </w:tcMar>
          </w:tcPr>
          <w:p>
            <w:r>
              <w:rPr>
                <w:rFonts w:ascii="Calibri" w:cs="Calibri" w:eastAsia="Calibri" w:hAnsi="Calibri"/>
                <w:b/>
                <w:bCs/>
                <w:color w:val="1B5E20"/>
                <w:sz w:val="21"/>
                <w:szCs w:val="21"/>
              </w:rPr>
              <w:t xml:space="preserve">Pro</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80"/>
            </w:tcMar>
          </w:tcPr>
          <w:p>
            <w:r>
              <w:rPr>
                <w:rFonts w:ascii="Calibri" w:cs="Calibri" w:eastAsia="Calibri" w:hAnsi="Calibri"/>
                <w:b/>
                <w:bCs/>
                <w:color w:val="0D47A1"/>
                <w:sz w:val="21"/>
                <w:szCs w:val="21"/>
              </w:rPr>
              <w:t xml:space="preserve">€ 29,99 / Monat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80"/>
            </w:tcMar>
          </w:tcPr>
          <w:p>
            <w:r>
              <w:rPr>
                <w:rFonts w:ascii="Calibri" w:cs="Calibri" w:eastAsia="Calibri" w:hAnsi="Calibri"/>
                <w:color w:val="212121"/>
                <w:sz w:val="20"/>
                <w:szCs w:val="20"/>
              </w:rPr>
              <w:t xml:space="preserve">2.000 TX / Jahr</w:t>
            </w:r>
          </w:p>
        </w:tc>
        <w:tc>
          <w:tcPr>
            <w:tcW w:type="dxa" w:w="3226"/>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Calibri" w:cs="Calibri" w:eastAsia="Calibri" w:hAnsi="Calibri"/>
                <w:color w:val="212121"/>
                <w:sz w:val="20"/>
                <w:szCs w:val="20"/>
              </w:rPr>
              <w:t xml:space="preserve">Alle 6 Protokolle, 5 Wallets, PDF, LIFO/HIFO</w:t>
            </w:r>
          </w:p>
        </w:tc>
      </w:tr>
      <w:tr>
        <w:tc>
          <w:tcPr>
            <w:tcW w:type="dxa" w:w="160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80"/>
            </w:tcMar>
          </w:tcPr>
          <w:p>
            <w:r>
              <w:rPr>
                <w:rFonts w:ascii="Calibri" w:cs="Calibri" w:eastAsia="Calibri" w:hAnsi="Calibri"/>
                <w:b/>
                <w:bCs/>
                <w:color w:val="BF360C"/>
                <w:sz w:val="21"/>
                <w:szCs w:val="21"/>
              </w:rPr>
              <w:t xml:space="preserve">Business</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80"/>
            </w:tcMar>
          </w:tcPr>
          <w:p>
            <w:r>
              <w:rPr>
                <w:rFonts w:ascii="Calibri" w:cs="Calibri" w:eastAsia="Calibri" w:hAnsi="Calibri"/>
                <w:b/>
                <w:bCs/>
                <w:color w:val="0D47A1"/>
                <w:sz w:val="21"/>
                <w:szCs w:val="21"/>
              </w:rPr>
              <w:t xml:space="preserve">€ 79,99 / Monat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80"/>
            </w:tcMar>
          </w:tcPr>
          <w:p>
            <w:r>
              <w:rPr>
                <w:rFonts w:ascii="Calibri" w:cs="Calibri" w:eastAsia="Calibri" w:hAnsi="Calibri"/>
                <w:color w:val="212121"/>
                <w:sz w:val="20"/>
                <w:szCs w:val="20"/>
              </w:rPr>
              <w:t xml:space="preserve">Unbegrenzt</w:t>
            </w:r>
          </w:p>
        </w:tc>
        <w:tc>
          <w:tcPr>
            <w:tcW w:type="dxa" w:w="3226"/>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Calibri" w:cs="Calibri" w:eastAsia="Calibri" w:hAnsi="Calibri"/>
                <w:color w:val="212121"/>
                <w:sz w:val="20"/>
                <w:szCs w:val="20"/>
              </w:rPr>
              <w:t xml:space="preserve">Multi-Chain, 20 Wallets, ELSTER Export, SLA</w:t>
            </w:r>
          </w:p>
        </w:tc>
      </w:tr>
      <w:tr>
        <w:tc>
          <w:tcPr>
            <w:tcW w:type="dxa" w:w="160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80"/>
            </w:tcMar>
          </w:tcPr>
          <w:p>
            <w:r>
              <w:rPr>
                <w:rFonts w:ascii="Calibri" w:cs="Calibri" w:eastAsia="Calibri" w:hAnsi="Calibri"/>
                <w:b/>
                <w:bCs/>
                <w:color w:val="4A148C"/>
                <w:sz w:val="21"/>
                <w:szCs w:val="21"/>
              </w:rPr>
              <w:t xml:space="preserve">Kanzlei (B2B)</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80"/>
            </w:tcMar>
          </w:tcPr>
          <w:p>
            <w:r>
              <w:rPr>
                <w:rFonts w:ascii="Calibri" w:cs="Calibri" w:eastAsia="Calibri" w:hAnsi="Calibri"/>
                <w:b/>
                <w:bCs/>
                <w:color w:val="0D47A1"/>
                <w:sz w:val="21"/>
                <w:szCs w:val="21"/>
              </w:rPr>
              <w:t xml:space="preserve">€ 299,99 / Monat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80"/>
            </w:tcMar>
          </w:tcPr>
          <w:p>
            <w:r>
              <w:rPr>
                <w:rFonts w:ascii="Calibri" w:cs="Calibri" w:eastAsia="Calibri" w:hAnsi="Calibri"/>
                <w:color w:val="212121"/>
                <w:sz w:val="20"/>
                <w:szCs w:val="20"/>
              </w:rPr>
              <w:t xml:space="preserve">Unbegrenzt + Multi</w:t>
            </w:r>
          </w:p>
        </w:tc>
        <w:tc>
          <w:tcPr>
            <w:tcW w:type="dxa" w:w="3226"/>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Calibri" w:cs="Calibri" w:eastAsia="Calibri" w:hAnsi="Calibri"/>
                <w:color w:val="212121"/>
                <w:sz w:val="20"/>
                <w:szCs w:val="20"/>
              </w:rPr>
              <w:t xml:space="preserve">Steuerberater-Portal, REST API, White-Label</w:t>
            </w:r>
          </w:p>
        </w:tc>
      </w:tr>
    </w:tbl>
    <w:p>
      <w:pPr>
        <w:spacing w:before="160" w:after="0"/>
      </w:pPr>
      <w:r>
        <w:t xml:space="preserve"/>
      </w:r>
    </w:p>
    <w:p>
      <w:pPr>
        <w:pStyle w:val="Heading1"/>
      </w:pPr>
      <w:r>
        <w:rPr>
          <w:rFonts w:ascii="Calibri" w:cs="Calibri" w:eastAsia="Calibri" w:hAnsi="Calibri"/>
          <w:b/>
          <w:bCs/>
          <w:color w:val="0D47A1"/>
          <w:sz w:val="36"/>
          <w:szCs w:val="36"/>
        </w:rPr>
        <w:t xml:space="preserve">Kritische Erfolgsfaktoren</w:t>
      </w:r>
    </w:p>
    <w:p>
      <w:pPr>
        <w:spacing w:before="60" w:after="80"/>
      </w:pPr>
      <w:r>
        <w:rPr>
          <w:rFonts w:ascii="Calibri" w:cs="Calibri" w:eastAsia="Calibri" w:hAnsi="Calibri"/>
          <w:color w:val="212121"/>
          <w:sz w:val="21"/>
          <w:szCs w:val="21"/>
        </w:rPr>
        <w:t xml:space="preserve">Die folgenden fünf Faktoren sind entscheidend für den Projekterfolg. Kommen sie zum Tragen, entscheiden sie über Marktakzeptanz und regulatorische Belastbarkeit des Tools.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426"/>
      </w:tblGrid>
      <w:tr>
        <w:trPr>
          <w:tblHeader/>
        </w:trPr>
        <w:tc>
          <w:tcPr>
            <w:tcW w:type="dxa" w:w="400"/>
            <w:tcBorders>
              <w:top w:val="single" w:color="CFD8DC" w:sz="1"/>
              <w:left w:val="single" w:color="CFD8DC" w:sz="1"/>
              <w:bottom w:val="single" w:color="CFD8DC" w:sz="1"/>
              <w:right w:val="single" w:color="CFD8DC" w:sz="1"/>
            </w:tcBorders>
            <w:shd w:fill="0D47A1" w:val="clear"/>
            <w:tcMar>
              <w:top w:type="dxa" w:w="80"/>
              <w:left w:type="dxa" w:w="140"/>
              <w:bottom w:type="dxa" w:w="80"/>
              <w:right w:type="dxa" w:w="80"/>
            </w:tcMar>
          </w:tcPr>
          <w:p>
            <w:r>
              <w:t xml:space="preserve"/>
            </w:r>
          </w:p>
        </w:tc>
        <w:tc>
          <w:tcPr>
            <w:tcW w:type="dxa" w:w="2000"/>
            <w:tcBorders>
              <w:top w:val="single" w:color="CFD8DC" w:sz="1"/>
              <w:left w:val="single" w:color="CFD8DC" w:sz="1"/>
              <w:bottom w:val="single" w:color="CFD8DC" w:sz="1"/>
              <w:right w:val="single" w:color="CFD8DC" w:sz="1"/>
            </w:tcBorders>
            <w:shd w:fill="0D47A1" w:val="clear"/>
            <w:tcMar>
              <w:top w:type="dxa" w:w="80"/>
              <w:left w:type="dxa" w:w="140"/>
              <w:bottom w:type="dxa" w:w="80"/>
              <w:right w:type="dxa" w:w="80"/>
            </w:tcMar>
          </w:tcPr>
          <w:p>
            <w:r>
              <w:rPr>
                <w:rFonts w:ascii="Calibri" w:cs="Calibri" w:eastAsia="Calibri" w:hAnsi="Calibri"/>
                <w:b/>
                <w:bCs/>
                <w:color w:val="FFFFFF"/>
                <w:sz w:val="20"/>
                <w:szCs w:val="20"/>
              </w:rPr>
              <w:t xml:space="preserve">Erfolgsfaktor</w:t>
            </w:r>
          </w:p>
        </w:tc>
        <w:tc>
          <w:tcPr>
            <w:tcW w:type="dxa" w:w="6426"/>
            <w:tcBorders>
              <w:top w:val="single" w:color="CFD8DC" w:sz="1"/>
              <w:left w:val="single" w:color="CFD8DC" w:sz="1"/>
              <w:bottom w:val="single" w:color="CFD8DC" w:sz="1"/>
              <w:right w:val="single" w:color="CFD8DC" w:sz="1"/>
            </w:tcBorders>
            <w:shd w:fill="0D47A1" w:val="clear"/>
            <w:tcMar>
              <w:top w:type="dxa" w:w="80"/>
              <w:left w:type="dxa" w:w="140"/>
              <w:bottom w:type="dxa" w:w="80"/>
              <w:right w:type="dxa" w:w="100"/>
            </w:tcMar>
          </w:tcPr>
          <w:p>
            <w:r>
              <w:rPr>
                <w:rFonts w:ascii="Calibri" w:cs="Calibri" w:eastAsia="Calibri" w:hAnsi="Calibri"/>
                <w:b/>
                <w:bCs/>
                <w:color w:val="FFFFFF"/>
                <w:sz w:val="20"/>
                <w:szCs w:val="20"/>
              </w:rPr>
              <w:t xml:space="preserve">Maßnahme</w:t>
            </w:r>
          </w:p>
        </w:tc>
      </w:tr>
      <w:tr>
        <w:tc>
          <w:tcPr>
            <w:tcW w:type="dxa" w:w="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80"/>
            </w:tcMar>
            <w:vAlign w:val="center"/>
          </w:tcPr>
          <w:p>
            <w:pPr>
              <w:jc w:val="center"/>
            </w:pPr>
            <w:r>
              <w:rPr>
                <w:rFonts w:ascii="Calibri" w:cs="Calibri" w:eastAsia="Calibri" w:hAnsi="Calibri"/>
                <w:sz w:val="28"/>
                <w:szCs w:val="28"/>
              </w:rPr>
              <w:t xml:space="preserve">📋</w:t>
            </w:r>
          </w:p>
        </w:tc>
        <w:tc>
          <w:tcPr>
            <w:tcW w:type="dxa" w:w="20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80"/>
            </w:tcMar>
          </w:tcPr>
          <w:p>
            <w:r>
              <w:rPr>
                <w:rFonts w:ascii="Calibri" w:cs="Calibri" w:eastAsia="Calibri" w:hAnsi="Calibri"/>
                <w:b/>
                <w:bCs/>
                <w:color w:val="0D47A1"/>
                <w:sz w:val="21"/>
                <w:szCs w:val="21"/>
              </w:rPr>
              <w:t xml:space="preserve">Steuerrechts-Aktualität</w:t>
            </w:r>
          </w:p>
        </w:tc>
        <w:tc>
          <w:tcPr>
            <w:tcW w:type="dxa" w:w="6426"/>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Calibri" w:cs="Calibri" w:eastAsia="Calibri" w:hAnsi="Calibri"/>
                <w:color w:val="212121"/>
                <w:sz w:val="20"/>
                <w:szCs w:val="20"/>
              </w:rPr>
              <w:t xml:space="preserve">Jährliches Update aller TX-Mappings nach neuen BMF-Schreiben. Steuerberater und CTO sind gemeinsam verantwortlich für die Aktualität aller §22/§23 EStG-Zuordnungen.</w:t>
            </w:r>
          </w:p>
        </w:tc>
      </w:tr>
      <w:tr>
        <w:tc>
          <w:tcPr>
            <w:tcW w:type="dxa" w:w="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80"/>
            </w:tcMar>
            <w:vAlign w:val="center"/>
          </w:tcPr>
          <w:p>
            <w:pPr>
              <w:jc w:val="center"/>
            </w:pPr>
            <w:r>
              <w:rPr>
                <w:rFonts w:ascii="Calibri" w:cs="Calibri" w:eastAsia="Calibri" w:hAnsi="Calibri"/>
                <w:sz w:val="28"/>
                <w:szCs w:val="28"/>
              </w:rPr>
              <w:t xml:space="preserve">🎯</w:t>
            </w:r>
          </w:p>
        </w:tc>
        <w:tc>
          <w:tcPr>
            <w:tcW w:type="dxa" w:w="20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80"/>
            </w:tcMar>
          </w:tcPr>
          <w:p>
            <w:r>
              <w:rPr>
                <w:rFonts w:ascii="Calibri" w:cs="Calibri" w:eastAsia="Calibri" w:hAnsi="Calibri"/>
                <w:b/>
                <w:bCs/>
                <w:color w:val="0D47A1"/>
                <w:sz w:val="21"/>
                <w:szCs w:val="21"/>
              </w:rPr>
              <w:t xml:space="preserve">Datenqualität</w:t>
            </w:r>
          </w:p>
        </w:tc>
        <w:tc>
          <w:tcPr>
            <w:tcW w:type="dxa" w:w="6426"/>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Calibri" w:cs="Calibri" w:eastAsia="Calibri" w:hAnsi="Calibri"/>
                <w:color w:val="212121"/>
                <w:sz w:val="20"/>
                <w:szCs w:val="20"/>
              </w:rPr>
              <w:t xml:space="preserve">Zero-Fehler-Toleranz bei EUR-Kursbewertung. FTSO als Primärquelle, CoinGecko und CoinMarketCap (BMF-anerkannt) als Fallback. Jede Preisquelle wird im Audit-Log versioniert.</w:t>
            </w:r>
          </w:p>
        </w:tc>
      </w:tr>
      <w:tr>
        <w:tc>
          <w:tcPr>
            <w:tcW w:type="dxa" w:w="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80"/>
            </w:tcMar>
            <w:vAlign w:val="center"/>
          </w:tcPr>
          <w:p>
            <w:pPr>
              <w:jc w:val="center"/>
            </w:pPr>
            <w:r>
              <w:rPr>
                <w:rFonts w:ascii="Calibri" w:cs="Calibri" w:eastAsia="Calibri" w:hAnsi="Calibri"/>
                <w:sz w:val="28"/>
                <w:szCs w:val="28"/>
              </w:rPr>
              <w:t xml:space="preserve">⚡</w:t>
            </w:r>
          </w:p>
        </w:tc>
        <w:tc>
          <w:tcPr>
            <w:tcW w:type="dxa" w:w="20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80"/>
            </w:tcMar>
          </w:tcPr>
          <w:p>
            <w:r>
              <w:rPr>
                <w:rFonts w:ascii="Calibri" w:cs="Calibri" w:eastAsia="Calibri" w:hAnsi="Calibri"/>
                <w:b/>
                <w:bCs/>
                <w:color w:val="0D47A1"/>
                <w:sz w:val="21"/>
                <w:szCs w:val="21"/>
              </w:rPr>
              <w:t xml:space="preserve">Time-to-Market</w:t>
            </w:r>
          </w:p>
        </w:tc>
        <w:tc>
          <w:tcPr>
            <w:tcW w:type="dxa" w:w="6426"/>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Calibri" w:cs="Calibri" w:eastAsia="Calibri" w:hAnsi="Calibri"/>
                <w:color w:val="212121"/>
                <w:sz w:val="20"/>
                <w:szCs w:val="20"/>
              </w:rPr>
              <w:t xml:space="preserve">MVP-Launch zwingend bis September 2026 vor der DAC8-Hochsaison. Kein Scope-Creep im MVP – Stargate/Aave kommen erst in Phase 4. First-Mover-Vorteil im Flare-Ökosystem.</w:t>
            </w:r>
          </w:p>
        </w:tc>
      </w:tr>
      <w:tr>
        <w:tc>
          <w:tcPr>
            <w:tcW w:type="dxa" w:w="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80"/>
            </w:tcMar>
            <w:vAlign w:val="center"/>
          </w:tcPr>
          <w:p>
            <w:pPr>
              <w:jc w:val="center"/>
            </w:pPr>
            <w:r>
              <w:rPr>
                <w:rFonts w:ascii="Calibri" w:cs="Calibri" w:eastAsia="Calibri" w:hAnsi="Calibri"/>
                <w:sz w:val="28"/>
                <w:szCs w:val="28"/>
              </w:rPr>
              <w:t xml:space="preserve">🚀</w:t>
            </w:r>
          </w:p>
        </w:tc>
        <w:tc>
          <w:tcPr>
            <w:tcW w:type="dxa" w:w="20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80"/>
            </w:tcMar>
          </w:tcPr>
          <w:p>
            <w:r>
              <w:rPr>
                <w:rFonts w:ascii="Calibri" w:cs="Calibri" w:eastAsia="Calibri" w:hAnsi="Calibri"/>
                <w:b/>
                <w:bCs/>
                <w:color w:val="0D47A1"/>
                <w:sz w:val="21"/>
                <w:szCs w:val="21"/>
              </w:rPr>
              <w:t xml:space="preserve">Nutzerfreundlichkeit</w:t>
            </w:r>
          </w:p>
        </w:tc>
        <w:tc>
          <w:tcPr>
            <w:tcW w:type="dxa" w:w="6426"/>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Calibri" w:cs="Calibri" w:eastAsia="Calibri" w:hAnsi="Calibri"/>
                <w:color w:val="212121"/>
                <w:sz w:val="20"/>
                <w:szCs w:val="20"/>
              </w:rPr>
              <w:t xml:space="preserve">Onboarding in unter 5 Minuten: Wallet verbinden → erster CoinTracking-Export. UX ist zentraler Differenziator gegenüber Blockpit und Koinly.</w:t>
            </w:r>
          </w:p>
        </w:tc>
      </w:tr>
      <w:tr>
        <w:tc>
          <w:tcPr>
            <w:tcW w:type="dxa" w:w="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80"/>
            </w:tcMar>
            <w:vAlign w:val="center"/>
          </w:tcPr>
          <w:p>
            <w:pPr>
              <w:jc w:val="center"/>
            </w:pPr>
            <w:r>
              <w:rPr>
                <w:rFonts w:ascii="Calibri" w:cs="Calibri" w:eastAsia="Calibri" w:hAnsi="Calibri"/>
                <w:sz w:val="28"/>
                <w:szCs w:val="28"/>
              </w:rPr>
              <w:t xml:space="preserve">⚖️</w:t>
            </w:r>
          </w:p>
        </w:tc>
        <w:tc>
          <w:tcPr>
            <w:tcW w:type="dxa" w:w="20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80"/>
            </w:tcMar>
          </w:tcPr>
          <w:p>
            <w:r>
              <w:rPr>
                <w:rFonts w:ascii="Calibri" w:cs="Calibri" w:eastAsia="Calibri" w:hAnsi="Calibri"/>
                <w:b/>
                <w:bCs/>
                <w:color w:val="0D47A1"/>
                <w:sz w:val="21"/>
                <w:szCs w:val="21"/>
              </w:rPr>
              <w:t xml:space="preserve">Rechtssicherheit</w:t>
            </w:r>
          </w:p>
        </w:tc>
        <w:tc>
          <w:tcPr>
            <w:tcW w:type="dxa" w:w="6426"/>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Calibri" w:cs="Calibri" w:eastAsia="Calibri" w:hAnsi="Calibri"/>
                <w:color w:val="212121"/>
                <w:sz w:val="20"/>
                <w:szCs w:val="20"/>
              </w:rPr>
              <w:t xml:space="preserve">Klare Disclaimer für alle Graubereich-Transaktionen (LP Providing, CDP, Bridges). Jede steuerliche Schätzung ist kein verbindliches Steuerurteil. Dual-Szenario-Rechner für unsichere Fälle.</w:t>
            </w:r>
          </w:p>
        </w:tc>
      </w:tr>
    </w:tbl>
    <w:p>
      <w:pPr>
        <w:spacing w:before="160" w:after="0"/>
      </w:pPr>
      <w:r>
        <w:t xml:space="preserve"/>
      </w:r>
    </w:p>
    <w:p>
      <w:pPr>
        <w:pStyle w:val="Heading1"/>
      </w:pPr>
      <w:r>
        <w:rPr>
          <w:rFonts w:ascii="Calibri" w:cs="Calibri" w:eastAsia="Calibri" w:hAnsi="Calibri"/>
          <w:b/>
          <w:bCs/>
          <w:color w:val="0D47A1"/>
          <w:sz w:val="36"/>
          <w:szCs w:val="36"/>
        </w:rPr>
        <w:t xml:space="preserve">Ressourcen &amp; Budget (MVP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426"/>
      </w:tblGrid>
      <w:tr>
        <w:trPr>
          <w:tblHeader/>
        </w:trPr>
        <w:tc>
          <w:tcPr>
            <w:tcW w:type="dxa" w:w="3600"/>
            <w:tcBorders>
              <w:top w:val="single" w:color="CFD8DC" w:sz="1"/>
              <w:left w:val="single" w:color="CFD8DC" w:sz="1"/>
              <w:bottom w:val="single" w:color="CFD8DC" w:sz="1"/>
              <w:right w:val="single" w:color="CFD8DC" w:sz="1"/>
            </w:tcBorders>
            <w:shd w:fill="0D47A1" w:val="clear"/>
            <w:tcMar>
              <w:top w:type="dxa" w:w="80"/>
              <w:left w:type="dxa" w:w="140"/>
              <w:bottom w:type="dxa" w:w="80"/>
              <w:right w:type="dxa" w:w="80"/>
            </w:tcMar>
          </w:tcPr>
          <w:p>
            <w:r>
              <w:rPr>
                <w:rFonts w:ascii="Calibri" w:cs="Calibri" w:eastAsia="Calibri" w:hAnsi="Calibri"/>
                <w:b/>
                <w:bCs/>
                <w:color w:val="FFFFFF"/>
                <w:sz w:val="20"/>
                <w:szCs w:val="20"/>
              </w:rPr>
              <w:t xml:space="preserve">Position</w:t>
            </w:r>
          </w:p>
        </w:tc>
        <w:tc>
          <w:tcPr>
            <w:tcW w:type="dxa" w:w="2000"/>
            <w:tcBorders>
              <w:top w:val="single" w:color="CFD8DC" w:sz="1"/>
              <w:left w:val="single" w:color="CFD8DC" w:sz="1"/>
              <w:bottom w:val="single" w:color="CFD8DC" w:sz="1"/>
              <w:right w:val="single" w:color="CFD8DC" w:sz="1"/>
            </w:tcBorders>
            <w:shd w:fill="0D47A1" w:val="clear"/>
            <w:tcMar>
              <w:top w:type="dxa" w:w="80"/>
              <w:left w:type="dxa" w:w="140"/>
              <w:bottom w:type="dxa" w:w="80"/>
              <w:right w:type="dxa" w:w="80"/>
            </w:tcMar>
          </w:tcPr>
          <w:p>
            <w:r>
              <w:rPr>
                <w:rFonts w:ascii="Calibri" w:cs="Calibri" w:eastAsia="Calibri" w:hAnsi="Calibri"/>
                <w:b/>
                <w:bCs/>
                <w:color w:val="FFFFFF"/>
                <w:sz w:val="20"/>
                <w:szCs w:val="20"/>
              </w:rPr>
              <w:t xml:space="preserve">Aufwand (PM)</w:t>
            </w:r>
          </w:p>
        </w:tc>
        <w:tc>
          <w:tcPr>
            <w:tcW w:type="dxa" w:w="3426"/>
            <w:tcBorders>
              <w:top w:val="single" w:color="CFD8DC" w:sz="1"/>
              <w:left w:val="single" w:color="CFD8DC" w:sz="1"/>
              <w:bottom w:val="single" w:color="CFD8DC" w:sz="1"/>
              <w:right w:val="single" w:color="CFD8DC" w:sz="1"/>
            </w:tcBorders>
            <w:shd w:fill="0D47A1" w:val="clear"/>
            <w:tcMar>
              <w:top w:type="dxa" w:w="80"/>
              <w:left w:type="dxa" w:w="140"/>
              <w:bottom w:type="dxa" w:w="80"/>
              <w:right w:type="dxa" w:w="80"/>
            </w:tcMar>
          </w:tcPr>
          <w:p>
            <w:r>
              <w:rPr>
                <w:rFonts w:ascii="Calibri" w:cs="Calibri" w:eastAsia="Calibri" w:hAnsi="Calibri"/>
                <w:b/>
                <w:bCs/>
                <w:color w:val="FFFFFF"/>
                <w:sz w:val="20"/>
                <w:szCs w:val="20"/>
              </w:rPr>
              <w:t xml:space="preserve">Kosten (Schätzung)</w:t>
            </w:r>
          </w:p>
        </w:tc>
      </w:tr>
      <w:tr>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80"/>
            </w:tcMar>
          </w:tcPr>
          <w:p>
            <w:r>
              <w:rPr>
                <w:rFonts w:ascii="Calibri" w:cs="Calibri" w:eastAsia="Calibri" w:hAnsi="Calibri"/>
                <w:color w:val="212121"/>
                <w:sz w:val="20"/>
                <w:szCs w:val="20"/>
              </w:rPr>
              <w:t xml:space="preserve">Senior Backend-Dev (Blockchain)</w:t>
            </w:r>
          </w:p>
        </w:tc>
        <w:tc>
          <w:tcPr>
            <w:tcW w:type="dxa" w:w="20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80"/>
            </w:tcMar>
          </w:tcPr>
          <w:p>
            <w:pPr>
              <w:jc w:val="center"/>
            </w:pPr>
            <w:r>
              <w:rPr>
                <w:rFonts w:ascii="Calibri" w:cs="Calibri" w:eastAsia="Calibri" w:hAnsi="Calibri"/>
                <w:color w:val="212121"/>
                <w:sz w:val="20"/>
                <w:szCs w:val="20"/>
              </w:rPr>
              <w:t xml:space="preserve">4 PM</w:t>
            </w:r>
          </w:p>
        </w:tc>
        <w:tc>
          <w:tcPr>
            <w:tcW w:type="dxa" w:w="3426"/>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Calibri" w:cs="Calibri" w:eastAsia="Calibri" w:hAnsi="Calibri"/>
                <w:color w:val="212121"/>
                <w:sz w:val="20"/>
                <w:szCs w:val="20"/>
              </w:rPr>
              <w:t xml:space="preserve">€ 24.000 – € 32.000</w:t>
            </w:r>
          </w:p>
        </w:tc>
      </w:tr>
      <w:tr>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80"/>
            </w:tcMar>
          </w:tcPr>
          <w:p>
            <w:r>
              <w:rPr>
                <w:rFonts w:ascii="Calibri" w:cs="Calibri" w:eastAsia="Calibri" w:hAnsi="Calibri"/>
                <w:color w:val="212121"/>
                <w:sz w:val="20"/>
                <w:szCs w:val="20"/>
              </w:rPr>
              <w:t xml:space="preserve">Backend-Dev (Node.js / API)</w:t>
            </w:r>
          </w:p>
        </w:tc>
        <w:tc>
          <w:tcPr>
            <w:tcW w:type="dxa" w:w="20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80"/>
            </w:tcMar>
          </w:tcPr>
          <w:p>
            <w:pPr>
              <w:jc w:val="center"/>
            </w:pPr>
            <w:r>
              <w:rPr>
                <w:rFonts w:ascii="Calibri" w:cs="Calibri" w:eastAsia="Calibri" w:hAnsi="Calibri"/>
                <w:color w:val="212121"/>
                <w:sz w:val="20"/>
                <w:szCs w:val="20"/>
              </w:rPr>
              <w:t xml:space="preserve">3 PM</w:t>
            </w:r>
          </w:p>
        </w:tc>
        <w:tc>
          <w:tcPr>
            <w:tcW w:type="dxa" w:w="3426"/>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Calibri" w:cs="Calibri" w:eastAsia="Calibri" w:hAnsi="Calibri"/>
                <w:color w:val="212121"/>
                <w:sz w:val="20"/>
                <w:szCs w:val="20"/>
              </w:rPr>
              <w:t xml:space="preserve">€ 15.000 – € 21.000</w:t>
            </w:r>
          </w:p>
        </w:tc>
      </w:tr>
      <w:tr>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80"/>
            </w:tcMar>
          </w:tcPr>
          <w:p>
            <w:r>
              <w:rPr>
                <w:rFonts w:ascii="Calibri" w:cs="Calibri" w:eastAsia="Calibri" w:hAnsi="Calibri"/>
                <w:color w:val="212121"/>
                <w:sz w:val="20"/>
                <w:szCs w:val="20"/>
              </w:rPr>
              <w:t xml:space="preserve">Frontend-Dev (Next.js)</w:t>
            </w:r>
          </w:p>
        </w:tc>
        <w:tc>
          <w:tcPr>
            <w:tcW w:type="dxa" w:w="20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80"/>
            </w:tcMar>
          </w:tcPr>
          <w:p>
            <w:pPr>
              <w:jc w:val="center"/>
            </w:pPr>
            <w:r>
              <w:rPr>
                <w:rFonts w:ascii="Calibri" w:cs="Calibri" w:eastAsia="Calibri" w:hAnsi="Calibri"/>
                <w:color w:val="212121"/>
                <w:sz w:val="20"/>
                <w:szCs w:val="20"/>
              </w:rPr>
              <w:t xml:space="preserve">2 PM</w:t>
            </w:r>
          </w:p>
        </w:tc>
        <w:tc>
          <w:tcPr>
            <w:tcW w:type="dxa" w:w="3426"/>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Calibri" w:cs="Calibri" w:eastAsia="Calibri" w:hAnsi="Calibri"/>
                <w:color w:val="212121"/>
                <w:sz w:val="20"/>
                <w:szCs w:val="20"/>
              </w:rPr>
              <w:t xml:space="preserve">€ 10.000 – € 14.000</w:t>
            </w:r>
          </w:p>
        </w:tc>
      </w:tr>
      <w:tr>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80"/>
            </w:tcMar>
          </w:tcPr>
          <w:p>
            <w:r>
              <w:rPr>
                <w:rFonts w:ascii="Calibri" w:cs="Calibri" w:eastAsia="Calibri" w:hAnsi="Calibri"/>
                <w:color w:val="212121"/>
                <w:sz w:val="20"/>
                <w:szCs w:val="20"/>
              </w:rPr>
              <w:t xml:space="preserve">DevOps / Cloud-Infrastruktur</w:t>
            </w:r>
          </w:p>
        </w:tc>
        <w:tc>
          <w:tcPr>
            <w:tcW w:type="dxa" w:w="20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80"/>
            </w:tcMar>
          </w:tcPr>
          <w:p>
            <w:pPr>
              <w:jc w:val="center"/>
            </w:pPr>
            <w:r>
              <w:rPr>
                <w:rFonts w:ascii="Calibri" w:cs="Calibri" w:eastAsia="Calibri" w:hAnsi="Calibri"/>
                <w:color w:val="212121"/>
                <w:sz w:val="20"/>
                <w:szCs w:val="20"/>
              </w:rPr>
              <w:t xml:space="preserve">1 PM</w:t>
            </w:r>
          </w:p>
        </w:tc>
        <w:tc>
          <w:tcPr>
            <w:tcW w:type="dxa" w:w="3426"/>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Calibri" w:cs="Calibri" w:eastAsia="Calibri" w:hAnsi="Calibri"/>
                <w:color w:val="212121"/>
                <w:sz w:val="20"/>
                <w:szCs w:val="20"/>
              </w:rPr>
              <w:t xml:space="preserve">€ 4.000 – € 6.000</w:t>
            </w:r>
          </w:p>
        </w:tc>
      </w:tr>
      <w:tr>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80"/>
            </w:tcMar>
          </w:tcPr>
          <w:p>
            <w:r>
              <w:rPr>
                <w:rFonts w:ascii="Calibri" w:cs="Calibri" w:eastAsia="Calibri" w:hAnsi="Calibri"/>
                <w:color w:val="212121"/>
                <w:sz w:val="20"/>
                <w:szCs w:val="20"/>
              </w:rPr>
              <w:t xml:space="preserve">Krypto-Steuerberater</w:t>
            </w:r>
          </w:p>
        </w:tc>
        <w:tc>
          <w:tcPr>
            <w:tcW w:type="dxa" w:w="20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80"/>
            </w:tcMar>
          </w:tcPr>
          <w:p>
            <w:pPr>
              <w:jc w:val="center"/>
            </w:pPr>
            <w:r>
              <w:rPr>
                <w:rFonts w:ascii="Calibri" w:cs="Calibri" w:eastAsia="Calibri" w:hAnsi="Calibri"/>
                <w:color w:val="212121"/>
                <w:sz w:val="20"/>
                <w:szCs w:val="20"/>
              </w:rPr>
              <w:t xml:space="preserve">0,5 PM</w:t>
            </w:r>
          </w:p>
        </w:tc>
        <w:tc>
          <w:tcPr>
            <w:tcW w:type="dxa" w:w="3426"/>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Calibri" w:cs="Calibri" w:eastAsia="Calibri" w:hAnsi="Calibri"/>
                <w:color w:val="212121"/>
                <w:sz w:val="20"/>
                <w:szCs w:val="20"/>
              </w:rPr>
              <w:t xml:space="preserve">€ 5.000 – € 8.000</w:t>
            </w:r>
          </w:p>
        </w:tc>
      </w:tr>
      <w:tr>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80"/>
            </w:tcMar>
          </w:tcPr>
          <w:p>
            <w:r>
              <w:rPr>
                <w:rFonts w:ascii="Calibri" w:cs="Calibri" w:eastAsia="Calibri" w:hAnsi="Calibri"/>
                <w:color w:val="212121"/>
                <w:sz w:val="20"/>
                <w:szCs w:val="20"/>
              </w:rPr>
              <w:t xml:space="preserve">QA &amp; Testing</w:t>
            </w:r>
          </w:p>
        </w:tc>
        <w:tc>
          <w:tcPr>
            <w:tcW w:type="dxa" w:w="20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80"/>
            </w:tcMar>
          </w:tcPr>
          <w:p>
            <w:pPr>
              <w:jc w:val="center"/>
            </w:pPr>
            <w:r>
              <w:rPr>
                <w:rFonts w:ascii="Calibri" w:cs="Calibri" w:eastAsia="Calibri" w:hAnsi="Calibri"/>
                <w:color w:val="212121"/>
                <w:sz w:val="20"/>
                <w:szCs w:val="20"/>
              </w:rPr>
              <w:t xml:space="preserve">1 PM</w:t>
            </w:r>
          </w:p>
        </w:tc>
        <w:tc>
          <w:tcPr>
            <w:tcW w:type="dxa" w:w="3426"/>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Calibri" w:cs="Calibri" w:eastAsia="Calibri" w:hAnsi="Calibri"/>
                <w:color w:val="212121"/>
                <w:sz w:val="20"/>
                <w:szCs w:val="20"/>
              </w:rPr>
              <w:t xml:space="preserve">€ 4.000 – € 6.000</w:t>
            </w:r>
          </w:p>
        </w:tc>
      </w:tr>
      <w:tr>
        <w:tc>
          <w:tcPr>
            <w:tcW w:type="dxa" w:w="36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80"/>
            </w:tcMar>
          </w:tcPr>
          <w:p>
            <w:r>
              <w:rPr>
                <w:rFonts w:ascii="Calibri" w:cs="Calibri" w:eastAsia="Calibri" w:hAnsi="Calibri"/>
                <w:b/>
                <w:bCs/>
                <w:color w:val="0D47A1"/>
                <w:sz w:val="21"/>
                <w:szCs w:val="21"/>
              </w:rPr>
              <w:t xml:space="preserve">Gesamt (MVP Phase 1)</w:t>
            </w:r>
          </w:p>
        </w:tc>
        <w:tc>
          <w:tcPr>
            <w:tcW w:type="dxa" w:w="20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80"/>
            </w:tcMar>
          </w:tcPr>
          <w:p>
            <w:pPr>
              <w:jc w:val="center"/>
            </w:pPr>
            <w:r>
              <w:rPr>
                <w:rFonts w:ascii="Calibri" w:cs="Calibri" w:eastAsia="Calibri" w:hAnsi="Calibri"/>
                <w:b/>
                <w:bCs/>
                <w:color w:val="0D47A1"/>
                <w:sz w:val="21"/>
                <w:szCs w:val="21"/>
              </w:rPr>
              <w:t xml:space="preserve">11,5 PM</w:t>
            </w:r>
          </w:p>
        </w:tc>
        <w:tc>
          <w:tcPr>
            <w:tcW w:type="dxa" w:w="3426"/>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00"/>
            </w:tcMar>
          </w:tcPr>
          <w:p>
            <w:r>
              <w:rPr>
                <w:rFonts w:ascii="Calibri" w:cs="Calibri" w:eastAsia="Calibri" w:hAnsi="Calibri"/>
                <w:b/>
                <w:bCs/>
                <w:color w:val="0D47A1"/>
                <w:sz w:val="21"/>
                <w:szCs w:val="21"/>
              </w:rPr>
              <w:t xml:space="preserve">€ 62.000 – € 87.000</w:t>
            </w:r>
          </w:p>
        </w:tc>
      </w:tr>
    </w:tbl>
    <w:p>
      <w:pPr>
        <w:spacing w:before="200" w:after="0"/>
      </w:pPr>
      <w:r>
        <w:t xml:space="preserve"/>
      </w:r>
    </w:p>
    <w:p>
      <w:pPr>
        <w:pBdr>
          <w:top w:val="single" w:color="0D47A1" w:sz="4" w:space="8"/>
        </w:pBdr>
        <w:spacing w:before="200" w:after="0"/>
        <w:jc w:val="center"/>
      </w:pPr>
      <w:r>
        <w:rPr>
          <w:rFonts w:ascii="Calibri" w:cs="Calibri" w:eastAsia="Calibri" w:hAnsi="Calibri"/>
          <w:color w:val="888888"/>
          <w:sz w:val="18"/>
          <w:szCs w:val="18"/>
        </w:rPr>
        <w:t xml:space="preserve">Dieses Dokument wurde erstellt von NextGen IT Solutions GmbH, Stuttgart · März 2026</w:t>
      </w:r>
    </w:p>
    <w:p>
      <w:pPr>
        <w:jc w:val="center"/>
      </w:pPr>
      <w:r>
        <w:rPr>
          <w:rFonts w:ascii="Calibri" w:cs="Calibri" w:eastAsia="Calibri" w:hAnsi="Calibri"/>
          <w:i/>
          <w:iCs/>
          <w:color w:val="888888"/>
          <w:sz w:val="18"/>
          <w:szCs w:val="18"/>
        </w:rPr>
        <w:t xml:space="preserve">Auf Basis der Markt- &amp; Feasibility-Analyse DeFi Investment Tracker SaaS v1.0</w:t>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2"/>
              <w:left w:val="single" w:color="0D47A1" w:sz="1"/>
              <w:bottom w:val="single" w:color="E65100" w:sz="6"/>
              <w:right w:val="single" w:color="0D47A1" w:sz="1"/>
            </w:tcBorders>
            <w:shd w:fill="0A3880" w:val="clear"/>
            <w:tcMar>
              <w:top w:type="dxa" w:w="160"/>
              <w:left w:type="dxa" w:w="280"/>
              <w:bottom w:type="dxa" w:w="160"/>
              <w:right w:type="dxa" w:w="200"/>
            </w:tcMar>
          </w:tcPr>
          <w:p>
            <w:pPr>
              <w:spacing w:before="0" w:after="40"/>
              <w:jc w:val="center"/>
            </w:pPr>
            <w:r>
              <w:rPr>
                <w:rFonts w:ascii="Calibri" w:cs="Calibri" w:eastAsia="Calibri" w:hAnsi="Calibri"/>
                <w:b/>
                <w:bCs/>
                <w:color w:val="FFFFFF"/>
                <w:sz w:val="40"/>
                <w:szCs w:val="40"/>
              </w:rPr>
              <w:t xml:space="preserve">REGULATORISCHE &amp; STEUERRECHTLICHE ANALYSE</w:t>
            </w:r>
          </w:p>
          <w:p>
            <w:pPr>
              <w:spacing w:before="0" w:after="0"/>
              <w:jc w:val="center"/>
            </w:pPr>
            <w:r>
              <w:rPr>
                <w:rFonts w:ascii="Calibri" w:cs="Calibri" w:eastAsia="Calibri" w:hAnsi="Calibri"/>
                <w:color w:val="B0C4DE"/>
                <w:sz w:val="22"/>
                <w:szCs w:val="22"/>
              </w:rPr>
              <w:t xml:space="preserve">Deutschland-Fokus · DeFi Investment Tracker SaaS · Stand: März 2026</w:t>
            </w:r>
          </w:p>
        </w:tc>
      </w:tr>
    </w:tbl>
    <w:p>
      <w:pPr>
        <w:spacing w:before="200" w:after="0"/>
      </w:pPr>
      <w:r>
        <w:t xml:space="preserve"/>
      </w:r>
    </w:p>
    <w:p>
      <w:pPr>
        <w:pStyle w:val="Heading1"/>
        <w:pBdr>
          <w:bottom w:val="single" w:color="0D47A1" w:sz="4" w:space="6"/>
        </w:pBdr>
        <w:spacing w:before="360" w:after="160"/>
      </w:pPr>
      <w:r>
        <w:rPr>
          <w:rFonts w:ascii="Calibri" w:cs="Calibri" w:eastAsia="Calibri" w:hAnsi="Calibri"/>
          <w:b/>
          <w:bCs/>
          <w:color w:val="0D47A1"/>
          <w:sz w:val="36"/>
          <w:szCs w:val="36"/>
        </w:rPr>
        <w:t xml:space="preserve">R1. Rechtsgrundlagen – Vollständige Normenhierarchie</w:t>
      </w:r>
    </w:p>
    <w:p>
      <w:pPr>
        <w:spacing w:before="60" w:after="90"/>
      </w:pPr>
      <w:r>
        <w:rPr>
          <w:rFonts w:ascii="Calibri" w:cs="Calibri" w:eastAsia="Calibri" w:hAnsi="Calibri"/>
          <w:color w:val="212121"/>
          <w:sz w:val="21"/>
          <w:szCs w:val="21"/>
        </w:rPr>
        <w:t xml:space="preserve">Die steuerliche Behandlung von DeFi-Transaktionen in Deutschland basiert auf einem mehrstufigen Normengefüge. Die nachfolgende Tabelle ordnet alle relevanten Rechtsquellen nach Hierarchie und Verbindlichkeit ein. Das SaaS-Tool muss sämtliche Normen kennen und in seinem Regelwerk abbilden.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700"/>
        <w:gridCol w:w="1826"/>
      </w:tblGrid>
      <w:tr>
        <w:trPr>
          <w:tblHeader/>
        </w:trPr>
        <w:tc>
          <w:tcPr>
            <w:tcW w:type="dxa" w:w="1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Ebene</w:t>
            </w:r>
          </w:p>
        </w:tc>
        <w:tc>
          <w:tcPr>
            <w:tcW w:type="dxa" w:w="3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Rechtsgrundlage</w:t>
            </w:r>
          </w:p>
        </w:tc>
        <w:tc>
          <w:tcPr>
            <w:tcW w:type="dxa" w:w="2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Inhalt / Relevanz für DeFi</w:t>
            </w:r>
          </w:p>
        </w:tc>
        <w:tc>
          <w:tcPr>
            <w:tcW w:type="dxa" w:w="1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Verbindlichkeit</w:t>
            </w:r>
          </w:p>
        </w:tc>
      </w:tr>
      <w:tr>
        <w:tc>
          <w:tcPr>
            <w:tcW w:type="dxa" w:w="15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r>
              <w:rPr>
                <w:rFonts w:ascii="Calibri" w:cs="Calibri" w:eastAsia="Calibri" w:hAnsi="Calibri"/>
                <w:b/>
                <w:bCs/>
                <w:color w:val="4A148C"/>
                <w:sz w:val="20"/>
                <w:szCs w:val="20"/>
              </w:rPr>
              <w:t xml:space="preserve">EU-Recht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MiCA-VO 2023/1114 (ab Dez. 2024)</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Regulierung von Krypto-Assets, CASPs, Stablecoins</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Unmittelbar geltendes EU-Recht</w:t>
            </w:r>
          </w:p>
        </w:tc>
      </w:tr>
      <w:tr>
        <w:tc>
          <w:tcPr>
            <w:tcW w:type="dxa" w:w="15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r>
              <w:rPr>
                <w:rFonts w:ascii="Calibri" w:cs="Calibri" w:eastAsia="Calibri" w:hAnsi="Calibri"/>
                <w:b/>
                <w:bCs/>
                <w:color w:val="4A148C"/>
                <w:sz w:val="20"/>
                <w:szCs w:val="20"/>
              </w:rPr>
              <w:t xml:space="preserve">EU-Recht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DAC8-Richtlinie 2023/2226</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Automatischer Steuerinformationsaustausch für CASPs ab 2026</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EU-Richtlinie, DE-Umsetzung 2026</w:t>
            </w:r>
          </w:p>
        </w:tc>
      </w:tr>
      <w:tr>
        <w:tc>
          <w:tcPr>
            <w:tcW w:type="dxa" w:w="15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r>
              <w:rPr>
                <w:rFonts w:ascii="Calibri" w:cs="Calibri" w:eastAsia="Calibri" w:hAnsi="Calibri"/>
                <w:b/>
                <w:bCs/>
                <w:color w:val="4A148C"/>
                <w:sz w:val="20"/>
                <w:szCs w:val="20"/>
              </w:rPr>
              <w:t xml:space="preserve">EU-Recht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AMLD6 (Anti-Geldwäsche)</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AML-Pflichten für VASPs/CASPs</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Richtlinie, DE: GwG</w:t>
            </w:r>
          </w:p>
        </w:tc>
      </w:tr>
      <w:tr>
        <w:tc>
          <w:tcPr>
            <w:tcW w:type="dxa" w:w="15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Bundesrecht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23 Abs. 1 Nr. 2 EStG</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Private Veräußerungsgeschäfte – Kerntatbestand Krypto</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Gesetz</w:t>
            </w:r>
          </w:p>
        </w:tc>
      </w:tr>
      <w:tr>
        <w:tc>
          <w:tcPr>
            <w:tcW w:type="dxa" w:w="15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Bundesrecht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22 Nr. 3 EStG</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Sonstige Einkünfte – Staking, Lending, Mining, Rewards</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Gesetz</w:t>
            </w:r>
          </w:p>
        </w:tc>
      </w:tr>
      <w:tr>
        <w:tc>
          <w:tcPr>
            <w:tcW w:type="dxa" w:w="15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Bundesrecht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15 EStG</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Gewerbliche Einkünfte – bei gewerblicher DeFi-Tätigkeit</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Gesetz</w:t>
            </w:r>
          </w:p>
        </w:tc>
      </w:tr>
      <w:tr>
        <w:tc>
          <w:tcPr>
            <w:tcW w:type="dxa" w:w="15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Bundesrecht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6 Abs. 6 EStG</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Bewertung zum gemeinen Wert (Marktkurs) in EUR</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Gesetz</w:t>
            </w:r>
          </w:p>
        </w:tc>
      </w:tr>
      <w:tr>
        <w:tc>
          <w:tcPr>
            <w:tcW w:type="dxa" w:w="15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Bundesrecht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20 EStG + AbgSt</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Abgeltungsteuer – potenziell bei Derivaten &amp; Futures</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Gesetz – noch str. ob anwendbar</w:t>
            </w:r>
          </w:p>
        </w:tc>
      </w:tr>
      <w:tr>
        <w:tc>
          <w:tcPr>
            <w:tcW w:type="dxa" w:w="15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r>
              <w:rPr>
                <w:rFonts w:ascii="Calibri" w:cs="Calibri" w:eastAsia="Calibri" w:hAnsi="Calibri"/>
                <w:b/>
                <w:bCs/>
                <w:color w:val="E65100"/>
                <w:sz w:val="20"/>
                <w:szCs w:val="20"/>
              </w:rPr>
              <w:t xml:space="preserve">Verwaltung</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BMF-Schreiben 06.03.2025 (BStBl I S. 658)</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Umfassende Verwaltungsanweisung zu Kryptowerten, DeFi, Staking</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Bindend für Finanzämter</w:t>
            </w:r>
          </w:p>
        </w:tc>
      </w:tr>
      <w:tr>
        <w:tc>
          <w:tcPr>
            <w:tcW w:type="dxa" w:w="15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r>
              <w:rPr>
                <w:rFonts w:ascii="Calibri" w:cs="Calibri" w:eastAsia="Calibri" w:hAnsi="Calibri"/>
                <w:b/>
                <w:bCs/>
                <w:color w:val="E65100"/>
                <w:sz w:val="20"/>
                <w:szCs w:val="20"/>
              </w:rPr>
              <w:t xml:space="preserve">Verwaltung</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BFH-Urteil IX R 3/22 (14.02.2023)</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Krypto = andere Wirtschaftsgüter i.S.d. § 23 EStG</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Bindende Rechtsprechung</w:t>
            </w:r>
          </w:p>
        </w:tc>
      </w:tr>
      <w:tr>
        <w:tc>
          <w:tcPr>
            <w:tcW w:type="dxa" w:w="15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r>
              <w:rPr>
                <w:rFonts w:ascii="Calibri" w:cs="Calibri" w:eastAsia="Calibri" w:hAnsi="Calibri"/>
                <w:b/>
                <w:bCs/>
                <w:color w:val="1B5E20"/>
                <w:sz w:val="20"/>
                <w:szCs w:val="20"/>
              </w:rPr>
              <w:t xml:space="preserve">Buchführung</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GoBD (BMF 28.11.2019)</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Ordnungsmäßige Buchführung &amp; Archivierung digitaler Belege</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Verwaltungsvorschrift</w:t>
            </w:r>
          </w:p>
        </w:tc>
      </w:tr>
      <w:tr>
        <w:tc>
          <w:tcPr>
            <w:tcW w:type="dxa" w:w="15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r>
              <w:rPr>
                <w:rFonts w:ascii="Calibri" w:cs="Calibri" w:eastAsia="Calibri" w:hAnsi="Calibri"/>
                <w:b/>
                <w:bCs/>
                <w:color w:val="B71C1C"/>
                <w:sz w:val="20"/>
                <w:szCs w:val="20"/>
              </w:rPr>
              <w:t xml:space="preserve">Datenschutz</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DSGVO (EU 2016/679)</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Datenschutz, Verarbeitung personenbezogener Daten</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EU-Recht, unmittelbar</w:t>
            </w:r>
          </w:p>
        </w:tc>
      </w:tr>
      <w:tr>
        <w:tc>
          <w:tcPr>
            <w:tcW w:type="dxa" w:w="15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r>
              <w:rPr>
                <w:rFonts w:ascii="Calibri" w:cs="Calibri" w:eastAsia="Calibri" w:hAnsi="Calibri"/>
                <w:b/>
                <w:bCs/>
                <w:color w:val="B71C1C"/>
                <w:sz w:val="20"/>
                <w:szCs w:val="20"/>
              </w:rPr>
              <w:t xml:space="preserve">Datenschutz</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BDSG 2018</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Bundesdatenschutzgesetz – ergänzend zur DSGVO</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Gesetz</w:t>
            </w:r>
          </w:p>
        </w:tc>
      </w:tr>
    </w:tbl>
    <w:p>
      <w:pPr>
        <w:spacing w:before="160" w:after="0"/>
      </w:pPr>
      <w:r>
        <w:t xml:space="preserve"/>
      </w:r>
    </w:p>
    <w:p>
      <w:pPr>
        <w:pStyle w:val="Heading1"/>
        <w:pBdr>
          <w:bottom w:val="single" w:color="0D47A1" w:sz="4" w:space="6"/>
        </w:pBdr>
        <w:spacing w:before="360" w:after="160"/>
      </w:pPr>
      <w:r>
        <w:rPr>
          <w:rFonts w:ascii="Calibri" w:cs="Calibri" w:eastAsia="Calibri" w:hAnsi="Calibri"/>
          <w:b/>
          <w:bCs/>
          <w:color w:val="0D47A1"/>
          <w:sz w:val="36"/>
          <w:szCs w:val="36"/>
        </w:rPr>
        <w:t xml:space="preserve">R2. Steuerliche Behandlung aller DeFi-Transaktionstypen (2026)</w:t>
      </w:r>
    </w:p>
    <w:p>
      <w:pPr>
        <w:spacing w:before="60" w:after="90"/>
      </w:pPr>
      <w:r>
        <w:rPr>
          <w:rFonts w:ascii="Calibri" w:cs="Calibri" w:eastAsia="Calibri" w:hAnsi="Calibri"/>
          <w:color w:val="212121"/>
          <w:sz w:val="21"/>
          <w:szCs w:val="21"/>
        </w:rPr>
        <w:t xml:space="preserve">Das BMF-Schreiben vom 06.03.2025 ist die maßgebliche Verwaltungsanweisung. Die folgende Matrix ordnet alle für das Tool relevanten DeFi-Transaktionstypen den jeweiligen steuerlichen Tatbeständen zu und benennt den Besteuerungszeitpunkt sowie die Freigrenzregelung.</w:t>
      </w:r>
    </w:p>
    <w:p>
      <w:pPr>
        <w:spacing w:before="80" w:after="0"/>
      </w:pPr>
      <w:r>
        <w:t xml:space="preserve"/>
      </w:r>
    </w:p>
    <w:p>
      <w:pPr>
        <w:spacing w:before="200" w:after="80"/>
      </w:pPr>
      <w:r>
        <w:rPr>
          <w:rFonts w:ascii="Calibri" w:cs="Calibri" w:eastAsia="Calibri" w:hAnsi="Calibri"/>
          <w:b/>
          <w:bCs/>
          <w:color w:val="006064"/>
          <w:sz w:val="23"/>
          <w:szCs w:val="23"/>
        </w:rPr>
        <w:t xml:space="preserve">R2.1 Handel &amp; Tausch (§ 23 EStG)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600"/>
        <w:gridCol w:w="1226"/>
        <w:gridCol w:w="1200"/>
      </w:tblGrid>
      <w:tr>
        <w:trPr>
          <w:tblHeader/>
        </w:trPr>
        <w:tc>
          <w:tcPr>
            <w:tcW w:type="dxa" w:w="2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Transaktionstyp</w:t>
            </w:r>
          </w:p>
        </w:tc>
        <w:tc>
          <w:tcPr>
            <w:tcW w:type="dxa" w:w="2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Steuerlicher Tatbestand</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Besteuerungszeitpunkt</w:t>
            </w:r>
          </w:p>
        </w:tc>
        <w:tc>
          <w:tcPr>
            <w:tcW w:type="dxa" w:w="12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Freigrenze</w:t>
            </w:r>
          </w:p>
        </w:tc>
        <w:tc>
          <w:tcPr>
            <w:tcW w:type="dxa" w:w="1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Haltefrist</w:t>
            </w:r>
          </w:p>
        </w:tc>
      </w:tr>
      <w:tr>
        <w:tc>
          <w:tcPr>
            <w:tcW w:type="dxa" w:w="25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Kauf mit EUR</w:t>
            </w:r>
          </w:p>
        </w:tc>
        <w:tc>
          <w:tcPr>
            <w:tcW w:type="dxa" w:w="2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Anschaffung – kein steuerpflichtiger Vorgang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Kein Ereignis</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Beginnt mit Kauf</w:t>
            </w:r>
          </w:p>
        </w:tc>
      </w:tr>
      <w:tr>
        <w:tc>
          <w:tcPr>
            <w:tcW w:type="dxa" w:w="25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Verkauf gegen EUR</w:t>
            </w:r>
          </w:p>
        </w:tc>
        <w:tc>
          <w:tcPr>
            <w:tcW w:type="dxa" w:w="2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23 Abs. 1 Nr. 2 EStG – Veräußerung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Verkaufszeitpunkt</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1.000 €/Jahr Gesamtgewinn</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&lt; 1 Jahr: steuerpfl.</w:t>
            </w:r>
          </w:p>
        </w:tc>
      </w:tr>
      <w:tr>
        <w:tc>
          <w:tcPr>
            <w:tcW w:type="dxa" w:w="25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Krypto-zu-Krypto Swap</w:t>
            </w:r>
          </w:p>
        </w:tc>
        <w:tc>
          <w:tcPr>
            <w:tcW w:type="dxa" w:w="2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23 EStG – Tausch = Veräußerung + Neuanschaffung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Tauschzeitpunkt</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1.000 €/Jahr</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Neue Frist für erhaltenes Asset</w:t>
            </w:r>
          </w:p>
        </w:tc>
      </w:tr>
      <w:tr>
        <w:tc>
          <w:tcPr>
            <w:tcW w:type="dxa" w:w="25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DEX-Swap (SparkDEX/Ēnosys)</w:t>
            </w:r>
          </w:p>
        </w:tc>
        <w:tc>
          <w:tcPr>
            <w:tcW w:type="dxa" w:w="2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23 EStG – jede Swap-TX = Tausch</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Je Transaktion</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1.000 €/Jahr Summe</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&lt; 1 Jahr: steuerpfl.</w:t>
            </w:r>
          </w:p>
        </w:tc>
      </w:tr>
      <w:tr>
        <w:tc>
          <w:tcPr>
            <w:tcW w:type="dxa" w:w="25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Stablecoin-Swap (z.B. USDT↔USDC)</w:t>
            </w:r>
          </w:p>
        </w:tc>
        <w:tc>
          <w:tcPr>
            <w:tcW w:type="dxa" w:w="2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23 EStG – str., da andere Token-Contracts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Je Transaktion</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1.000 €/Jahr</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Neue Frist für Ziel-Asset</w:t>
            </w:r>
          </w:p>
        </w:tc>
      </w:tr>
      <w:tr>
        <w:tc>
          <w:tcPr>
            <w:tcW w:type="dxa" w:w="25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Kauf/Zahlung mit Krypto</w:t>
            </w:r>
          </w:p>
        </w:tc>
        <w:tc>
          <w:tcPr>
            <w:tcW w:type="dxa" w:w="2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23 EStG – Veräußerung des eingesetzten Assets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Zahlungszeitpunkt</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1.000 €/Jahr</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Auf das veräußerte Asset</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R2.2 Staking &amp; Rewards (§ 22 Nr. 3 EStG)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700"/>
        <w:gridCol w:w="1200"/>
        <w:gridCol w:w="1326"/>
      </w:tblGrid>
      <w:tr>
        <w:trPr>
          <w:tblHeader/>
        </w:trPr>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Aktivität</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Steuerlicher Tatbestand</w:t>
            </w:r>
          </w:p>
        </w:tc>
        <w:tc>
          <w:tcPr>
            <w:tcW w:type="dxa" w:w="1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Besteuerungszeitpunkt</w:t>
            </w:r>
          </w:p>
        </w:tc>
        <w:tc>
          <w:tcPr>
            <w:tcW w:type="dxa" w:w="1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Freigrenze</w:t>
            </w:r>
          </w:p>
        </w:tc>
        <w:tc>
          <w:tcPr>
            <w:tcW w:type="dxa" w:w="13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Besonderheit BMF 2025</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Passives Staking (PoS-Delegation)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22 Nr. 3 EStG – sonstige Einkünfte</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Claiming-Zeitpunkt (Vereinfachungsregel)</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256 €/Jahr</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Claiming-Zeitpunkt wählbar – steuergünstig!</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Aktives Staking (Validator/Forging)</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22 Nr. 3 EStG – Mitwirkung Blockerstellung</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Blockerstellungszeitpunkt</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256 €/Jahr</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Strenger Nachweis erforderlich</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Liquidity Mining Rewards (rFLR, SPRK)</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22 Nr. 3 EStG – Leistung für Liquidität</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Zuflusszeitpunkt / Claiming</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256 €/Jahr</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Rewards beginnen neue Haltefrist</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FlareDrops (monatl. Distributionen)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22 Nr. 3 EStG – sonstige Einkünfte</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Zuflussdatum (31.12. spätestens)</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256 €/Jahr</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Als wirtschaftlich verfügbar ab Jahresende</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Governance Rewards (AAVE, SPRK)</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22 Nr. 3 EStG</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Claiming-Zeitpunkt</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256 €/Jahr</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Neue Haltefrist für erhaltene Tokens</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Airdrops (unaufgefordert)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22 Nr. 3 EStG – Marktwert bei Zufluss</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Zeitpunkt Wallet-Eingang</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256 €/Jahr</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Gilt auch bei Wert ~0 EUR zum Zufluss</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R2.3 Lending &amp; Borrowing (§ 22 Nr. 3 EStG / steuerneutral)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1200"/>
        <w:gridCol w:w="14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Aktivität</w:t>
            </w:r>
          </w:p>
        </w:tc>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Steuerlicher Tatbestand</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Besteuerungszeitpunkt</w:t>
            </w:r>
          </w:p>
        </w:tc>
        <w:tc>
          <w:tcPr>
            <w:tcW w:type="dxa" w:w="1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Freigrenze</w:t>
            </w:r>
          </w:p>
        </w:tc>
        <w:tc>
          <w:tcPr>
            <w:tcW w:type="dxa" w:w="14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Hinweis</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Supply auf Kinetic / Aave</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Keine Veräußerung – Nutzungsüberlassung (h.M.)</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Kein sofortiges Ereignis</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Haltefrist des underlying Assets bleibt erhalten!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Lending-Zinserträge (kToken/aToken)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22 Nr. 3 EStG – sonstige Einkünfte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Zufluss / Kumulierung</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256 €/Jahr Gesamtgrenze</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Nicht § 20 EStG (AbgSt gilt nicht)</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Borrow (Aufnahme Darlehen)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Steuerneutral – kein Realisierungstatbestand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Kein Ereignis</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Darlehensbetrag ist keine Einnahme</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Repay (Rückzahlung)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Steuerneutral – Tilgung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Kein Ereignis</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Gezahlte Zinsen = Werbungskosten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Zwangsliquidation (Kinetic/Aave)</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23 EStG – Zwangsveräußerung des Kollaterals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Liquidationszeitpunkt</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1.000 €/Jahr</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Verlust voll abzugsfähig vs. Krypto-Gewinne</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Borrowing-Zinsen (Ausgaben)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Werbungskosten gegen § 22 Nr. 3 Einkünfte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Abflusszeitpunkt</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Nur wenn Zinseinnahmen vorhanden</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R2.4 Liquidity Pools – Steuerliche Graubereich-Analyse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1"/>
              <w:left w:val="thick" w:color="E65100" w:sz="18"/>
              <w:bottom w:val="single" w:color="E65100" w:sz="1"/>
              <w:right w:val="single" w:color="E65100" w:sz="1"/>
            </w:tcBorders>
            <w:shd w:fill="FFF8E1" w:val="clear"/>
            <w:tcMar>
              <w:top w:type="dxa" w:w="110"/>
              <w:left w:type="dxa" w:w="200"/>
              <w:bottom w:type="dxa" w:w="110"/>
              <w:right w:type="dxa" w:w="140"/>
            </w:tcMar>
          </w:tcPr>
          <w:p>
            <w:pPr>
              <w:spacing w:before="0" w:after="40"/>
            </w:pPr>
            <w:r>
              <w:rPr>
                <w:rFonts w:ascii="Calibri" w:cs="Calibri" w:eastAsia="Calibri" w:hAnsi="Calibri"/>
                <w:b/>
                <w:bCs/>
                <w:color w:val="E65100"/>
                <w:sz w:val="21"/>
                <w:szCs w:val="21"/>
              </w:rPr>
              <w:t xml:space="preserve">⚠ RECHTLICH UNGEKLÄRT – BMF 2025 schweigt zu Liquidity Mining</w:t>
            </w:r>
          </w:p>
          <w:p>
            <w:pPr>
              <w:spacing w:before="0" w:after="0"/>
            </w:pPr>
            <w:r>
              <w:rPr>
                <w:rFonts w:ascii="Calibri" w:cs="Calibri" w:eastAsia="Calibri" w:hAnsi="Calibri"/>
                <w:color w:val="212121"/>
                <w:sz w:val="20"/>
                <w:szCs w:val="20"/>
              </w:rPr>
              <w:t xml:space="preserve">Das BMF-Schreiben vom 06.03.2025 enthält keine expliziten Aussagen zur steuerlichen Behandlung von Liquidity-Pool-Einzahlungen und LP-Tokenausgaben. In der steuerlichen Fachliteratur werden zwei Modelle diskutiert, die zu erheblich unterschiedlichen Steuerbelastungen führen. Das SaaS-Tool MUSS beide Szenarien kalkulieren und den Nutzer auf die Unklarheit hinweisen.</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700"/>
        <w:gridCol w:w="1526"/>
      </w:tblGrid>
      <w:tr>
        <w:trPr>
          <w:tblHeader/>
        </w:trPr>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Szenario</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LP Einzahlung</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LP Rewards</w:t>
            </w:r>
          </w:p>
        </w:tc>
        <w:tc>
          <w:tcPr>
            <w:tcW w:type="dxa" w:w="1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LP Entnahme</w:t>
            </w:r>
          </w:p>
        </w:tc>
        <w:tc>
          <w:tcPr>
            <w:tcW w:type="dxa" w:w="15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Steuerliche Wirkung</w:t>
            </w:r>
          </w:p>
        </w:tc>
      </w:tr>
      <w:tr>
        <w:tc>
          <w:tcPr>
            <w:tcW w:type="dxa" w:w="20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r>
              <w:rPr>
                <w:rFonts w:ascii="Calibri" w:cs="Calibri" w:eastAsia="Calibri" w:hAnsi="Calibri"/>
                <w:b/>
                <w:bCs/>
                <w:color w:val="B71C1C"/>
                <w:sz w:val="20"/>
                <w:szCs w:val="20"/>
              </w:rPr>
              <w:t xml:space="preserve">Modell A (Konservativ)</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Tausch → § 23 EStG, neue Haltefrist LP-Token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22 Nr. 3 EStG bei Zufluss</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Tausch LP-Token → Assets: § 23 EStG</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B71C1C"/>
                <w:sz w:val="20"/>
                <w:szCs w:val="20"/>
              </w:rPr>
              <w:t xml:space="preserve">Höchste Steuerlast – maximale Absicherung</w:t>
            </w:r>
          </w:p>
        </w:tc>
      </w:tr>
      <w:tr>
        <w:tc>
          <w:tcPr>
            <w:tcW w:type="dxa" w:w="20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r>
              <w:rPr>
                <w:rFonts w:ascii="Calibri" w:cs="Calibri" w:eastAsia="Calibri" w:hAnsi="Calibri"/>
                <w:b/>
                <w:bCs/>
                <w:color w:val="1B5E20"/>
                <w:sz w:val="20"/>
                <w:szCs w:val="20"/>
              </w:rPr>
              <w:t xml:space="preserve">Modell B (Liberal)</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Nutzungsüberlassung – kein Tausch</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22 Nr. 3 EStG bei Claiming</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Rückgabe ohne § 23-Tatbestand</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1B5E20"/>
                <w:sz w:val="20"/>
                <w:szCs w:val="20"/>
              </w:rPr>
              <w:t xml:space="preserve">Niedrigere Last – FG-Rechtsprechung ausstehend</w:t>
            </w:r>
          </w:p>
        </w:tc>
      </w:tr>
      <w:tr>
        <w:tc>
          <w:tcPr>
            <w:tcW w:type="dxa" w:w="20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Modell C (Hybrid)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23 EStG für Wertsteigerung des eingebrachten Assets bis Einzahlung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22 Nr. 3 EStG</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23 EStG auf Wertsteigerung LP-Token</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0D47A1"/>
                <w:sz w:val="20"/>
                <w:szCs w:val="20"/>
              </w:rPr>
              <w:t xml:space="preserve">Kompromissmodell – steuerberaterlich empfohlen</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
              <w:left w:val="thick" w:color="0D47A1" w:sz="18"/>
              <w:bottom w:val="single" w:color="0D47A1" w:sz="1"/>
              <w:right w:val="single" w:color="0D47A1" w:sz="1"/>
            </w:tcBorders>
            <w:shd w:fill="E3F2FD" w:val="clear"/>
            <w:tcMar>
              <w:top w:type="dxa" w:w="110"/>
              <w:left w:type="dxa" w:w="200"/>
              <w:bottom w:type="dxa" w:w="110"/>
              <w:right w:type="dxa" w:w="140"/>
            </w:tcMar>
          </w:tcPr>
          <w:p>
            <w:pPr>
              <w:spacing w:before="0" w:after="40"/>
            </w:pPr>
            <w:r>
              <w:rPr>
                <w:rFonts w:ascii="Calibri" w:cs="Calibri" w:eastAsia="Calibri" w:hAnsi="Calibri"/>
                <w:b/>
                <w:bCs/>
                <w:color w:val="0D47A1"/>
                <w:sz w:val="21"/>
                <w:szCs w:val="21"/>
              </w:rPr>
              <w:t xml:space="preserve">Tool-Empfehlung: Dual-Szenario-Rechner</w:t>
            </w:r>
          </w:p>
          <w:p>
            <w:pPr>
              <w:spacing w:before="0" w:after="0"/>
            </w:pPr>
            <w:r>
              <w:rPr>
                <w:rFonts w:ascii="Calibri" w:cs="Calibri" w:eastAsia="Calibri" w:hAnsi="Calibri"/>
                <w:color w:val="212121"/>
                <w:sz w:val="20"/>
                <w:szCs w:val="20"/>
              </w:rPr>
              <w:t xml:space="preserve">Phase 1 MVP: Modell A als Pflicht-Default (conservative compliance). Phase 4 Skalierung: Alle drei Modelle berechnen und als Szenario-Vergleich darstellen. Hinweispflicht: Jede LP-Steuerberechnung erhält einen Disclaimer zur Graubereichsnatur mit Empfehlung zur steuerlichen Beratung.</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R2.5 Cross-Chain Bridges (Stargate / Ēnosys Bridge)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1800"/>
        <w:gridCol w:w="25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Bridge-Szenario</w:t>
            </w:r>
          </w:p>
        </w:tc>
        <w:tc>
          <w:tcPr>
            <w:tcW w:type="dxa" w:w="2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Steuerlicher Tatbestand</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Behandlung</w:t>
            </w:r>
          </w:p>
        </w:tc>
        <w:tc>
          <w:tcPr>
            <w:tcW w:type="dxa" w:w="25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Tracking-Anforderung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Transfer: gleicher Token-Typ (z.B. USDC ETH → USDC Flare)</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Kein Veräußerungsvorgang (h.M.)</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Interner Transfer, steuerneutral</w:t>
            </w:r>
          </w:p>
        </w:tc>
        <w:tc>
          <w:tcPr>
            <w:tcW w:type="dxa" w:w="2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Chain-übergreifende TX-ID-Verknüpfung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Transfer: wrapped vs. native (z.B. USDC → USDC.e)</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Str.: Tausch verschiedener Token-Contracts = § 23 EStG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Konservativ: Tauschvorgang</w:t>
            </w:r>
          </w:p>
        </w:tc>
        <w:tc>
          <w:tcPr>
            <w:tcW w:type="dxa" w:w="2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Token-Contract-Whitelist pflegen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LP auf Bridge (Stargate Liquidity)</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Wie LP-Modell A/B/C → Graubereich</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Dual-Szenario-Rechner</w:t>
            </w:r>
          </w:p>
        </w:tc>
        <w:tc>
          <w:tcPr>
            <w:tcW w:type="dxa" w:w="2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LP-Token vs. STG-Token trennen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Bridge-Fee in nativer Chain-Currency</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Werbungskosten – deduktibel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Sonstige Gebühr (CoinTracking)</w:t>
            </w:r>
          </w:p>
        </w:tc>
        <w:tc>
          <w:tcPr>
            <w:tcW w:type="dxa" w:w="2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Gas-Fee in EUR dokumentieren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STG Rewards (Staking/Farming)</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22 Nr. 3 EStG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Sonstige Einkünfte beim Claiming</w:t>
            </w:r>
          </w:p>
        </w:tc>
        <w:tc>
          <w:tcPr>
            <w:tcW w:type="dxa" w:w="2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Tageskurs STG/EUR bei Claiming</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R2.6 Derivate &amp; Perpetual Futures (SparkDEX Perps)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thick" w:color="B71C1C" w:sz="18"/>
              <w:bottom w:val="single" w:color="B71C1C" w:sz="1"/>
              <w:right w:val="single" w:color="B71C1C" w:sz="1"/>
            </w:tcBorders>
            <w:shd w:fill="FFEBEE" w:val="clear"/>
            <w:tcMar>
              <w:top w:type="dxa" w:w="110"/>
              <w:left w:type="dxa" w:w="200"/>
              <w:bottom w:type="dxa" w:w="110"/>
              <w:right w:type="dxa" w:w="140"/>
            </w:tcMar>
          </w:tcPr>
          <w:p>
            <w:pPr>
              <w:spacing w:before="0" w:after="40"/>
            </w:pPr>
            <w:r>
              <w:rPr>
                <w:rFonts w:ascii="Calibri" w:cs="Calibri" w:eastAsia="Calibri" w:hAnsi="Calibri"/>
                <w:b/>
                <w:bCs/>
                <w:color w:val="B71C1C"/>
                <w:sz w:val="21"/>
                <w:szCs w:val="21"/>
              </w:rPr>
              <w:t xml:space="preserve">Wichtig: Keine Steuerfreiheit nach § 23 EStG bei Derivaten</w:t>
            </w:r>
          </w:p>
          <w:p>
            <w:pPr>
              <w:spacing w:before="0" w:after="0"/>
            </w:pPr>
            <w:r>
              <w:rPr>
                <w:rFonts w:ascii="Calibri" w:cs="Calibri" w:eastAsia="Calibri" w:hAnsi="Calibri"/>
                <w:color w:val="212121"/>
                <w:sz w:val="20"/>
                <w:szCs w:val="20"/>
              </w:rPr>
              <w:t xml:space="preserve">Termingeschäfte (Futures, Perpetuals) unterliegen NICHT der einjährigen Steuerfreiheitsfrist. Gewinne sind unabhängig von der Haltedauer steuerpflichtig. Streitig ist, ob § 20 Abs. 2 Nr. 3 EStG (Abgeltungsteuer 25%) oder der persönliche Steuersatz gilt. Das BMF 2025 lässt diese Frage für DeFi-Derivate noch offen.</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1800"/>
        <w:gridCol w:w="25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Derivat-Aktion</w:t>
            </w:r>
          </w:p>
        </w:tc>
        <w:tc>
          <w:tcPr>
            <w:tcW w:type="dxa" w:w="2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Steuerliche Einordnung</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Verrechnung</w:t>
            </w:r>
          </w:p>
        </w:tc>
        <w:tc>
          <w:tcPr>
            <w:tcW w:type="dxa" w:w="25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Sonderregel</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Perpetuals Long/Short eröffnen</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Kein sofortiger Steuertatbestand (schwebend)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w:t>
            </w:r>
          </w:p>
        </w:tc>
        <w:tc>
          <w:tcPr>
            <w:tcW w:type="dxa" w:w="2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Position als schwebend kennzeichnen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Perpetuals schließen (Gewinn)</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23 EStG str. / § 20 Abs. 2 Nr. 3 EStG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Mit anderen Krypto-Verlusten verrechenbar</w:t>
            </w:r>
          </w:p>
        </w:tc>
        <w:tc>
          <w:tcPr>
            <w:tcW w:type="dxa" w:w="2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Tool: beide Varianten berechnen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Perpetuals schließen (Verlust)</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23 EStG – Verlust voll absetzbar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Verrechnung mit § 23-Gewinnen</w:t>
            </w:r>
          </w:p>
        </w:tc>
        <w:tc>
          <w:tcPr>
            <w:tcW w:type="dxa" w:w="2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Verlusttopf korrekt führen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Funding Rate (gezahlt)</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Werbungskosten / § 22 Nr. 3 EStG Ausgabe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Gegen § 22 Nr. 3 Einkünfte</w:t>
            </w:r>
          </w:p>
        </w:tc>
        <w:tc>
          <w:tcPr>
            <w:tcW w:type="dxa" w:w="2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Periodengerechte Erfassung nötig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Funding Rate (erhalten)</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22 Nr. 3 EStG – sonstige Einkünfte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Freigrenze 256 €/Jahr</w:t>
            </w:r>
          </w:p>
        </w:tc>
        <w:tc>
          <w:tcPr>
            <w:tcW w:type="dxa" w:w="2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Tägliche Kumulierung dokumentieren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Liquidation Long/Short</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Realisierter Verlust / Gewinn → § 23 EStG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Voll verrechenbar</w:t>
            </w:r>
          </w:p>
        </w:tc>
        <w:tc>
          <w:tcPr>
            <w:tcW w:type="dxa" w:w="2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Zwangsereignis = kein Gestaltungsmissbrauch</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R3. Haltefristen, Freigrenzen &amp; Bewertungsmethoden 2026</w:t>
      </w:r>
    </w:p>
    <w:p>
      <w:pPr>
        <w:spacing w:before="200" w:after="80"/>
      </w:pPr>
      <w:r>
        <w:rPr>
          <w:rFonts w:ascii="Calibri" w:cs="Calibri" w:eastAsia="Calibri" w:hAnsi="Calibri"/>
          <w:b/>
          <w:bCs/>
          <w:color w:val="006064"/>
          <w:sz w:val="23"/>
          <w:szCs w:val="23"/>
        </w:rPr>
        <w:t xml:space="preserve">R3.1 Übersicht Steuerliche Freigrenzen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000"/>
        <w:gridCol w:w="1726"/>
      </w:tblGrid>
      <w:tr>
        <w:trPr>
          <w:tblHeader/>
        </w:trPr>
        <w:tc>
          <w:tcPr>
            <w:tcW w:type="dxa" w:w="2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Freigrenze</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Betrag 2026</w:t>
            </w:r>
          </w:p>
        </w:tc>
        <w:tc>
          <w:tcPr>
            <w:tcW w:type="dxa" w:w="3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Anwendungsbereich</w:t>
            </w:r>
          </w:p>
        </w:tc>
        <w:tc>
          <w:tcPr>
            <w:tcW w:type="dxa" w:w="17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Besonderheit</w:t>
            </w:r>
          </w:p>
        </w:tc>
      </w:tr>
      <w:tr>
        <w:tc>
          <w:tcPr>
            <w:tcW w:type="dxa" w:w="25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 23 EStG Freigrenze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1.000 € / Jahr</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Alle privaten Veräußerungsgewinne (Krypto + Gold + Sonstiges)</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Freigrenze, NICHT Freibetrag – überschreiten = volle Steuerpflicht</w:t>
            </w:r>
          </w:p>
        </w:tc>
      </w:tr>
      <w:tr>
        <w:tc>
          <w:tcPr>
            <w:tcW w:type="dxa" w:w="25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r>
              <w:rPr>
                <w:rFonts w:ascii="Calibri" w:cs="Calibri" w:eastAsia="Calibri" w:hAnsi="Calibri"/>
                <w:b/>
                <w:bCs/>
                <w:color w:val="1B5E20"/>
                <w:sz w:val="20"/>
                <w:szCs w:val="20"/>
              </w:rPr>
              <w:t xml:space="preserve">§ 22 Nr. 3 EStG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256 € / Jahr</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Staking, Lending, Mining, Airdrops, Rewards gesamt</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Freigrenze – gilt für alle sonstigen Einkünfte zusammen</w:t>
            </w:r>
          </w:p>
        </w:tc>
      </w:tr>
      <w:tr>
        <w:tc>
          <w:tcPr>
            <w:tcW w:type="dxa" w:w="25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bCs/>
                <w:color w:val="212121"/>
                <w:sz w:val="20"/>
                <w:szCs w:val="20"/>
              </w:rPr>
              <w:t xml:space="preserve">Grundfreibetrag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12.096 € / Jahr (2026)</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Allgemeiner Einkommensteuerfreibetrag</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Gilt auch für Krypto-Gewinne als Teil des Gesamteinkommens</w:t>
            </w:r>
          </w:p>
        </w:tc>
      </w:tr>
      <w:tr>
        <w:tc>
          <w:tcPr>
            <w:tcW w:type="dxa" w:w="25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r>
              <w:rPr>
                <w:rFonts w:ascii="Calibri" w:cs="Calibri" w:eastAsia="Calibri" w:hAnsi="Calibri"/>
                <w:b/>
                <w:bCs/>
                <w:color w:val="E65100"/>
                <w:sz w:val="20"/>
                <w:szCs w:val="20"/>
              </w:rPr>
              <w:t xml:space="preserve">Haltefrist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&gt; 12 Monate</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Veräußerungsgewinne vollständig steuerfrei</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Staking/Lending verlängert Frist NICHT (BMF 2025 bestätigt)</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R3.2 Bewertungsmethoden im Vergleich</w:t>
      </w:r>
    </w:p>
    <w:p>
      <w:pPr>
        <w:spacing w:before="60" w:after="90"/>
      </w:pPr>
      <w:r>
        <w:rPr>
          <w:rFonts w:ascii="Calibri" w:cs="Calibri" w:eastAsia="Calibri" w:hAnsi="Calibri"/>
          <w:color w:val="212121"/>
          <w:sz w:val="21"/>
          <w:szCs w:val="21"/>
        </w:rPr>
        <w:t xml:space="preserve">Das SaaS-Tool muss alle drei Bewertungsmethoden korrekt implementieren und die jeweiligen steuerlichen Konsequenzen transparent darstellen. Die Methode muss pro Steuerjahr konsistent angewendet werden.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2000"/>
        <w:gridCol w:w="1226"/>
      </w:tblGrid>
      <w:tr>
        <w:trPr>
          <w:tblHeader/>
        </w:trPr>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Methode</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Prinzip</w:t>
            </w:r>
          </w:p>
        </w:tc>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Steuerliche Akzeptanz DE</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Wann sinnvoll</w:t>
            </w:r>
          </w:p>
        </w:tc>
        <w:tc>
          <w:tcPr>
            <w:tcW w:type="dxa" w:w="12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Tool-Umsetzung</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r>
              <w:rPr>
                <w:rFonts w:ascii="Calibri" w:cs="Calibri" w:eastAsia="Calibri" w:hAnsi="Calibri"/>
                <w:b/>
                <w:bCs/>
                <w:color w:val="1B5E20"/>
                <w:sz w:val="20"/>
                <w:szCs w:val="20"/>
              </w:rPr>
              <w:t xml:space="preserve">FIFO</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Älteste Assets werden zuerst verkauft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Von FA anerkannt – empfohlen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Langfristige Anleger mit älteren steuerfreien Beständen</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Default-Methode – kein Hinweis nötig</w:t>
            </w:r>
          </w:p>
        </w:tc>
      </w:tr>
      <w:tr>
        <w:tc>
          <w:tcPr>
            <w:tcW w:type="dxa" w:w="14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LIFO</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Neueste Assets werden zuerst verkauft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FA-Akzeptanz umstritten (BMF schweigt)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Neuere Käufe zu höherem Preis – steueroptimiert</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Opt-in mit Hinweis auf FA-Risiko</w:t>
            </w:r>
          </w:p>
        </w:tc>
      </w:tr>
      <w:tr>
        <w:tc>
          <w:tcPr>
            <w:tcW w:type="dxa" w:w="14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r>
              <w:rPr>
                <w:rFonts w:ascii="Calibri" w:cs="Calibri" w:eastAsia="Calibri" w:hAnsi="Calibri"/>
                <w:b/>
                <w:bCs/>
                <w:color w:val="E65100"/>
                <w:sz w:val="20"/>
                <w:szCs w:val="20"/>
              </w:rPr>
              <w:t xml:space="preserve">HIFO</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Teuerste Assets zuerst verkauft (max. Verlustnutzung)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Nicht gesetzlich geregelt – hohes FA-Risiko</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Maximale Steuerminimierung (Steuerberatung erforderlich)</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Opt-in mit explizitem Disclaimer</w:t>
            </w:r>
          </w:p>
        </w:tc>
      </w:tr>
      <w:tr>
        <w:tc>
          <w:tcPr>
            <w:tcW w:type="dxa" w:w="1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bCs/>
                <w:color w:val="212121"/>
                <w:sz w:val="20"/>
                <w:szCs w:val="20"/>
              </w:rPr>
              <w:t xml:space="preserve">Durchschnitt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Durchschnittliche Anschaffungskosten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Zulässig wenn indiv. Zuordnung unmöglich (BMF 2025 Rz. 43)</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Große Mengen gleichartiger Token ohne Preistracking</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Automatisch bei fehlenden Preisnachweisen</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
              <w:left w:val="thick" w:color="0D47A1" w:sz="18"/>
              <w:bottom w:val="single" w:color="0D47A1" w:sz="1"/>
              <w:right w:val="single" w:color="0D47A1" w:sz="1"/>
            </w:tcBorders>
            <w:shd w:fill="E3F2FD" w:val="clear"/>
            <w:tcMar>
              <w:top w:type="dxa" w:w="110"/>
              <w:left w:type="dxa" w:w="200"/>
              <w:bottom w:type="dxa" w:w="110"/>
              <w:right w:type="dxa" w:w="140"/>
            </w:tcMar>
          </w:tcPr>
          <w:p>
            <w:pPr>
              <w:spacing w:before="0" w:after="40"/>
            </w:pPr>
            <w:r>
              <w:rPr>
                <w:rFonts w:ascii="Calibri" w:cs="Calibri" w:eastAsia="Calibri" w:hAnsi="Calibri"/>
                <w:b/>
                <w:bCs/>
                <w:color w:val="0D47A1"/>
                <w:sz w:val="21"/>
                <w:szCs w:val="21"/>
              </w:rPr>
              <w:t xml:space="preserve">GoBD-Pflicht: Methoden-Konsistenz</w:t>
            </w:r>
          </w:p>
          <w:p>
            <w:pPr>
              <w:spacing w:before="0" w:after="0"/>
            </w:pPr>
            <w:r>
              <w:rPr>
                <w:rFonts w:ascii="Calibri" w:cs="Calibri" w:eastAsia="Calibri" w:hAnsi="Calibri"/>
                <w:color w:val="212121"/>
                <w:sz w:val="20"/>
                <w:szCs w:val="20"/>
              </w:rPr>
              <w:t xml:space="preserve">Einmal gewählte Bewertungsmethode muss innerhalb eines Veranlagungszeitraums konsistent angewendet werden. Das Tool muss vor einem Methodenwechsel im laufenden Steuerjahr warnen und den Wechsel erst zum 1. Januar des Folgejahres erlauben. Jede angewendete Methode wird im unveränderlichen Audit-Log protokolliert (GoBD Grundsatz der Unveränderlichkeit).</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R4. DAC8-Analyse – Automatischer Steuermelderahmen ab 2026</w:t>
      </w:r>
    </w:p>
    <w:p>
      <w:pPr>
        <w:spacing w:before="60" w:after="90"/>
      </w:pPr>
      <w:r>
        <w:rPr>
          <w:rFonts w:ascii="Calibri" w:cs="Calibri" w:eastAsia="Calibri" w:hAnsi="Calibri"/>
          <w:color w:val="212121"/>
          <w:sz w:val="21"/>
          <w:szCs w:val="21"/>
        </w:rPr>
        <w:t xml:space="preserve">Die EU-Richtlinie DAC8 (2023/2226/EU) ist der stärkste regulatorische Treiber für das SaaS-Tool. Sie verpflichtet Krypto-Dienstleister (Crypto-Asset Service Providers, CASPs) ab 1. Januar 2026 zur automatischen Übermittlung von Nutzertransaktionsdaten an nationale Steuerbehörden.</w:t>
      </w:r>
    </w:p>
    <w:p>
      <w:pPr>
        <w:spacing w:before="80" w:after="0"/>
      </w:pPr>
      <w:r>
        <w:t xml:space="preserve"/>
      </w:r>
    </w:p>
    <w:p>
      <w:pPr>
        <w:spacing w:before="200" w:after="80"/>
      </w:pPr>
      <w:r>
        <w:rPr>
          <w:rFonts w:ascii="Calibri" w:cs="Calibri" w:eastAsia="Calibri" w:hAnsi="Calibri"/>
          <w:b/>
          <w:bCs/>
          <w:color w:val="006064"/>
          <w:sz w:val="23"/>
          <w:szCs w:val="23"/>
        </w:rPr>
        <w:t xml:space="preserve">R4.1 DAC8 – Wer ist betroffen?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Entität</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DAC8-Meldepflicht</w:t>
            </w:r>
          </w:p>
        </w:tc>
        <w:tc>
          <w:tcPr>
            <w:tcW w:type="dxa" w:w="40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Konsequenz für DeFi-Nutzer</w:t>
            </w:r>
          </w:p>
        </w:tc>
      </w:tr>
      <w:tr>
        <w:tc>
          <w:tcPr>
            <w:tcW w:type="dxa" w:w="28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r>
              <w:rPr>
                <w:rFonts w:ascii="Calibri" w:cs="Calibri" w:eastAsia="Calibri" w:hAnsi="Calibri"/>
                <w:b/>
                <w:bCs/>
                <w:color w:val="B71C1C"/>
                <w:sz w:val="20"/>
                <w:szCs w:val="20"/>
              </w:rPr>
              <w:t xml:space="preserve">Zentralisierte Exchanges (CEX)</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JA – volle Meldepflicht</w:t>
            </w:r>
          </w:p>
        </w:tc>
        <w:tc>
          <w:tcPr>
            <w:tcW w:type="dxa" w:w="4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Finanzamt erhält Transaktionsdaten automatisch</w:t>
            </w:r>
          </w:p>
        </w:tc>
      </w:tr>
      <w:tr>
        <w:tc>
          <w:tcPr>
            <w:tcW w:type="dxa" w:w="28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r>
              <w:rPr>
                <w:rFonts w:ascii="Calibri" w:cs="Calibri" w:eastAsia="Calibri" w:hAnsi="Calibri"/>
                <w:b/>
                <w:bCs/>
                <w:color w:val="B71C1C"/>
                <w:sz w:val="20"/>
                <w:szCs w:val="20"/>
              </w:rPr>
              <w:t xml:space="preserve">Krypto-Depotbanken / Broker</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JA – volle Meldepflicht</w:t>
            </w:r>
          </w:p>
        </w:tc>
        <w:tc>
          <w:tcPr>
            <w:tcW w:type="dxa" w:w="4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Alle Käufe/Verkäufe direkt beim BZSt bekannt</w:t>
            </w:r>
          </w:p>
        </w:tc>
      </w:tr>
      <w:tr>
        <w:tc>
          <w:tcPr>
            <w:tcW w:type="dxa" w:w="28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r>
              <w:rPr>
                <w:rFonts w:ascii="Calibri" w:cs="Calibri" w:eastAsia="Calibri" w:hAnsi="Calibri"/>
                <w:b/>
                <w:bCs/>
                <w:color w:val="1B5E20"/>
                <w:sz w:val="20"/>
                <w:szCs w:val="20"/>
              </w:rPr>
              <w:t xml:space="preserve">Dezentrale Protokolle (DEX, DeFi)</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NEIN – aktuell ausgenommen</w:t>
            </w:r>
          </w:p>
        </w:tc>
        <w:tc>
          <w:tcPr>
            <w:tcW w:type="dxa" w:w="4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DeFi-Transaktionen werden NICHT automatisch gemeldet</w:t>
            </w:r>
          </w:p>
        </w:tc>
      </w:tr>
      <w:tr>
        <w:tc>
          <w:tcPr>
            <w:tcW w:type="dxa" w:w="2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Unser SaaS-Tool</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NEIN – kein CASP</w:t>
            </w:r>
          </w:p>
        </w:tc>
        <w:tc>
          <w:tcPr>
            <w:tcW w:type="dxa" w:w="4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Kein Meldepflichtiger – Tool ist reine Software</w:t>
            </w:r>
          </w:p>
        </w:tc>
      </w:tr>
      <w:tr>
        <w:tc>
          <w:tcPr>
            <w:tcW w:type="dxa" w:w="28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r>
              <w:rPr>
                <w:rFonts w:ascii="Calibri" w:cs="Calibri" w:eastAsia="Calibri" w:hAnsi="Calibri"/>
                <w:b/>
                <w:bCs/>
                <w:color w:val="E65100"/>
                <w:sz w:val="20"/>
                <w:szCs w:val="20"/>
              </w:rPr>
              <w:t xml:space="preserve">Nutzer (Privatanleger)</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Mitwirkungspflicht</w:t>
            </w:r>
          </w:p>
        </w:tc>
        <w:tc>
          <w:tcPr>
            <w:tcW w:type="dxa" w:w="4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Pflicht zur vollständigen Eigendeklaration (§ 90 AO)</w:t>
            </w:r>
          </w:p>
        </w:tc>
      </w:tr>
    </w:tbl>
    <w:p>
      <w:pPr>
        <w:spacing w:before="80" w:after="0"/>
      </w:pPr>
      <w:r>
        <w:t xml:space="preserve"/>
      </w:r>
    </w:p>
    <w:p>
      <w:pPr>
        <w:spacing w:before="200" w:after="80"/>
      </w:pPr>
      <w:r>
        <w:rPr>
          <w:rFonts w:ascii="Calibri" w:cs="Calibri" w:eastAsia="Calibri" w:hAnsi="Calibri"/>
          <w:b/>
          <w:bCs/>
          <w:color w:val="006064"/>
          <w:sz w:val="23"/>
          <w:szCs w:val="23"/>
        </w:rPr>
        <w:t xml:space="preserve">R4.2 DAC8 Compliance-Timeline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Zeitpunkt</w:t>
            </w:r>
          </w:p>
        </w:tc>
        <w:tc>
          <w:tcPr>
            <w:tcW w:type="dxa" w:w="3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Ereignis</w:t>
            </w:r>
          </w:p>
        </w:tc>
        <w:tc>
          <w:tcPr>
            <w:tcW w:type="dxa" w:w="3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Bedeutung für das Tool</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1. Jan 2026</w:t>
            </w:r>
          </w:p>
        </w:tc>
        <w:tc>
          <w:tcPr>
            <w:tcW w:type="dxa" w:w="3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DAC8 in Kraft – CEX-Meldungen beginnen</w:t>
            </w:r>
          </w:p>
        </w:tc>
        <w:tc>
          <w:tcPr>
            <w:tcW w:type="dxa" w:w="3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CEX-Daten landen beim BZSt; DeFi-Lücke sichtbar</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Juli 2026</w:t>
            </w:r>
          </w:p>
        </w:tc>
        <w:tc>
          <w:tcPr>
            <w:tcW w:type="dxa" w:w="3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Erste DAC8-Steuermeldungen der Exchanges</w:t>
            </w:r>
          </w:p>
        </w:tc>
        <w:tc>
          <w:tcPr>
            <w:tcW w:type="dxa" w:w="3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BZSt gleicht CEX-Daten mit Steuererklärungen ab</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31. Juli 2027</w:t>
            </w:r>
          </w:p>
        </w:tc>
        <w:tc>
          <w:tcPr>
            <w:tcW w:type="dxa" w:w="3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Steuererklärung VZ 2026 (ohne Steuerberater)</w:t>
            </w:r>
          </w:p>
        </w:tc>
        <w:tc>
          <w:tcPr>
            <w:tcW w:type="dxa" w:w="3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Höchste Nachfragesaison – Tool muss live sein!</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28. Feb 2028</w:t>
            </w:r>
          </w:p>
        </w:tc>
        <w:tc>
          <w:tcPr>
            <w:tcW w:type="dxa" w:w="3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Steuererklärung VZ 2026 mit Steuerberater</w:t>
            </w:r>
          </w:p>
        </w:tc>
        <w:tc>
          <w:tcPr>
            <w:tcW w:type="dxa" w:w="3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B2B-Kanzlei-Segment startet spätestens hier</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2027–2028</w:t>
            </w:r>
          </w:p>
        </w:tc>
        <w:tc>
          <w:tcPr>
            <w:tcW w:type="dxa" w:w="3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Erweiterte DAC8-Ausdehnung auf DeFi diskutiert</w:t>
            </w:r>
          </w:p>
        </w:tc>
        <w:tc>
          <w:tcPr>
            <w:tcW w:type="dxa" w:w="3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Hohe Wahrscheinlichkeit: DEXe werden erfasst – Tool vorbereiten</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2028 (erwartet)</w:t>
            </w:r>
          </w:p>
        </w:tc>
        <w:tc>
          <w:tcPr>
            <w:tcW w:type="dxa" w:w="3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Mögliche DAC8-Erweiterung: DeFi-Protokolle</w:t>
            </w:r>
          </w:p>
        </w:tc>
        <w:tc>
          <w:tcPr>
            <w:tcW w:type="dxa" w:w="3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Tool muss dann On-Chain-Autodekl. unterstützen</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thick" w:color="1B5E20" w:sz="18"/>
              <w:bottom w:val="single" w:color="1B5E20" w:sz="1"/>
              <w:right w:val="single" w:color="1B5E20" w:sz="1"/>
            </w:tcBorders>
            <w:shd w:fill="E8F5E9" w:val="clear"/>
            <w:tcMar>
              <w:top w:type="dxa" w:w="110"/>
              <w:left w:type="dxa" w:w="200"/>
              <w:bottom w:type="dxa" w:w="110"/>
              <w:right w:type="dxa" w:w="140"/>
            </w:tcMar>
          </w:tcPr>
          <w:p>
            <w:pPr>
              <w:spacing w:before="0" w:after="40"/>
            </w:pPr>
            <w:r>
              <w:rPr>
                <w:rFonts w:ascii="Calibri" w:cs="Calibri" w:eastAsia="Calibri" w:hAnsi="Calibri"/>
                <w:b/>
                <w:bCs/>
                <w:color w:val="1B5E20"/>
                <w:sz w:val="21"/>
                <w:szCs w:val="21"/>
              </w:rPr>
              <w:t xml:space="preserve">Strategische Opportunity durch DAC8</w:t>
            </w:r>
          </w:p>
          <w:p>
            <w:pPr>
              <w:spacing w:before="0" w:after="0"/>
            </w:pPr>
            <w:r>
              <w:rPr>
                <w:rFonts w:ascii="Calibri" w:cs="Calibri" w:eastAsia="Calibri" w:hAnsi="Calibri"/>
                <w:color w:val="212121"/>
                <w:sz w:val="20"/>
                <w:szCs w:val="20"/>
              </w:rPr>
              <w:t xml:space="preserve">DAC8 erzeugt einen perfekten Compliance-Gap: CEX-Daten sind beim Finanzamt bekannt, DeFi-Transaktionen nicht – aber Steuerpflichtige haben dennoch volle Offenbarungspflicht (§ 90 AO). Wer DeFi-Transaktionen nicht deklariert, riskiert Steuerhinterziehungsvorwürfe, obwohl diese automatisch erkennbar werden, wenn CEX-Daten mit dem Gesamtvermögen des Steuerpflichtigen abgeglichen werden. Das SaaS-Tool schließt genau diese Lücke – maximales Vermarktungsargument.</w:t>
            </w:r>
          </w:p>
        </w:tc>
      </w:tr>
    </w:tbl>
    <w:p>
      <w:pPr>
        <w:spacing w:before="160" w:after="0"/>
      </w:pPr>
      <w:r>
        <w:t xml:space="preserve"/>
      </w:r>
    </w:p>
    <w:p>
      <w:pPr>
        <w:pStyle w:val="Heading1"/>
        <w:pBdr>
          <w:bottom w:val="single" w:color="0D47A1" w:sz="4" w:space="6"/>
        </w:pBdr>
        <w:spacing w:before="360" w:after="160"/>
      </w:pPr>
      <w:r>
        <w:rPr>
          <w:rFonts w:ascii="Calibri" w:cs="Calibri" w:eastAsia="Calibri" w:hAnsi="Calibri"/>
          <w:b/>
          <w:bCs/>
          <w:color w:val="0D47A1"/>
          <w:sz w:val="36"/>
          <w:szCs w:val="36"/>
        </w:rPr>
        <w:t xml:space="preserve">R5. MiCA-Analyse – Markets in Crypto-Assets Regulation</w:t>
      </w:r>
    </w:p>
    <w:p>
      <w:pPr>
        <w:spacing w:before="60" w:after="90"/>
      </w:pPr>
      <w:r>
        <w:rPr>
          <w:rFonts w:ascii="Calibri" w:cs="Calibri" w:eastAsia="Calibri" w:hAnsi="Calibri"/>
          <w:color w:val="212121"/>
          <w:sz w:val="21"/>
          <w:szCs w:val="21"/>
        </w:rPr>
        <w:t xml:space="preserve">Die MiCA-Verordnung (EU 2023/1114) ist seit Dezember 2024 vollständig in Kraft. Sie reguliert Krypto-Asset-Märkte und -Dienstleister in der EU. Das SaaS-Tool selbst ist kein MiCA-Pflichtiger, muss aber MiCA-relevante Sachverhalte in seiner Datenbank korrekt behandeln.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200"/>
        <w:gridCol w:w="1526"/>
      </w:tblGrid>
      <w:tr>
        <w:trPr>
          <w:tblHeader/>
        </w:trPr>
        <w:tc>
          <w:tcPr>
            <w:tcW w:type="dxa" w:w="2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MiCA-Aspekt</w:t>
            </w:r>
          </w:p>
        </w:tc>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Bedeutung für das Tool</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Umsetzungsmaßnahme</w:t>
            </w:r>
          </w:p>
        </w:tc>
        <w:tc>
          <w:tcPr>
            <w:tcW w:type="dxa" w:w="15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Phase</w:t>
            </w:r>
          </w:p>
        </w:tc>
      </w:tr>
      <w:tr>
        <w:tc>
          <w:tcPr>
            <w:tcW w:type="dxa" w:w="25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Stablecoin-Klassifikation (ARTs / EMTs)</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Stablecoins von lizenzierten Emittenten erhalten andere steuerliche Behandlung als Non-MiCA-Stablecoins</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Token-Datenbank: MiCA-Lizenz-Flag pro Stablecoin</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P1 MVP</w:t>
            </w:r>
          </w:p>
        </w:tc>
      </w:tr>
      <w:tr>
        <w:tc>
          <w:tcPr>
            <w:tcW w:type="dxa" w:w="25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CASP-Lizenzkennzeichnung</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MiCA-lizenzierte Protokolle vs. nicht-lizenzierte DEXe korrekt kennzeichnen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Protokoll-Datenbank mit MiCA-Status</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P2 Beta</w:t>
            </w:r>
          </w:p>
        </w:tc>
      </w:tr>
      <w:tr>
        <w:tc>
          <w:tcPr>
            <w:tcW w:type="dxa" w:w="25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Whitepaper-Pflicht (Art. 19 MiCA)</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Token ohne MiCA-Whitepaper = höheres Delisting-Risiko – Nutzer warnen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Warnsystem für Non-MiCA-Token</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P4 Skalierung</w:t>
            </w:r>
          </w:p>
        </w:tc>
      </w:tr>
      <w:tr>
        <w:tc>
          <w:tcPr>
            <w:tcW w:type="dxa" w:w="25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Asset-Reporting (Art. 68–76 MiCA)</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MiCA-Transaktionsberichte von CASPs können mit Tool-Daten abgeglichen werden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Import MiCA-CASP-Reports als CSV</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P4 Skalierung</w:t>
            </w:r>
          </w:p>
        </w:tc>
      </w:tr>
      <w:tr>
        <w:tc>
          <w:tcPr>
            <w:tcW w:type="dxa" w:w="25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DeFi-Ausnahme (Art. 2 Abs. 4 MiCA)</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Vollständig dezentrale Protokolle (SparkDEX, Ēnosys) sind von MiCA ausgenommen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Protokoll-Flag: MiCA-exempt bei echten DEXen</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P1 MVP</w:t>
            </w:r>
          </w:p>
        </w:tc>
      </w:tr>
      <w:tr>
        <w:tc>
          <w:tcPr>
            <w:tcW w:type="dxa" w:w="25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Nächste MiCA-Revision (2026–2027)</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EU-Kommission prüft Einbeziehung von DeFi-Protokollen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Monitoring-Flag im Compliance-Kalender setzen</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P4 Skalierung</w:t>
            </w:r>
          </w:p>
        </w:tc>
      </w:tr>
    </w:tbl>
    <w:p>
      <w:pPr>
        <w:spacing w:before="160" w:after="0"/>
      </w:pPr>
      <w:r>
        <w:t xml:space="preserve"/>
      </w:r>
    </w:p>
    <w:p>
      <w:pPr>
        <w:pStyle w:val="Heading1"/>
        <w:pBdr>
          <w:bottom w:val="single" w:color="0D47A1" w:sz="4" w:space="6"/>
        </w:pBdr>
        <w:spacing w:before="360" w:after="160"/>
      </w:pPr>
      <w:r>
        <w:rPr>
          <w:rFonts w:ascii="Calibri" w:cs="Calibri" w:eastAsia="Calibri" w:hAnsi="Calibri"/>
          <w:b/>
          <w:bCs/>
          <w:color w:val="0D47A1"/>
          <w:sz w:val="36"/>
          <w:szCs w:val="36"/>
        </w:rPr>
        <w:t xml:space="preserve">R6. GoBD-Anforderungen – Ordnungsmäßige digitale Buchführung</w:t>
      </w:r>
    </w:p>
    <w:p>
      <w:pPr>
        <w:spacing w:before="60" w:after="90"/>
      </w:pPr>
      <w:r>
        <w:rPr>
          <w:rFonts w:ascii="Calibri" w:cs="Calibri" w:eastAsia="Calibri" w:hAnsi="Calibri"/>
          <w:color w:val="212121"/>
          <w:sz w:val="21"/>
          <w:szCs w:val="21"/>
        </w:rPr>
        <w:t xml:space="preserve">Die Grundsätze zur ordnungsmäßigen Führung und Aufbewahrung von Büchern, Aufzeichnungen und Unterlagen in elektronischer Form (GoBD, BMF 28.11.2019) gelten für alle Unternehmer und Freiberufler, die Kryptowerte im Betriebsvermögen halten. Das SaaS-Tool muss für diese Nutzer eine GoBD-konforme Datenhaltung sicherstellen.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026"/>
      </w:tblGrid>
      <w:tr>
        <w:trPr>
          <w:tblHeader/>
        </w:trPr>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GoBD-Grundsatz</w:t>
            </w:r>
          </w:p>
        </w:tc>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Anforderung</w:t>
            </w:r>
          </w:p>
        </w:tc>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Technische Umsetzung im Tool</w:t>
            </w:r>
          </w:p>
        </w:tc>
        <w:tc>
          <w:tcPr>
            <w:tcW w:type="dxa" w:w="20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Gefahren bei Nichterfüllung</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Unveränderlichkeit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Buchungen dürfen nicht nachträglich verändert werden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Append-only Datenbank-Struktur; SHA-256 Hash jeder TX-Zeile</w:t>
            </w:r>
          </w:p>
        </w:tc>
        <w:tc>
          <w:tcPr>
            <w:tcW w:type="dxa" w:w="2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Buchungen steuerlich nicht anerkannt</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Vollständigkeit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Alle Geschäftsvorfälle müssen lückenlos erfasst werden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Wallet-Gap-Detection; Warnungen bei Synchronisationslücken</w:t>
            </w:r>
          </w:p>
        </w:tc>
        <w:tc>
          <w:tcPr>
            <w:tcW w:type="dxa" w:w="2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Schätzungsbescheid des Finanzamts</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Richtigkeit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EUR-Kurse aus anerkannten, dokumentierten Quellen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FTSO + CoinGecko/CMC; Quelle je TX im Log speichern</w:t>
            </w:r>
          </w:p>
        </w:tc>
        <w:tc>
          <w:tcPr>
            <w:tcW w:type="dxa" w:w="2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Korrektur durch FA, Nachzahlungszinsen</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Zeitgerechtheit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Erfassung zeitnah – nicht rückwirkend konstruiert</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Blockchain-Timestamp (unveränderbar) als Buchungsdatum</w:t>
            </w:r>
          </w:p>
        </w:tc>
        <w:tc>
          <w:tcPr>
            <w:tcW w:type="dxa" w:w="2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Verdacht auf Manipulation</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Nachvollziehbarkeit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Jede Buchung muss auf Originalbeleg rückführbar sein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TX-Hash als Primärbeleg; Block-Explorer-Link je Transaktion</w:t>
            </w:r>
          </w:p>
        </w:tc>
        <w:tc>
          <w:tcPr>
            <w:tcW w:type="dxa" w:w="2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Buchungsbeleg fehlt – FA erkennt nicht an</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Lesbarkeit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Aufzeichnungen müssen für FA lesbar aufbereitet werden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CSV/PDF/XLSX Export; maschinelles Auslesen ermöglichen</w:t>
            </w:r>
          </w:p>
        </w:tc>
        <w:tc>
          <w:tcPr>
            <w:tcW w:type="dxa" w:w="2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147 AO: Prüferzugriff muss gewährleistet sein</w:t>
            </w:r>
          </w:p>
        </w:tc>
      </w:tr>
      <w:tr>
        <w:tc>
          <w:tcPr>
            <w:tcW w:type="dxa" w:w="18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r>
              <w:rPr>
                <w:rFonts w:ascii="Calibri" w:cs="Calibri" w:eastAsia="Calibri" w:hAnsi="Calibri"/>
                <w:b/>
                <w:bCs/>
                <w:color w:val="E65100"/>
                <w:sz w:val="20"/>
                <w:szCs w:val="20"/>
              </w:rPr>
              <w:t xml:space="preserve">Aufbewahrung 10 Jahre</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Buchhaltungsunterlagen 10 Jahre aufbewahren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Exportierte Dateien unveränderlich archivieren; Mandanten informieren</w:t>
            </w:r>
          </w:p>
        </w:tc>
        <w:tc>
          <w:tcPr>
            <w:tcW w:type="dxa" w:w="2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 147 Abs. 3 AO: Ordnungswidrigkeit</w:t>
            </w:r>
          </w:p>
        </w:tc>
      </w:tr>
    </w:tbl>
    <w:p>
      <w:pPr>
        <w:spacing w:before="160" w:after="0"/>
      </w:pPr>
      <w:r>
        <w:t xml:space="preserve"/>
      </w:r>
    </w:p>
    <w:p>
      <w:pPr>
        <w:pStyle w:val="Heading1"/>
        <w:pBdr>
          <w:bottom w:val="single" w:color="0D47A1" w:sz="4" w:space="6"/>
        </w:pBdr>
        <w:spacing w:before="360" w:after="160"/>
      </w:pPr>
      <w:r>
        <w:rPr>
          <w:rFonts w:ascii="Calibri" w:cs="Calibri" w:eastAsia="Calibri" w:hAnsi="Calibri"/>
          <w:b/>
          <w:bCs/>
          <w:color w:val="0D47A1"/>
          <w:sz w:val="36"/>
          <w:szCs w:val="36"/>
        </w:rPr>
        <w:t xml:space="preserve">R7. DSGVO-Compliance-Checkliste für das SaaS-Tool</w:t>
      </w:r>
    </w:p>
    <w:p>
      <w:pPr>
        <w:spacing w:before="60" w:after="90"/>
      </w:pPr>
      <w:r>
        <w:rPr>
          <w:rFonts w:ascii="Calibri" w:cs="Calibri" w:eastAsia="Calibri" w:hAnsi="Calibri"/>
          <w:color w:val="212121"/>
          <w:sz w:val="21"/>
          <w:szCs w:val="21"/>
        </w:rPr>
        <w:t xml:space="preserve">Als SaaS-Anbieter, der personenbezogene Daten (Wallet-Adressen, E-Mail, Transaktionshistorie) verarbeitet, unterliegt das Tool der DSGVO. Die folgende Checkliste definiert alle Pflichten mit Phasenzuordnung.</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800"/>
        <w:gridCol w:w="1226"/>
      </w:tblGrid>
      <w:tr>
        <w:trPr>
          <w:tblHeader/>
        </w:trPr>
        <w:tc>
          <w:tcPr>
            <w:tcW w:type="dxa" w:w="3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DSGVO-Pflicht</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Artikel</w:t>
            </w:r>
          </w:p>
        </w:tc>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Umsetzung</w:t>
            </w:r>
          </w:p>
        </w:tc>
        <w:tc>
          <w:tcPr>
            <w:tcW w:type="dxa" w:w="12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Phase</w:t>
            </w:r>
          </w:p>
        </w:tc>
      </w:tr>
      <w:tr>
        <w:tc>
          <w:tcPr>
            <w:tcW w:type="dxa" w:w="3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Datenschutzerklärung (transparente Information)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Art. 13/14 DSGVO</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Vollständige Datenschutzerklärung auf Website und im Tool</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P1 vor Launch</w:t>
            </w:r>
          </w:p>
        </w:tc>
      </w:tr>
      <w:tr>
        <w:tc>
          <w:tcPr>
            <w:tcW w:type="dxa" w:w="3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Rechtsgrundlage für jede Verarbeitung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Art. 6 DSGVO</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Vertrag (Art. 6 Abs. 1b) als primäre Grundlage; kein Consent-Hacking</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P1 vor Launch</w:t>
            </w:r>
          </w:p>
        </w:tc>
      </w:tr>
      <w:tr>
        <w:tc>
          <w:tcPr>
            <w:tcW w:type="dxa" w:w="3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Verarbeitungsverzeichnis (VVT)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Art. 30 DSGVO</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Internes VVT mit allen Datenflüssen (Wallet, TX, E-Mail, Logs)</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P1 vor Launch</w:t>
            </w:r>
          </w:p>
        </w:tc>
      </w:tr>
      <w:tr>
        <w:tc>
          <w:tcPr>
            <w:tcW w:type="dxa" w:w="3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Datensparsamkeit (Minimierung)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Art. 5 Abs. 1c</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Nur Public Wallet-Adressen – keine Private Keys, keine IP-Logs</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P1 Design</w:t>
            </w:r>
          </w:p>
        </w:tc>
      </w:tr>
      <w:tr>
        <w:tc>
          <w:tcPr>
            <w:tcW w:type="dxa" w:w="3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Betroffenenrechte (Auskunft, Löschung)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Art. 15–22 DSGVO</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Self-Service-Löschung; Datenexport auf Knopfdruck</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P1 MVP</w:t>
            </w:r>
          </w:p>
        </w:tc>
      </w:tr>
      <w:tr>
        <w:tc>
          <w:tcPr>
            <w:tcW w:type="dxa" w:w="3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Auftragsverarbeitungsvertrag (AVV)</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Art. 28 DSGVO</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AVV mit Hetzner (Hosting), CoinGecko/CMC (Preisfeeds)</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P1 vor Launch</w:t>
            </w:r>
          </w:p>
        </w:tc>
      </w:tr>
      <w:tr>
        <w:tc>
          <w:tcPr>
            <w:tcW w:type="dxa" w:w="3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EU-Serverstandort / Drittlandstransfer</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Art. 44–49 DSGVO</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Ausschließlich Hetzner Nürnberg/Falkenstein – kein US-Transfer</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P1 Design</w:t>
            </w:r>
          </w:p>
        </w:tc>
      </w:tr>
      <w:tr>
        <w:tc>
          <w:tcPr>
            <w:tcW w:type="dxa" w:w="3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Datenschutz-Folgenabschätzung (DSFA)</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Art. 35 DSGVO</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DSFA für Finanztransaktionsdaten (Hochrisiko-Verarbeitung)</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P0 Discovery</w:t>
            </w:r>
          </w:p>
        </w:tc>
      </w:tr>
      <w:tr>
        <w:tc>
          <w:tcPr>
            <w:tcW w:type="dxa" w:w="3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Datenschutzbeauftragter (DSB)</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Art. 37 DSGVO</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Prüfen: Kanzlei-Kunden (B2B) benötigen eigenen DSB</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P3 Launch</w:t>
            </w:r>
          </w:p>
        </w:tc>
      </w:tr>
      <w:tr>
        <w:tc>
          <w:tcPr>
            <w:tcW w:type="dxa" w:w="3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Verschlüsselung (State of the Art)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Art. 32 DSGVO</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AES-256 für Wallet-Daten, Argon2 für Passwörter, TLS 1.3</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P1 Design</w:t>
            </w:r>
          </w:p>
        </w:tc>
      </w:tr>
      <w:tr>
        <w:tc>
          <w:tcPr>
            <w:tcW w:type="dxa" w:w="3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Cookie-Einwilligung / Tracking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Art. 6 Abs. 1a</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Kein Analytics-Tracking ohne Einwilligung; Consent-Banner</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P3 Launch</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R8. AML &amp; Geldwäscheprävention (GwG)</w:t>
      </w:r>
    </w:p>
    <w:p>
      <w:pPr>
        <w:spacing w:before="60" w:after="90"/>
      </w:pPr>
      <w:r>
        <w:rPr>
          <w:rFonts w:ascii="Calibri" w:cs="Calibri" w:eastAsia="Calibri" w:hAnsi="Calibri"/>
          <w:color w:val="212121"/>
          <w:sz w:val="21"/>
          <w:szCs w:val="21"/>
        </w:rPr>
        <w:t xml:space="preserve">Das Geldwäschegesetz (GwG) verpflichtet Verpflichtete nach § 2 GwG zu Sorgfaltspflichten. Das SaaS-Tool selbst ist kein GwG-Verpflichteter, da es kein VASP ist. Für B2B-Kunden (Steuerberatungskanzleien) sind jedoch AML-Aspekte relevant.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300"/>
        <w:gridCol w:w="1326"/>
      </w:tblGrid>
      <w:tr>
        <w:trPr>
          <w:tblHeader/>
        </w:trPr>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AML-Aspekt</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Betrifft Tool direkt?</w:t>
            </w:r>
          </w:p>
        </w:tc>
        <w:tc>
          <w:tcPr>
            <w:tcW w:type="dxa" w:w="3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Relevanz / Maßnahme</w:t>
            </w:r>
          </w:p>
        </w:tc>
        <w:tc>
          <w:tcPr>
            <w:tcW w:type="dxa" w:w="13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Phase</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GwG § 2 – VASP-Status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NEIN – Tool ist Software, kein VASP</w:t>
            </w:r>
          </w:p>
        </w:tc>
        <w:tc>
          <w:tcPr>
            <w:tcW w:type="dxa" w:w="3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Kein Geldwäsche-Beauftragter erforderlich</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Travel Rule (ab 1.000 EUR)</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NEIN für Tool direkt</w:t>
            </w:r>
          </w:p>
        </w:tc>
        <w:tc>
          <w:tcPr>
            <w:tcW w:type="dxa" w:w="3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B2B-Kunden: TX-IDs für Nachweiszwecke exportieren</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P2 Beta</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AML-Screening-Modul (Optional)</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Optional für Kanzlei-Kunden</w:t>
            </w:r>
          </w:p>
        </w:tc>
        <w:tc>
          <w:tcPr>
            <w:tcW w:type="dxa" w:w="3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Blockchain-Analytics-API Integration (z.B. Elliptic, Chainalysis)</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P4 Skalierung</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Wallet-Blacklist-Check</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Empfohlen für Enterprise</w:t>
            </w:r>
          </w:p>
        </w:tc>
        <w:tc>
          <w:tcPr>
            <w:tcW w:type="dxa" w:w="3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OFAC-/EU-Sanctions-Screener als optionales Modul</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P4 Skalierung</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Verdachtsmeldung (§ 43 GwG)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Für Steuerberaterkunden</w:t>
            </w:r>
          </w:p>
        </w:tc>
        <w:tc>
          <w:tcPr>
            <w:tcW w:type="dxa" w:w="3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Steuerberater-Portal: Verdachtsfall-Markierung mit Protokoll</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P4 Skalierung</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Identitätsprüfung (KYC)</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NEIN – kein KYC für B2C</w:t>
            </w:r>
          </w:p>
        </w:tc>
        <w:tc>
          <w:tcPr>
            <w:tcW w:type="dxa" w:w="3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B2B-Kanzleikunden: Identitätsprüfung gemäß § 10 GwG</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b w:val="false"/>
                <w:bCs w:val="false"/>
                <w:color w:val="212121"/>
                <w:sz w:val="20"/>
                <w:szCs w:val="20"/>
              </w:rPr>
              <w:t xml:space="preserve">P3 Launch</w:t>
            </w:r>
          </w:p>
        </w:tc>
      </w:tr>
    </w:tbl>
    <w:p>
      <w:pPr>
        <w:spacing w:before="160" w:after="0"/>
      </w:pPr>
      <w:r>
        <w:t xml:space="preserve"/>
      </w:r>
    </w:p>
    <w:p>
      <w:pPr>
        <w:pStyle w:val="Heading1"/>
        <w:pBdr>
          <w:bottom w:val="single" w:color="0D47A1" w:sz="4" w:space="6"/>
        </w:pBdr>
        <w:spacing w:before="360" w:after="160"/>
      </w:pPr>
      <w:r>
        <w:rPr>
          <w:rFonts w:ascii="Calibri" w:cs="Calibri" w:eastAsia="Calibri" w:hAnsi="Calibri"/>
          <w:b/>
          <w:bCs/>
          <w:color w:val="0D47A1"/>
          <w:sz w:val="36"/>
          <w:szCs w:val="36"/>
        </w:rPr>
        <w:t xml:space="preserve">R9. Regulatorischer Risiko-Kalender 2026–2028</w:t>
      </w:r>
    </w:p>
    <w:p>
      <w:pPr>
        <w:spacing w:before="60" w:after="90"/>
      </w:pPr>
      <w:r>
        <w:rPr>
          <w:rFonts w:ascii="Calibri" w:cs="Calibri" w:eastAsia="Calibri" w:hAnsi="Calibri"/>
          <w:color w:val="212121"/>
          <w:sz w:val="21"/>
          <w:szCs w:val="21"/>
        </w:rPr>
        <w:t xml:space="preserve">Die regulatorische Landschaft für DeFi und Kryptowerte entwickelt sich in Deutschland und der EU dynamisch. Das folgende Kalender-Radar identifiziert alle bekannten und antizipierten Regulierungsereignisse mit Relevanz für das Tool.</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300"/>
        <w:gridCol w:w="3226"/>
      </w:tblGrid>
      <w:tr>
        <w:trPr>
          <w:tblHeader/>
        </w:trPr>
        <w:tc>
          <w:tcPr>
            <w:tcW w:type="dxa" w:w="3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Regulatorisches Risiko</w:t>
            </w:r>
          </w:p>
        </w:tc>
        <w:tc>
          <w:tcPr>
            <w:tcW w:type="dxa" w:w="1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Zeitpunkt</w:t>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Impact</w:t>
            </w:r>
          </w:p>
        </w:tc>
        <w:tc>
          <w:tcPr>
            <w:tcW w:type="dxa" w:w="32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Mitigation</w:t>
            </w:r>
          </w:p>
        </w:tc>
      </w:tr>
      <w:tr>
        <w:tc>
          <w:tcPr>
            <w:tcW w:type="dxa" w:w="30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r>
              <w:rPr>
                <w:rFonts w:ascii="Calibri" w:cs="Calibri" w:eastAsia="Calibri" w:hAnsi="Calibri"/>
                <w:b/>
                <w:bCs/>
                <w:color w:val="B71C1C"/>
                <w:sz w:val="20"/>
                <w:szCs w:val="20"/>
              </w:rPr>
              <w:t xml:space="preserve">DAC8 tritt in Kraft – CEX-Meldungen beginnen</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color w:val="546E7A"/>
                <w:sz w:val="19"/>
                <w:szCs w:val="19"/>
              </w:rPr>
              <w:t xml:space="preserve">Jan 2026</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B71C1C"/>
                <w:sz w:val="19"/>
                <w:szCs w:val="19"/>
              </w:rPr>
              <w:t xml:space="preserve">SEHR HOCH</w:t>
            </w:r>
          </w:p>
        </w:tc>
        <w:tc>
          <w:tcPr>
            <w:tcW w:type="dxa" w:w="3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19"/>
                <w:szCs w:val="19"/>
              </w:rPr>
              <w:t xml:space="preserve">Tool-Launch bis Sept. 2026 gesichert – DAC8 ist primärer Marktimpuls</w:t>
            </w:r>
          </w:p>
        </w:tc>
      </w:tr>
      <w:tr>
        <w:tc>
          <w:tcPr>
            <w:tcW w:type="dxa" w:w="30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r>
              <w:rPr>
                <w:rFonts w:ascii="Calibri" w:cs="Calibri" w:eastAsia="Calibri" w:hAnsi="Calibri"/>
                <w:b/>
                <w:bCs/>
                <w:color w:val="E65100"/>
                <w:sz w:val="20"/>
                <w:szCs w:val="20"/>
              </w:rPr>
              <w:t xml:space="preserve">Neues BMF-Schreiben zu Liquidity Mining (erwartet)</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color w:val="546E7A"/>
                <w:sz w:val="19"/>
                <w:szCs w:val="19"/>
              </w:rPr>
              <w:t xml:space="preserve">2026</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E65100"/>
                <w:sz w:val="19"/>
                <w:szCs w:val="19"/>
              </w:rPr>
              <w:t xml:space="preserve">HOCH</w:t>
            </w:r>
          </w:p>
        </w:tc>
        <w:tc>
          <w:tcPr>
            <w:tcW w:type="dxa" w:w="3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19"/>
                <w:szCs w:val="19"/>
              </w:rPr>
              <w:t xml:space="preserve">Modulares Regel-Framework; Steuerberater-Monitoring-Abo; sofortiges Update-Deployment</w:t>
            </w:r>
          </w:p>
        </w:tc>
      </w:tr>
      <w:tr>
        <w:tc>
          <w:tcPr>
            <w:tcW w:type="dxa" w:w="30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r>
              <w:rPr>
                <w:rFonts w:ascii="Calibri" w:cs="Calibri" w:eastAsia="Calibri" w:hAnsi="Calibri"/>
                <w:b/>
                <w:bCs/>
                <w:color w:val="E65100"/>
                <w:sz w:val="20"/>
                <w:szCs w:val="20"/>
              </w:rPr>
              <w:t xml:space="preserve">BFH-Urteil zu LP-Transaktionen (Rechtsmittel laufend)</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color w:val="546E7A"/>
                <w:sz w:val="19"/>
                <w:szCs w:val="19"/>
              </w:rPr>
              <w:t xml:space="preserve">2026/2027</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E65100"/>
                <w:sz w:val="19"/>
                <w:szCs w:val="19"/>
              </w:rPr>
              <w:t xml:space="preserve">HOCH</w:t>
            </w:r>
          </w:p>
        </w:tc>
        <w:tc>
          <w:tcPr>
            <w:tcW w:type="dxa" w:w="3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19"/>
                <w:szCs w:val="19"/>
              </w:rPr>
              <w:t xml:space="preserve">Dual-Szenario-Rechner als Puffer; Urteil führt zu Modell-Vereinfachung</w:t>
            </w:r>
          </w:p>
        </w:tc>
      </w:tr>
      <w:tr>
        <w:tc>
          <w:tcPr>
            <w:tcW w:type="dxa" w:w="30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r>
              <w:rPr>
                <w:rFonts w:ascii="Calibri" w:cs="Calibri" w:eastAsia="Calibri" w:hAnsi="Calibri"/>
                <w:b/>
                <w:bCs/>
                <w:color w:val="4A148C"/>
                <w:sz w:val="20"/>
                <w:szCs w:val="20"/>
              </w:rPr>
              <w:t xml:space="preserve">MiCA-Revision: Einbeziehung von DeFi-Protokollen</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color w:val="546E7A"/>
                <w:sz w:val="19"/>
                <w:szCs w:val="19"/>
              </w:rPr>
              <w:t xml:space="preserve">2027/2028</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4A148C"/>
                <w:sz w:val="19"/>
                <w:szCs w:val="19"/>
              </w:rPr>
              <w:t xml:space="preserve">SEHR HOCH</w:t>
            </w:r>
          </w:p>
        </w:tc>
        <w:tc>
          <w:tcPr>
            <w:tcW w:type="dxa" w:w="3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19"/>
                <w:szCs w:val="19"/>
              </w:rPr>
              <w:t xml:space="preserve">EU-Gesetzgebungsmonitoring; Compliance-Roadmap vorbereiten; Protokoll-Datenbank MiCA-ready machen</w:t>
            </w:r>
          </w:p>
        </w:tc>
      </w:tr>
      <w:tr>
        <w:tc>
          <w:tcPr>
            <w:tcW w:type="dxa" w:w="30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r>
              <w:rPr>
                <w:rFonts w:ascii="Calibri" w:cs="Calibri" w:eastAsia="Calibri" w:hAnsi="Calibri"/>
                <w:b/>
                <w:bCs/>
                <w:color w:val="B71C1C"/>
                <w:sz w:val="20"/>
                <w:szCs w:val="20"/>
              </w:rPr>
              <w:t xml:space="preserve">DAC8-Erweiterung auf dezentrale Protokolle</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color w:val="546E7A"/>
                <w:sz w:val="19"/>
                <w:szCs w:val="19"/>
              </w:rPr>
              <w:t xml:space="preserve">2027–2028</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B71C1C"/>
                <w:sz w:val="19"/>
                <w:szCs w:val="19"/>
              </w:rPr>
              <w:t xml:space="preserve">EXISTENZIELL</w:t>
            </w:r>
          </w:p>
        </w:tc>
        <w:tc>
          <w:tcPr>
            <w:tcW w:type="dxa" w:w="3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19"/>
                <w:szCs w:val="19"/>
              </w:rPr>
              <w:t xml:space="preserve">On-Chain-Autodeklations-Modul vorentwickeln; EU-Lobbying über Verbände beobachten</w:t>
            </w:r>
          </w:p>
        </w:tc>
      </w:tr>
      <w:tr>
        <w:tc>
          <w:tcPr>
            <w:tcW w:type="dxa" w:w="30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r>
              <w:rPr>
                <w:rFonts w:ascii="Calibri" w:cs="Calibri" w:eastAsia="Calibri" w:hAnsi="Calibri"/>
                <w:b/>
                <w:bCs/>
                <w:color w:val="E65100"/>
                <w:sz w:val="20"/>
                <w:szCs w:val="20"/>
              </w:rPr>
              <w:t xml:space="preserve">Neue AO-Meldepflichten für Krypto (§ 138b AO-Reform)</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color w:val="546E7A"/>
                <w:sz w:val="19"/>
                <w:szCs w:val="19"/>
              </w:rPr>
              <w:t xml:space="preserve">2026/2027</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E65100"/>
                <w:sz w:val="19"/>
                <w:szCs w:val="19"/>
              </w:rPr>
              <w:t xml:space="preserve">MITTEL</w:t>
            </w:r>
          </w:p>
        </w:tc>
        <w:tc>
          <w:tcPr>
            <w:tcW w:type="dxa" w:w="3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19"/>
                <w:szCs w:val="19"/>
              </w:rPr>
              <w:t xml:space="preserve">AO-Reformvorhaben beobachten; ggf. Meldepflicht-Modul für B2B-Kunden</w:t>
            </w:r>
          </w:p>
        </w:tc>
      </w:tr>
      <w:tr>
        <w:tc>
          <w:tcPr>
            <w:tcW w:type="dxa" w:w="30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Abgeltungsteuer auf DeFi-Derivate (BMF-Klärung)</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color w:val="546E7A"/>
                <w:sz w:val="19"/>
                <w:szCs w:val="19"/>
              </w:rPr>
              <w:t xml:space="preserve">2026</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0D47A1"/>
                <w:sz w:val="19"/>
                <w:szCs w:val="19"/>
              </w:rPr>
              <w:t xml:space="preserve">MITTEL</w:t>
            </w:r>
          </w:p>
        </w:tc>
        <w:tc>
          <w:tcPr>
            <w:tcW w:type="dxa" w:w="3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19"/>
                <w:szCs w:val="19"/>
              </w:rPr>
              <w:t xml:space="preserve">Dual-Szenario § 23 / § 20 EStG bei Perps – bereits in Tool implementiert</w:t>
            </w:r>
          </w:p>
        </w:tc>
      </w:tr>
      <w:tr>
        <w:tc>
          <w:tcPr>
            <w:tcW w:type="dxa" w:w="30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ESMA-Leitlinien zu DeFi-Asset-Klassifikation</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color w:val="546E7A"/>
                <w:sz w:val="19"/>
                <w:szCs w:val="19"/>
              </w:rPr>
              <w:t xml:space="preserve">2026</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0D47A1"/>
                <w:sz w:val="19"/>
                <w:szCs w:val="19"/>
              </w:rPr>
              <w:t xml:space="preserve">MITTEL</w:t>
            </w:r>
          </w:p>
        </w:tc>
        <w:tc>
          <w:tcPr>
            <w:tcW w:type="dxa" w:w="3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19"/>
                <w:szCs w:val="19"/>
              </w:rPr>
              <w:t xml:space="preserve">ESMA-Konsultationen verfolgen; Token-Datenbank nach Ergebnis aktualisieren</w:t>
            </w:r>
          </w:p>
        </w:tc>
      </w:tr>
    </w:tbl>
    <w:p>
      <w:pPr>
        <w:spacing w:before="160" w:after="0"/>
      </w:pPr>
      <w:r>
        <w:t xml:space="preserve"/>
      </w:r>
    </w:p>
    <w:p>
      <w:pPr>
        <w:pStyle w:val="Heading1"/>
        <w:pBdr>
          <w:bottom w:val="single" w:color="0D47A1" w:sz="4" w:space="6"/>
        </w:pBdr>
        <w:spacing w:before="360" w:after="160"/>
      </w:pPr>
      <w:r>
        <w:rPr>
          <w:rFonts w:ascii="Calibri" w:cs="Calibri" w:eastAsia="Calibri" w:hAnsi="Calibri"/>
          <w:b/>
          <w:bCs/>
          <w:color w:val="0D47A1"/>
          <w:sz w:val="36"/>
          <w:szCs w:val="36"/>
        </w:rPr>
        <w:t xml:space="preserve">R10. Regulatorische Compliance-Roadmap – Maßnahmen je Phase</w:t>
      </w:r>
    </w:p>
    <w:p>
      <w:pPr>
        <w:spacing w:before="60" w:after="90"/>
      </w:pPr>
      <w:r>
        <w:rPr>
          <w:rFonts w:ascii="Calibri" w:cs="Calibri" w:eastAsia="Calibri" w:hAnsi="Calibri"/>
          <w:color w:val="212121"/>
          <w:sz w:val="21"/>
          <w:szCs w:val="21"/>
        </w:rPr>
        <w:t xml:space="preserve">Die folgende Matrix ordnet alle regulatorischen Compliance-Maßnahmen den Entwicklungsphasen zu. Sie definiert, was bis wann rechtlich umgesetzt sein muss, um das Tool rechtskonform betreiben zu können.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2400"/>
        <w:gridCol w:w="1426"/>
      </w:tblGrid>
      <w:tr>
        <w:trPr>
          <w:tblHeader/>
        </w:trPr>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Phase</w:t>
            </w:r>
          </w:p>
        </w:tc>
        <w:tc>
          <w:tcPr>
            <w:tcW w:type="dxa" w:w="3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Regulatorische Maßnahme</w:t>
            </w:r>
          </w:p>
        </w:tc>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Rechtsgrundlage</w:t>
            </w:r>
          </w:p>
        </w:tc>
        <w:tc>
          <w:tcPr>
            <w:tcW w:type="dxa" w:w="14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Priorität</w:t>
            </w:r>
          </w:p>
        </w:tc>
      </w:tr>
      <w:tr>
        <w:tc>
          <w:tcPr>
            <w:tcW w:type="dxa" w:w="14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r>
              <w:rPr>
                <w:rFonts w:ascii="Calibri" w:cs="Calibri" w:eastAsia="Calibri" w:hAnsi="Calibri"/>
                <w:b/>
                <w:bCs/>
                <w:color w:val="4A148C"/>
                <w:sz w:val="20"/>
                <w:szCs w:val="20"/>
              </w:rPr>
              <w:t xml:space="preserve">P0 – Discovery</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DSFA (Datenschutz-Folgenabschätzung) für Finanzdaten-Verarbeitung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Art. 35 DSGVO</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B71C1C"/>
                <w:sz w:val="19"/>
                <w:szCs w:val="19"/>
              </w:rPr>
              <w:t xml:space="preserve">KRITISCH</w:t>
            </w:r>
          </w:p>
        </w:tc>
      </w:tr>
      <w:tr>
        <w:tc>
          <w:tcPr>
            <w:tcW w:type="dxa" w:w="14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r>
              <w:rPr>
                <w:rFonts w:ascii="Calibri" w:cs="Calibri" w:eastAsia="Calibri" w:hAnsi="Calibri"/>
                <w:b/>
                <w:bCs/>
                <w:color w:val="4A148C"/>
                <w:sz w:val="20"/>
                <w:szCs w:val="20"/>
              </w:rPr>
              <w:t xml:space="preserve">P0 – Discovery</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Steuerberater-Validierung des LP/CDP-Graubereich-Mappings</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BMF-Schreiben 06.03.2025</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B71C1C"/>
                <w:sz w:val="19"/>
                <w:szCs w:val="19"/>
              </w:rPr>
              <w:t xml:space="preserve">KRITISCH</w:t>
            </w:r>
          </w:p>
        </w:tc>
      </w:tr>
      <w:tr>
        <w:tc>
          <w:tcPr>
            <w:tcW w:type="dxa" w:w="14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r>
              <w:rPr>
                <w:rFonts w:ascii="Calibri" w:cs="Calibri" w:eastAsia="Calibri" w:hAnsi="Calibri"/>
                <w:b/>
                <w:bCs/>
                <w:color w:val="4A148C"/>
                <w:sz w:val="20"/>
                <w:szCs w:val="20"/>
              </w:rPr>
              <w:t xml:space="preserve">P0 – Discovery</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Klärung VASP/CASP-Status des Tools (kein GwG-Verpflichteter)</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 2 GwG, MiCA Art. 3</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E65100"/>
                <w:sz w:val="19"/>
                <w:szCs w:val="19"/>
              </w:rPr>
              <w:t xml:space="preserve">HOCH</w:t>
            </w:r>
          </w:p>
        </w:tc>
      </w:tr>
      <w:tr>
        <w:tc>
          <w:tcPr>
            <w:tcW w:type="dxa" w:w="14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P1 – MVP Build</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Datenschutzerklärung + Impressum gemäß DSGVO Art. 13/14</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Art. 13/14 DSGVO, TMG</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B71C1C"/>
                <w:sz w:val="19"/>
                <w:szCs w:val="19"/>
              </w:rPr>
              <w:t xml:space="preserve">KRITISCH</w:t>
            </w:r>
          </w:p>
        </w:tc>
      </w:tr>
      <w:tr>
        <w:tc>
          <w:tcPr>
            <w:tcW w:type="dxa" w:w="14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P1 – MVP Build</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Verarbeitungsverzeichnis (VVT) anlegen und pflegen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Art. 30 DSGVO</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B71C1C"/>
                <w:sz w:val="19"/>
                <w:szCs w:val="19"/>
              </w:rPr>
              <w:t xml:space="preserve">KRITISCH</w:t>
            </w:r>
          </w:p>
        </w:tc>
      </w:tr>
      <w:tr>
        <w:tc>
          <w:tcPr>
            <w:tcW w:type="dxa" w:w="14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P1 – MVP Build</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AVV mit Hetzner (Hosting) und Preis-API-Anbietern abschließen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Art. 28 DSGVO</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B71C1C"/>
                <w:sz w:val="19"/>
                <w:szCs w:val="19"/>
              </w:rPr>
              <w:t xml:space="preserve">KRITISCH</w:t>
            </w:r>
          </w:p>
        </w:tc>
      </w:tr>
      <w:tr>
        <w:tc>
          <w:tcPr>
            <w:tcW w:type="dxa" w:w="14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P1 – MVP Build</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AES-256 Verschlüsselung aller Wallet-Daten implementieren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Art. 32 DSGVO, BSI-Empfehlung</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B71C1C"/>
                <w:sz w:val="19"/>
                <w:szCs w:val="19"/>
              </w:rPr>
              <w:t xml:space="preserve">KRITISCH</w:t>
            </w:r>
          </w:p>
        </w:tc>
      </w:tr>
      <w:tr>
        <w:tc>
          <w:tcPr>
            <w:tcW w:type="dxa" w:w="14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P1 – MVP Build</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FIFO-Steuerberechnung mit BMF-2025-konformen Kursdaten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BMF-Schreiben 06.03.2025 Rz. 43</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B71C1C"/>
                <w:sz w:val="19"/>
                <w:szCs w:val="19"/>
              </w:rPr>
              <w:t xml:space="preserve">KRITISCH</w:t>
            </w:r>
          </w:p>
        </w:tc>
      </w:tr>
      <w:tr>
        <w:tc>
          <w:tcPr>
            <w:tcW w:type="dxa" w:w="14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P1 – MVP Build</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GoBD-konformes Audit-Log (append-only, SHA-256-Hash)</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GoBD BMF 28.11.2019</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E65100"/>
                <w:sz w:val="19"/>
                <w:szCs w:val="19"/>
              </w:rPr>
              <w:t xml:space="preserve">HOCH</w:t>
            </w:r>
          </w:p>
        </w:tc>
      </w:tr>
      <w:tr>
        <w:tc>
          <w:tcPr>
            <w:tcW w:type="dxa" w:w="14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r>
              <w:rPr>
                <w:rFonts w:ascii="Calibri" w:cs="Calibri" w:eastAsia="Calibri" w:hAnsi="Calibri"/>
                <w:b/>
                <w:bCs/>
                <w:color w:val="0D47A1"/>
                <w:sz w:val="20"/>
                <w:szCs w:val="20"/>
              </w:rPr>
              <w:t xml:space="preserve">P1 – MVP Build</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Disclaimer für LP/CDP/Bridge-Graubereich-Transaktionen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 675 BGB, Haftungsrecht</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E65100"/>
                <w:sz w:val="19"/>
                <w:szCs w:val="19"/>
              </w:rPr>
              <w:t xml:space="preserve">HOCH</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r>
              <w:rPr>
                <w:rFonts w:ascii="Calibri" w:cs="Calibri" w:eastAsia="Calibri" w:hAnsi="Calibri"/>
                <w:b/>
                <w:bCs/>
                <w:color w:val="1B5E20"/>
                <w:sz w:val="20"/>
                <w:szCs w:val="20"/>
              </w:rPr>
              <w:t xml:space="preserve">P2 – Beta</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Steuerberater-Abnahme aller 35+ TX-Typen-Mappings</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BMF 2025, § 22/23 EStG</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B71C1C"/>
                <w:sz w:val="19"/>
                <w:szCs w:val="19"/>
              </w:rPr>
              <w:t xml:space="preserve">KRITISCH</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r>
              <w:rPr>
                <w:rFonts w:ascii="Calibri" w:cs="Calibri" w:eastAsia="Calibri" w:hAnsi="Calibri"/>
                <w:b/>
                <w:bCs/>
                <w:color w:val="1B5E20"/>
                <w:sz w:val="20"/>
                <w:szCs w:val="20"/>
              </w:rPr>
              <w:t xml:space="preserve">P2 – Beta</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Penetrationstest der Wallet-Datenspeicherung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Art. 32 DSGVO, ISO 27001</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E65100"/>
                <w:sz w:val="19"/>
                <w:szCs w:val="19"/>
              </w:rPr>
              <w:t xml:space="preserve">HOCH</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r>
              <w:rPr>
                <w:rFonts w:ascii="Calibri" w:cs="Calibri" w:eastAsia="Calibri" w:hAnsi="Calibri"/>
                <w:b/>
                <w:bCs/>
                <w:color w:val="1B5E20"/>
                <w:sz w:val="20"/>
                <w:szCs w:val="20"/>
              </w:rPr>
              <w:t xml:space="preserve">P2 – Beta</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Rechtliche Prüfung der AGB und Haftungsausschlüsse</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 305–310 BGB, § 675 BGB</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E65100"/>
                <w:sz w:val="19"/>
                <w:szCs w:val="19"/>
              </w:rPr>
              <w:t xml:space="preserve">HOCH</w:t>
            </w:r>
          </w:p>
        </w:tc>
      </w:tr>
      <w:tr>
        <w:tc>
          <w:tcPr>
            <w:tcW w:type="dxa" w:w="14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r>
              <w:rPr>
                <w:rFonts w:ascii="Calibri" w:cs="Calibri" w:eastAsia="Calibri" w:hAnsi="Calibri"/>
                <w:b/>
                <w:bCs/>
                <w:color w:val="E65100"/>
                <w:sz w:val="20"/>
                <w:szCs w:val="20"/>
              </w:rPr>
              <w:t xml:space="preserve">P3 – Launch</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Cookie-Consent-Banner (kein Tracking ohne Einwilligung)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Art. 6 Abs. 1a DSGVO, TTDSG</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B71C1C"/>
                <w:sz w:val="19"/>
                <w:szCs w:val="19"/>
              </w:rPr>
              <w:t xml:space="preserve">KRITISCH</w:t>
            </w:r>
          </w:p>
        </w:tc>
      </w:tr>
      <w:tr>
        <w:tc>
          <w:tcPr>
            <w:tcW w:type="dxa" w:w="14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r>
              <w:rPr>
                <w:rFonts w:ascii="Calibri" w:cs="Calibri" w:eastAsia="Calibri" w:hAnsi="Calibri"/>
                <w:b/>
                <w:bCs/>
                <w:color w:val="E65100"/>
                <w:sz w:val="20"/>
                <w:szCs w:val="20"/>
              </w:rPr>
              <w:t xml:space="preserve">P3 – Launch</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AGB + Nutzungsbedingungen rechtlich prüfen lassen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BGB, UrhG, §§ 305 ff. BGB</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E65100"/>
                <w:sz w:val="19"/>
                <w:szCs w:val="19"/>
              </w:rPr>
              <w:t xml:space="preserve">HOCH</w:t>
            </w:r>
          </w:p>
        </w:tc>
      </w:tr>
      <w:tr>
        <w:tc>
          <w:tcPr>
            <w:tcW w:type="dxa" w:w="14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r>
              <w:rPr>
                <w:rFonts w:ascii="Calibri" w:cs="Calibri" w:eastAsia="Calibri" w:hAnsi="Calibri"/>
                <w:b/>
                <w:bCs/>
                <w:color w:val="E65100"/>
                <w:sz w:val="20"/>
                <w:szCs w:val="20"/>
              </w:rPr>
              <w:t xml:space="preserve">P3 – Launch</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Pressemitteilung + Marketing DSGVO-konform gestalten (kein Dark Pattern)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UWG, DSGVO Art. 5</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1B5E20"/>
                <w:sz w:val="19"/>
                <w:szCs w:val="19"/>
              </w:rPr>
              <w:t xml:space="preserve">MITTEL</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r>
              <w:rPr>
                <w:rFonts w:ascii="Calibri" w:cs="Calibri" w:eastAsia="Calibri" w:hAnsi="Calibri"/>
                <w:b/>
                <w:bCs/>
                <w:color w:val="1B5E20"/>
                <w:sz w:val="20"/>
                <w:szCs w:val="20"/>
              </w:rPr>
              <w:t xml:space="preserve">P4 – Skalierung</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ELSTER-Export nach DSGVO und Datensicherheitsstandards</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 87c, 150 AO, DSGVO</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E65100"/>
                <w:sz w:val="19"/>
                <w:szCs w:val="19"/>
              </w:rPr>
              <w:t xml:space="preserve">HOCH</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r>
              <w:rPr>
                <w:rFonts w:ascii="Calibri" w:cs="Calibri" w:eastAsia="Calibri" w:hAnsi="Calibri"/>
                <w:b/>
                <w:bCs/>
                <w:color w:val="1B5E20"/>
                <w:sz w:val="20"/>
                <w:szCs w:val="20"/>
              </w:rPr>
              <w:t xml:space="preserve">P4 – Skalierung</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B2B-Kanzlei-AVV-Template für Steuerberater</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Art. 28 DSGVO, § 203 StGB</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B71C1C"/>
                <w:sz w:val="19"/>
                <w:szCs w:val="19"/>
              </w:rPr>
              <w:t xml:space="preserve">KRITISCH</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r>
              <w:rPr>
                <w:rFonts w:ascii="Calibri" w:cs="Calibri" w:eastAsia="Calibri" w:hAnsi="Calibri"/>
                <w:b/>
                <w:bCs/>
                <w:color w:val="1B5E20"/>
                <w:sz w:val="20"/>
                <w:szCs w:val="20"/>
              </w:rPr>
              <w:t xml:space="preserve">P4 – Skalierung</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AML-Screening-Modul (OFAC, EU-Sanctions) für Enterprise</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 2, 10 GwG, EU-Sanktionen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1B5E20"/>
                <w:sz w:val="19"/>
                <w:szCs w:val="19"/>
              </w:rPr>
              <w:t xml:space="preserve">MITTEL</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r>
              <w:rPr>
                <w:rFonts w:ascii="Calibri" w:cs="Calibri" w:eastAsia="Calibri" w:hAnsi="Calibri"/>
                <w:b/>
                <w:bCs/>
                <w:color w:val="1B5E20"/>
                <w:sz w:val="20"/>
                <w:szCs w:val="20"/>
              </w:rPr>
              <w:t xml:space="preserve">P4 – Skalierung</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Regulatorischer Monitoring-Dienst (BMF, BFH, ESMA, DAC8)</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9"/>
                <w:szCs w:val="19"/>
              </w:rPr>
              <w:t xml:space="preserve">Laufende Compliance-Pflicht</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E65100"/>
                <w:sz w:val="19"/>
                <w:szCs w:val="19"/>
              </w:rPr>
              <w:t xml:space="preserve">HOCH</w:t>
            </w:r>
          </w:p>
        </w:tc>
      </w:tr>
    </w:tbl>
    <w:p>
      <w:pPr>
        <w:spacing w:before="200" w:after="0"/>
      </w:pPr>
      <w:r>
        <w:t xml:space="preserve"/>
      </w:r>
    </w:p>
    <w:p>
      <w:pPr>
        <w:pBdr>
          <w:top w:val="single" w:color="0D47A1" w:sz="4" w:space="8"/>
        </w:pBdr>
        <w:spacing w:before="200" w:after="0"/>
        <w:jc w:val="center"/>
      </w:pPr>
      <w:r>
        <w:rPr>
          <w:rFonts w:ascii="Calibri" w:cs="Calibri" w:eastAsia="Calibri" w:hAnsi="Calibri"/>
          <w:i/>
          <w:iCs/>
          <w:color w:val="999999"/>
          <w:sz w:val="17"/>
          <w:szCs w:val="17"/>
        </w:rPr>
        <w:t xml:space="preserve">Regulatorische Analyse – NextGen IT Solutions GmbH, Stuttgart · März 2026 · Alle Angaben ohne Gewähr. Kein Ersatz für steuerliche oder rechtliche Beratung.</w:t>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2"/>
              <w:left w:val="single" w:color="0D47A1" w:sz="1"/>
              <w:bottom w:val="single" w:color="E65100" w:sz="6"/>
              <w:right w:val="single" w:color="0D47A1" w:sz="1"/>
            </w:tcBorders>
            <w:shd w:fill="0A3880" w:val="clear"/>
            <w:tcMar>
              <w:top w:type="dxa" w:w="160"/>
              <w:left w:type="dxa" w:w="280"/>
              <w:bottom w:type="dxa" w:w="160"/>
              <w:right w:type="dxa" w:w="200"/>
            </w:tcMar>
          </w:tcPr>
          <w:p>
            <w:pPr>
              <w:spacing w:before="0" w:after="40"/>
              <w:jc w:val="center"/>
            </w:pPr>
            <w:r>
              <w:rPr>
                <w:rFonts w:ascii="Calibri" w:cs="Calibri" w:eastAsia="Calibri" w:hAnsi="Calibri"/>
                <w:b/>
                <w:bCs/>
                <w:color w:val="FFFFFF"/>
                <w:sz w:val="40"/>
                <w:szCs w:val="40"/>
              </w:rPr>
              <w:t xml:space="preserve">ZIELNETZWERK- &amp; PLATTFORMANALYSE</w:t>
            </w:r>
          </w:p>
          <w:p>
            <w:pPr>
              <w:spacing w:before="0" w:after="0"/>
              <w:jc w:val="center"/>
            </w:pPr>
            <w:r>
              <w:rPr>
                <w:rFonts w:ascii="Calibri" w:cs="Calibri" w:eastAsia="Calibri" w:hAnsi="Calibri"/>
                <w:color w:val="B0C4DE"/>
                <w:sz w:val="22"/>
                <w:szCs w:val="22"/>
              </w:rPr>
              <w:t xml:space="preserve">Technische Bewertung · Ökosystem-Metriken · Integrations-Scorecard · Stand: März 2026</w:t>
            </w:r>
          </w:p>
        </w:tc>
      </w:tr>
    </w:tbl>
    <w:p>
      <w:pPr>
        <w:spacing w:before="200" w:after="0"/>
      </w:pPr>
      <w:r>
        <w:t xml:space="preserve"/>
      </w:r>
    </w:p>
    <w:p>
      <w:pPr>
        <w:pStyle w:val="Heading1"/>
        <w:pBdr>
          <w:bottom w:val="single" w:color="0D47A1" w:sz="4" w:space="6"/>
        </w:pBdr>
        <w:spacing w:before="360" w:after="160"/>
      </w:pPr>
      <w:r>
        <w:rPr>
          <w:rFonts w:ascii="Calibri" w:cs="Calibri" w:eastAsia="Calibri" w:hAnsi="Calibri"/>
          <w:b/>
          <w:bCs/>
          <w:color w:val="0D47A1"/>
          <w:sz w:val="36"/>
          <w:szCs w:val="36"/>
        </w:rPr>
        <w:t xml:space="preserve">N1. Flare Network – Primär-Infrastruktur</w:t>
      </w:r>
    </w:p>
    <w:p>
      <w:pPr>
        <w:spacing w:before="60" w:after="90"/>
      </w:pPr>
      <w:r>
        <w:rPr>
          <w:rFonts w:ascii="Calibri" w:cs="Calibri" w:eastAsia="Calibri" w:hAnsi="Calibri"/>
          <w:color w:val="212121"/>
          <w:sz w:val="21"/>
          <w:szCs w:val="21"/>
        </w:rPr>
        <w:t xml:space="preserve">Flare Network ist das primäre Zielnetzwerk des SaaS-Tools. Als EVM-kompatibler Layer-1-Blockchain mit integrierten Datenorakeln (FTSO, FDC) und nativer XRP/BTC/DOGE-Interoperabilität (FAssets) bildet Flare das technische Fundament für alle Flare-nativen Protokoll-Integrationen. Die folgende Analyse bewertet Flare aus Sicht der Tracking-Tool-Infrastruktur.</w:t>
      </w:r>
    </w:p>
    <w:p>
      <w:pPr>
        <w:spacing w:before="80" w:after="0"/>
      </w:pPr>
      <w:r>
        <w:t xml:space="preserve"/>
      </w:r>
    </w:p>
    <w:p>
      <w:pPr>
        <w:spacing w:before="200" w:after="80"/>
      </w:pPr>
      <w:r>
        <w:rPr>
          <w:rFonts w:ascii="Calibri" w:cs="Calibri" w:eastAsia="Calibri" w:hAnsi="Calibri"/>
          <w:b/>
          <w:bCs/>
          <w:color w:val="006064"/>
          <w:sz w:val="23"/>
          <w:szCs w:val="23"/>
        </w:rPr>
        <w:t xml:space="preserve">N1.1 Netzwerk-Kennzahlen (März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Metrik</w:t>
            </w:r>
          </w:p>
        </w:tc>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Wert</w:t>
            </w:r>
          </w:p>
        </w:tc>
        <w:tc>
          <w:tcPr>
            <w:tcW w:type="dxa" w:w="36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Bedeutung für das Tool</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Chain ID</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14 (Mainnet)</w:t>
            </w:r>
          </w:p>
        </w:tc>
        <w:tc>
          <w:tcPr>
            <w:tcW w:type="dxa" w:w="3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EVM-Konfiguration für Web3-Provider</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Nativer Token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FLR</w:t>
            </w:r>
          </w:p>
        </w:tc>
        <w:tc>
          <w:tcPr>
            <w:tcW w:type="dxa" w:w="3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Gas-Währung; Preis-Tracking via FTSO erforderlich</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Block Time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~1,8–2 Sek.</w:t>
            </w:r>
          </w:p>
        </w:tc>
        <w:tc>
          <w:tcPr>
            <w:tcW w:type="dxa" w:w="3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Schnelle TX-Bestätigungen; Echtzeit-Sync möglich</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Finality</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Single-Slot (sofort)</w:t>
            </w:r>
          </w:p>
        </w:tc>
        <w:tc>
          <w:tcPr>
            <w:tcW w:type="dxa" w:w="3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Reorg-Risiko; TX sofort unveränderlich</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Konsensmechanismus</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Snowman++ (Avalanche-Derivat, PoS)</w:t>
            </w:r>
          </w:p>
        </w:tc>
        <w:tc>
          <w:tcPr>
            <w:tcW w:type="dxa" w:w="3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Hohe Sicherheit, energieeffizient</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Durchsatz (TPS)</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100–1.000+ TPS (kapazitiv)</w:t>
            </w:r>
          </w:p>
        </w:tc>
        <w:tc>
          <w:tcPr>
            <w:tcW w:type="dxa" w:w="3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Ausreichend für DeFi-Transaktionsvolumen</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Ø Gas-Gebühr</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$0,01 / Transfer</w:t>
            </w:r>
          </w:p>
        </w:tc>
        <w:tc>
          <w:tcPr>
            <w:tcW w:type="dxa" w:w="3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Minimale Betriebskosten für Indexer-Calls</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EVM-Kompatibilität</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Vollständig (inkl. Cancun Opcodes)</w:t>
            </w:r>
          </w:p>
        </w:tc>
        <w:tc>
          <w:tcPr>
            <w:tcW w:type="dxa" w:w="3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Standard-Tools: MetaMask, Hardhat, Ethers.js</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RPC-Endpunkt</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https://flare-api.flare.network/ext/C/rpc</w:t>
            </w:r>
          </w:p>
        </w:tc>
        <w:tc>
          <w:tcPr>
            <w:tcW w:type="dxa" w:w="3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Öffentlicher Zugang; QuickNode-Abo für Produktion</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Block Explorer</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flarescan.com + flare-explorer.flare.network</w:t>
            </w:r>
          </w:p>
        </w:tc>
        <w:tc>
          <w:tcPr>
            <w:tcW w:type="dxa" w:w="3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Transaktionsvalidierung und -nachweis</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Gesamt-TVL (März 2026)</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~$149–169 Mio. USD</w:t>
            </w:r>
          </w:p>
        </w:tc>
        <w:tc>
          <w:tcPr>
            <w:tcW w:type="dxa" w:w="3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14× Wachstum seit Launch ($9,95M → $169M)</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Größte TVL-Protokolle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SparkDEX, Kinetic, Firelight (Liquid Staking)</w:t>
            </w:r>
          </w:p>
        </w:tc>
        <w:tc>
          <w:tcPr>
            <w:tcW w:type="dxa" w:w="3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Direktintegration in Phasen 1 und 4</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FAssets (FXRP locked)</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132 Mio. FXRP in DeFi Protocols</w:t>
            </w:r>
          </w:p>
        </w:tc>
        <w:tc>
          <w:tcPr>
            <w:tcW w:type="dxa" w:w="3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Wachstumstreiber 2026: XRPFi-Narrative</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N1.2 Flare-spezifische Datenquellen für das Tracking-Tool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800"/>
        <w:gridCol w:w="1826"/>
      </w:tblGrid>
      <w:tr>
        <w:trPr>
          <w:tblHeader/>
        </w:trPr>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Datenquelle</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Typ</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Verfügbarkeit</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Qualität</w:t>
            </w:r>
          </w:p>
        </w:tc>
        <w:tc>
          <w:tcPr>
            <w:tcW w:type="dxa" w:w="1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Nutzung im Tool</w:t>
            </w:r>
          </w:p>
        </w:tc>
      </w:tr>
      <w:tr>
        <w:tc>
          <w:tcPr>
            <w:tcW w:type="dxa" w:w="26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FTSO (Flare Time Series Oracle)</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On-Chain Price Feed</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Kostenlos, On-Chain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Dezentral, tamper-proof</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EUR/Token-Kursbewertung (BMF 2025 Rz. 43)</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Flare JSON-RPC</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Block/TX-Daten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Öffentlich (Rate-Limited)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Standard EVM</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TX-Indexierung, Event-Logs</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Flarescan API</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Block Explorer API</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Öffentlich</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Good Coverage</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TX-Validierung, Kontostände</w:t>
            </w:r>
          </w:p>
        </w:tc>
      </w:tr>
      <w:tr>
        <w:tc>
          <w:tcPr>
            <w:tcW w:type="dxa" w:w="26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SparkDEX Subgraph (The Graph)</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GraphQL</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Öffentlich</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Vollständig</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Pool/Swap/Position-Daten SparkDEX</w:t>
            </w:r>
          </w:p>
        </w:tc>
      </w:tr>
      <w:tr>
        <w:tc>
          <w:tcPr>
            <w:tcW w:type="dxa" w:w="26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Ēnosys Subgraph</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GraphQL</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Öffentlich</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Gut</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AMM/Farm/Loans-Daten Ēnosys</w:t>
            </w:r>
          </w:p>
        </w:tc>
      </w:tr>
      <w:tr>
        <w:tc>
          <w:tcPr>
            <w:tcW w:type="dxa" w:w="26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Flare Systems Explorer API</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FTSO/FDC-Daten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Öffentlich</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Vollständig</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Delegation Rewards, FTSO-Epochen</w:t>
            </w:r>
          </w:p>
        </w:tc>
      </w:tr>
      <w:tr>
        <w:tc>
          <w:tcPr>
            <w:tcW w:type="dxa" w:w="26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FDC (Flare Data Connector)</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Cross-Chain Attestation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On-Chain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Vertrauenswürdig</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Bridge TX-Validierung</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N1.3 Flare 2.0 Roadmap – Relevanz für das SaaS-Tool</w:t>
      </w:r>
    </w:p>
    <w:p>
      <w:pPr>
        <w:spacing w:before="60" w:after="90"/>
      </w:pPr>
      <w:r>
        <w:rPr>
          <w:rFonts w:ascii="Calibri" w:cs="Calibri" w:eastAsia="Calibri" w:hAnsi="Calibri"/>
          <w:color w:val="212121"/>
          <w:sz w:val="21"/>
          <w:szCs w:val="21"/>
        </w:rPr>
        <w:t xml:space="preserve">Flare hat für Q3 2026 'Flare 2.0' angekündigt – eine Upgrade-Welle mit Trusted Execution Environments (TEEs), Protocol Managed Wallets (PMWs) und Flare Compute Cloud (FCC). Diese Neuerungen haben direkte Relevanz für die Tracking-Tool-Architektur:</w:t>
      </w:r>
    </w:p>
    <w:p>
      <w:pPr>
        <w:pStyle w:val="ListParagraph"/>
        <w:numPr>
          <w:ilvl w:val="0"/>
          <w:numId w:val="7"/>
        </w:numPr>
        <w:spacing w:before="40" w:after="40"/>
      </w:pPr>
      <w:r>
        <w:rPr>
          <w:rFonts w:ascii="Calibri" w:cs="Calibri" w:eastAsia="Calibri" w:hAnsi="Calibri"/>
          <w:b w:val="false"/>
          <w:bCs w:val="false"/>
          <w:color w:val="212121"/>
          <w:sz w:val="21"/>
          <w:szCs w:val="21"/>
        </w:rPr>
        <w:t xml:space="preserve">TEEs (Trusted Execution Environments): Ermöglichen vertrauliche Off-Chain-Berechnungen mit On-Chain-Verifikation – potenziell für zukünftige Privacy-Features im Tool nutzbar</w:t>
      </w:r>
    </w:p>
    <w:p>
      <w:pPr>
        <w:pStyle w:val="ListParagraph"/>
        <w:numPr>
          <w:ilvl w:val="0"/>
          <w:numId w:val="7"/>
        </w:numPr>
        <w:spacing w:before="40" w:after="40"/>
      </w:pPr>
      <w:r>
        <w:rPr>
          <w:rFonts w:ascii="Calibri" w:cs="Calibri" w:eastAsia="Calibri" w:hAnsi="Calibri"/>
          <w:b w:val="false"/>
          <w:bCs w:val="false"/>
          <w:color w:val="212121"/>
          <w:sz w:val="21"/>
          <w:szCs w:val="21"/>
        </w:rPr>
        <w:t xml:space="preserve">Protocol Managed Wallets: Automatisierte Wallet-Operationen On-Chain – könnte zukünftige automatische Steuerreport-Erstellung On-Chain ermöglichen</w:t>
      </w:r>
    </w:p>
    <w:p>
      <w:pPr>
        <w:pStyle w:val="ListParagraph"/>
        <w:numPr>
          <w:ilvl w:val="0"/>
          <w:numId w:val="7"/>
        </w:numPr>
        <w:spacing w:before="40" w:after="40"/>
      </w:pPr>
      <w:r>
        <w:rPr>
          <w:rFonts w:ascii="Calibri" w:cs="Calibri" w:eastAsia="Calibri" w:hAnsi="Calibri"/>
          <w:b w:val="false"/>
          <w:bCs w:val="false"/>
          <w:color w:val="212121"/>
          <w:sz w:val="21"/>
          <w:szCs w:val="21"/>
        </w:rPr>
        <w:t xml:space="preserve">Flare Compute Cloud (FCC): AI/ML-Berechnungen dezentral – für erweiterte Transaktions-Klassifikation via On-Chain-Modelle interessant</w:t>
      </w:r>
    </w:p>
    <w:p>
      <w:pPr>
        <w:pStyle w:val="ListParagraph"/>
        <w:numPr>
          <w:ilvl w:val="0"/>
          <w:numId w:val="7"/>
        </w:numPr>
        <w:spacing w:before="40" w:after="40"/>
      </w:pPr>
      <w:r>
        <w:rPr>
          <w:rFonts w:ascii="Calibri" w:cs="Calibri" w:eastAsia="Calibri" w:hAnsi="Calibri"/>
          <w:b w:val="false"/>
          <w:bCs w:val="false"/>
          <w:color w:val="212121"/>
          <w:sz w:val="21"/>
          <w:szCs w:val="21"/>
        </w:rPr>
        <w:t xml:space="preserve">Institutional XRPFi (VivoPower $100M): Steigende institutionelle Nutzung → mehr Tracking-Bedarf im B2B-Segment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
              <w:left w:val="thick" w:color="0D47A1" w:sz="18"/>
              <w:bottom w:val="single" w:color="0D47A1" w:sz="1"/>
              <w:right w:val="single" w:color="0D47A1" w:sz="1"/>
            </w:tcBorders>
            <w:shd w:fill="E3F2FD" w:val="clear"/>
            <w:tcMar>
              <w:top w:type="dxa" w:w="110"/>
              <w:left w:type="dxa" w:w="200"/>
              <w:bottom w:type="dxa" w:w="110"/>
              <w:right w:type="dxa" w:w="140"/>
            </w:tcMar>
          </w:tcPr>
          <w:p>
            <w:pPr>
              <w:spacing w:before="0" w:after="40"/>
            </w:pPr>
            <w:r>
              <w:rPr>
                <w:rFonts w:ascii="Calibri" w:cs="Calibri" w:eastAsia="Calibri" w:hAnsi="Calibri"/>
                <w:b/>
                <w:bCs/>
                <w:color w:val="0D47A1"/>
                <w:sz w:val="21"/>
                <w:szCs w:val="21"/>
              </w:rPr>
              <w:t xml:space="preserve">Tool-Maßnahme: Flare 2.0 Monitoring</w:t>
            </w:r>
          </w:p>
          <w:p>
            <w:pPr>
              <w:spacing w:before="0" w:after="0"/>
            </w:pPr>
            <w:r>
              <w:rPr>
                <w:rFonts w:ascii="Calibri" w:cs="Calibri" w:eastAsia="Calibri" w:hAnsi="Calibri"/>
                <w:color w:val="212121"/>
                <w:sz w:val="20"/>
                <w:szCs w:val="20"/>
              </w:rPr>
              <w:t xml:space="preserve">Ab Q3 2026 muss das Tool die neuen Flare-2.0-Transaktionstypen (TEE-Calls, PMW-Operationen) kennen und korrekt klassifizieren. Ein dediziertes Update-Sprint ist für Q3 2026 in der Roadmap vorzusehen. Die FCC-Infrastruktur bietet langfristig die Möglichkeit, Steuerberechnungen dezentral und vertrauenswürdig On-Chain durchzuführen.</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N2. Plattformmetriken – Alle 6 Zielprotokolle</w:t>
      </w:r>
    </w:p>
    <w:p>
      <w:pPr>
        <w:spacing w:before="60" w:after="90"/>
      </w:pPr>
      <w:r>
        <w:rPr>
          <w:rFonts w:ascii="Calibri" w:cs="Calibri" w:eastAsia="Calibri" w:hAnsi="Calibri"/>
          <w:color w:val="212121"/>
          <w:sz w:val="21"/>
          <w:szCs w:val="21"/>
        </w:rPr>
        <w:t xml:space="preserve">Die folgende Analyse bewertet jede der sechs Ziel-Plattformen nach einheitlichen Metriken: TVL, Handelsvolumen, Nutzeraktivität, Audit-Status, Datenqualität und Integrationskomplexität. Dies bildet die objektive Grundlage für die Priorisierungsentscheidungen in der Entwicklungs-Roadmap.</w:t>
      </w:r>
    </w:p>
    <w:p>
      <w:pPr>
        <w:spacing w:before="100" w:after="0"/>
      </w:pPr>
      <w:r>
        <w:t xml:space="preserve"/>
      </w:r>
    </w:p>
    <w:p>
      <w:pPr>
        <w:spacing w:before="200" w:after="80"/>
      </w:pPr>
      <w:r>
        <w:rPr>
          <w:rFonts w:ascii="Calibri" w:cs="Calibri" w:eastAsia="Calibri" w:hAnsi="Calibri"/>
          <w:b/>
          <w:bCs/>
          <w:color w:val="0D47A1"/>
          <w:sz w:val="23"/>
          <w:szCs w:val="23"/>
        </w:rPr>
        <w:t xml:space="preserve">N2.1 SparkDEX – Metriken &amp; Integrationsbewertung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sz="10"/>
              <w:left w:val="single" w:color="CFD8DC" w:sz="1"/>
              <w:bottom w:val="single" w:color="CFD8DC" w:sz="1"/>
              <w:right w:val="single" w:color="CFD8DC" w:sz="1"/>
            </w:tcBorders>
            <w:shd w:val="clear"/>
            <w:tcMar>
              <w:top w:type="dxa" w:w="80"/>
              <w:left w:type="dxa" w:w="130"/>
              <w:bottom w:type="dxa" w:w="80"/>
              <w:right w:type="dxa" w:w="80"/>
            </w:tcMar>
          </w:tcPr>
          <w:p>
            <w:r>
              <w:rPr>
                <w:rFonts w:ascii="Calibri" w:cs="Calibri" w:eastAsia="Calibri" w:hAnsi="Calibri"/>
                <w:b/>
                <w:bCs/>
                <w:sz w:val="22"/>
                <w:szCs w:val="22"/>
              </w:rPr>
              <w:t xml:space="preserve">SparkDEX V4</w:t>
            </w:r>
          </w:p>
          <w:p>
            <w:r>
              <w:rPr>
                <w:rFonts w:ascii="Calibri" w:cs="Calibri" w:eastAsia="Calibri" w:hAnsi="Calibri"/>
                <w:color w:val="546E7A"/>
                <w:sz w:val="18"/>
                <w:szCs w:val="18"/>
              </w:rPr>
              <w:t xml:space="preserve">DEX – AMM + Perpetuals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TVL</w:t>
            </w:r>
          </w:p>
          <w:p>
            <w:r>
              <w:rPr>
                <w:rFonts w:ascii="Calibri" w:cs="Calibri" w:eastAsia="Calibri" w:hAnsi="Calibri"/>
                <w:b/>
                <w:bCs/>
                <w:color w:val="212121"/>
                <w:sz w:val="20"/>
                <w:szCs w:val="20"/>
              </w:rPr>
              <w:t xml:space="preserve">~$63–85M TVL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Ø Vol./Tag</w:t>
            </w:r>
          </w:p>
          <w:p>
            <w:r>
              <w:rPr>
                <w:rFonts w:ascii="Calibri" w:cs="Calibri" w:eastAsia="Calibri" w:hAnsi="Calibri"/>
                <w:b/>
                <w:bCs/>
                <w:color w:val="212121"/>
                <w:sz w:val="20"/>
                <w:szCs w:val="20"/>
              </w:rPr>
              <w:t xml:space="preserve">~$3–15M/Tag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Chains</w:t>
            </w:r>
          </w:p>
          <w:p>
            <w:r>
              <w:rPr>
                <w:rFonts w:ascii="Calibri" w:cs="Calibri" w:eastAsia="Calibri" w:hAnsi="Calibri"/>
                <w:b/>
                <w:bCs/>
                <w:color w:val="212121"/>
                <w:sz w:val="20"/>
                <w:szCs w:val="20"/>
              </w:rPr>
              <w:t xml:space="preserve">Flare (primär)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Audits</w:t>
            </w:r>
          </w:p>
          <w:p>
            <w:r>
              <w:rPr>
                <w:rFonts w:ascii="Calibri" w:cs="Calibri" w:eastAsia="Calibri" w:hAnsi="Calibri"/>
                <w:b/>
                <w:bCs/>
                <w:color w:val="212121"/>
                <w:sz w:val="20"/>
                <w:szCs w:val="20"/>
              </w:rPr>
              <w:t xml:space="preserve">Certik, PeckShield</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Metrik</w:t>
            </w:r>
          </w:p>
        </w:tc>
        <w:tc>
          <w:tcPr>
            <w:tcW w:type="dxa" w:w="3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Wert / Status</w:t>
            </w:r>
          </w:p>
        </w:tc>
        <w:tc>
          <w:tcPr>
            <w:tcW w:type="dxa" w:w="31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Bewertung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Gesamthandelsvolumen</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$4,0 Mrd. kumulativ (Launch 2024 – Mrz 2026)</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Marktführer auf Flare</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TVL (März 2026)</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$45–85 Mio. (je nach Marktphase; ATH $85M)</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Stark gewachsen (+650% in 2025)</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Protokoll-Version</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V4 (Algebra Integral v1.2.2) – Feb 2026</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Sehr aktuell – Tracking-Anpassung nötig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Subgraph (The Graph)</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Vorhanden – V3 + V4 getrennt</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Gut, V4-Subgraph noch in Entwicklung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Smart Contract Audits</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Certik, QuickAudit; V4 in Audit-Phase</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Solide; V4-Audit abwarten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Token ($SPRK)</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IDO via TrustSwap; Revenue-Sharing</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Governance-Token mit realen Cashflows</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API-Datenvollständigkeit</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Swap, LP, Farm, Perps Events vollständig</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Vollständige On-Chain-Daten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Integrationskomplexität</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Mittel-Hoch (V4 atomare Multi-Aktion-TX)</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V4 erfordert erweiterten TX-Dekoder</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Tracking-Priorität</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Phase 1 MVP (kritisch)</w:t>
            </w:r>
          </w:p>
        </w:tc>
        <w:tc>
          <w:tcPr>
            <w:tcW w:type="dxa" w:w="3126"/>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 ERSTE PRIORITÄT</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1"/>
              <w:left w:val="thick" w:color="E65100" w:sz="18"/>
              <w:bottom w:val="single" w:color="E65100" w:sz="1"/>
              <w:right w:val="single" w:color="E65100" w:sz="1"/>
            </w:tcBorders>
            <w:shd w:fill="FFF8E1" w:val="clear"/>
            <w:tcMar>
              <w:top w:type="dxa" w:w="110"/>
              <w:left w:type="dxa" w:w="200"/>
              <w:bottom w:type="dxa" w:w="110"/>
              <w:right w:type="dxa" w:w="140"/>
            </w:tcMar>
          </w:tcPr>
          <w:p>
            <w:pPr>
              <w:spacing w:before="0" w:after="40"/>
            </w:pPr>
            <w:r>
              <w:rPr>
                <w:rFonts w:ascii="Calibri" w:cs="Calibri" w:eastAsia="Calibri" w:hAnsi="Calibri"/>
                <w:b/>
                <w:bCs/>
                <w:color w:val="E65100"/>
                <w:sz w:val="21"/>
                <w:szCs w:val="21"/>
              </w:rPr>
              <w:t xml:space="preserve">V4 Tracking-Herausforderung</w:t>
            </w:r>
          </w:p>
          <w:p>
            <w:pPr>
              <w:spacing w:before="0" w:after="0"/>
            </w:pPr>
            <w:r>
              <w:rPr>
                <w:rFonts w:ascii="Calibri" w:cs="Calibri" w:eastAsia="Calibri" w:hAnsi="Calibri"/>
                <w:color w:val="212121"/>
                <w:sz w:val="20"/>
                <w:szCs w:val="20"/>
              </w:rPr>
              <w:t xml:space="preserve">SparkDEX V4 führt ein unified In-Memory-Accounting-Modell ein, das mehrere Aktionen (Swap + LP-Anpassung + Kollateral-Update) in einer einzigen atomaren Transaktion zusammenfasst. Das Tracking-Tool muss eine spezielle V4-TX-Dekompositions-Logik implementieren, die solche zusammengesetzten Transaktionen korrekt in Einzel-Events aufschlüsselt. V3-Subgraph bleibt parallel aktiv – beide Versionen müssen im Index-System koexistieren.</w:t>
            </w:r>
          </w:p>
        </w:tc>
      </w:tr>
    </w:tbl>
    <w:p>
      <w:pPr>
        <w:spacing w:before="120" w:after="0"/>
      </w:pPr>
      <w:r>
        <w:t xml:space="preserve"/>
      </w:r>
    </w:p>
    <w:p>
      <w:pPr>
        <w:spacing w:before="200" w:after="80"/>
      </w:pPr>
      <w:r>
        <w:rPr>
          <w:rFonts w:ascii="Calibri" w:cs="Calibri" w:eastAsia="Calibri" w:hAnsi="Calibri"/>
          <w:b/>
          <w:bCs/>
          <w:color w:val="0D47A1"/>
          <w:sz w:val="23"/>
          <w:szCs w:val="23"/>
        </w:rPr>
        <w:t xml:space="preserve">N2.2 Ēnosys DEX – Metriken &amp; Integrationsbewertung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sz="10"/>
              <w:left w:val="single" w:color="CFD8DC" w:sz="1"/>
              <w:bottom w:val="single" w:color="CFD8DC" w:sz="1"/>
              <w:right w:val="single" w:color="CFD8DC" w:sz="1"/>
            </w:tcBorders>
            <w:shd w:val="clear"/>
            <w:tcMar>
              <w:top w:type="dxa" w:w="80"/>
              <w:left w:type="dxa" w:w="130"/>
              <w:bottom w:type="dxa" w:w="80"/>
              <w:right w:type="dxa" w:w="80"/>
            </w:tcMar>
          </w:tcPr>
          <w:p>
            <w:r>
              <w:rPr>
                <w:rFonts w:ascii="Calibri" w:cs="Calibri" w:eastAsia="Calibri" w:hAnsi="Calibri"/>
                <w:b/>
                <w:bCs/>
                <w:sz w:val="22"/>
                <w:szCs w:val="22"/>
              </w:rPr>
              <w:t xml:space="preserve">Ēnosys DeFi Suite</w:t>
            </w:r>
          </w:p>
          <w:p>
            <w:r>
              <w:rPr>
                <w:rFonts w:ascii="Calibri" w:cs="Calibri" w:eastAsia="Calibri" w:hAnsi="Calibri"/>
                <w:color w:val="546E7A"/>
                <w:sz w:val="18"/>
                <w:szCs w:val="18"/>
              </w:rPr>
              <w:t xml:space="preserve">DEX + CDP + Farm + Bridge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TVL</w:t>
            </w:r>
          </w:p>
          <w:p>
            <w:r>
              <w:rPr>
                <w:rFonts w:ascii="Calibri" w:cs="Calibri" w:eastAsia="Calibri" w:hAnsi="Calibri"/>
                <w:b/>
                <w:bCs/>
                <w:color w:val="212121"/>
                <w:sz w:val="20"/>
                <w:szCs w:val="20"/>
              </w:rPr>
              <w:t xml:space="preserve">~$15–35M TVL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Ø Vol./Tag</w:t>
            </w:r>
          </w:p>
          <w:p>
            <w:r>
              <w:rPr>
                <w:rFonts w:ascii="Calibri" w:cs="Calibri" w:eastAsia="Calibri" w:hAnsi="Calibri"/>
                <w:b/>
                <w:bCs/>
                <w:color w:val="212121"/>
                <w:sz w:val="20"/>
                <w:szCs w:val="20"/>
              </w:rPr>
              <w:t xml:space="preserve">~$1–5M/Tag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Chains</w:t>
            </w:r>
          </w:p>
          <w:p>
            <w:r>
              <w:rPr>
                <w:rFonts w:ascii="Calibri" w:cs="Calibri" w:eastAsia="Calibri" w:hAnsi="Calibri"/>
                <w:b/>
                <w:bCs/>
                <w:color w:val="212121"/>
                <w:sz w:val="20"/>
                <w:szCs w:val="20"/>
              </w:rPr>
              <w:t xml:space="preserve">Flare + Songbird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Audits</w:t>
            </w:r>
          </w:p>
          <w:p>
            <w:r>
              <w:rPr>
                <w:rFonts w:ascii="Calibri" w:cs="Calibri" w:eastAsia="Calibri" w:hAnsi="Calibri"/>
                <w:b/>
                <w:bCs/>
                <w:color w:val="212121"/>
                <w:sz w:val="20"/>
                <w:szCs w:val="20"/>
              </w:rPr>
              <w:t xml:space="preserve">Halborn, Veridise</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Metrik</w:t>
            </w:r>
          </w:p>
        </w:tc>
        <w:tc>
          <w:tcPr>
            <w:tcW w:type="dxa" w:w="3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Wert / Status</w:t>
            </w:r>
          </w:p>
        </w:tc>
        <w:tc>
          <w:tcPr>
            <w:tcW w:type="dxa" w:w="31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Bewertung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TVL (März 2026)</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~$15–35 Mio. (Flare); +37,5% nach USDT0-Integration</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Wachsend – XRP-CDP-Treiber</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CDP-Protokoll (Enosys Loans)</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$3,5–3,6 Mio. TVL; 1,6 Mio. CDP erstellt (Dez 2025)</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Schnelles Wachstum seit Launch</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Subgraph (The Graph)</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Vorhanden für DEX V2/V3; Loans in Entwicklung</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DEX vollständig; Loans-Subgraph ausstehend</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Smart Contract Audits</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Halborn (DEX), Veridise (Loans/CDP); 11-Env.-Testing</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Akademisch rigoroses Audit-Verfahren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Governance Tokens</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APS (Apsis) + HLN (Helion) – beide trackbar</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Dual-Token-Governance</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Songbird Canary Network</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Experimental Finance (SGB) parallel aktiv</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Dual-Network: Separate Indexierung nötig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API-Datenvollständigkeit</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DEX vollständig; CDP/Loans noch begrenzt</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DEX OK; Loans-Events manuell dekodieren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Integrationskomplexität</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 (DEX wie Uniswap V3); Hoch (CDP neu)</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CDP-Protokoll erfordert Liquity V2-ABI-Kenntnisse</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Tracking-Priorität</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Phase 1 MVP (kritisch)</w:t>
            </w:r>
          </w:p>
        </w:tc>
        <w:tc>
          <w:tcPr>
            <w:tcW w:type="dxa" w:w="3126"/>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 ZWEITE PRIORITÄT</w:t>
            </w:r>
          </w:p>
        </w:tc>
      </w:tr>
    </w:tbl>
    <w:p>
      <w:pPr>
        <w:spacing w:before="120" w:after="0"/>
      </w:pPr>
      <w:r>
        <w:t xml:space="preserve"/>
      </w:r>
    </w:p>
    <w:p>
      <w:pPr>
        <w:spacing w:before="200" w:after="80"/>
      </w:pPr>
      <w:r>
        <w:rPr>
          <w:rFonts w:ascii="Calibri" w:cs="Calibri" w:eastAsia="Calibri" w:hAnsi="Calibri"/>
          <w:b/>
          <w:bCs/>
          <w:color w:val="0D47A1"/>
          <w:sz w:val="23"/>
          <w:szCs w:val="23"/>
        </w:rPr>
        <w:t xml:space="preserve">N2.3 Kinetic Market – Metriken &amp; Integrationsbewertung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sz="10"/>
              <w:left w:val="single" w:color="CFD8DC" w:sz="1"/>
              <w:bottom w:val="single" w:color="CFD8DC" w:sz="1"/>
              <w:right w:val="single" w:color="CFD8DC" w:sz="1"/>
            </w:tcBorders>
            <w:shd w:val="clear"/>
            <w:tcMar>
              <w:top w:type="dxa" w:w="80"/>
              <w:left w:type="dxa" w:w="130"/>
              <w:bottom w:type="dxa" w:w="80"/>
              <w:right w:type="dxa" w:w="80"/>
            </w:tcMar>
          </w:tcPr>
          <w:p>
            <w:r>
              <w:rPr>
                <w:rFonts w:ascii="Calibri" w:cs="Calibri" w:eastAsia="Calibri" w:hAnsi="Calibri"/>
                <w:b/>
                <w:bCs/>
                <w:sz w:val="22"/>
                <w:szCs w:val="22"/>
              </w:rPr>
              <w:t xml:space="preserve">Kinetic Market</w:t>
            </w:r>
          </w:p>
          <w:p>
            <w:r>
              <w:rPr>
                <w:rFonts w:ascii="Calibri" w:cs="Calibri" w:eastAsia="Calibri" w:hAnsi="Calibri"/>
                <w:color w:val="546E7A"/>
                <w:sz w:val="18"/>
                <w:szCs w:val="18"/>
              </w:rPr>
              <w:t xml:space="preserve">Lending / Borrowing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TVL</w:t>
            </w:r>
          </w:p>
          <w:p>
            <w:r>
              <w:rPr>
                <w:rFonts w:ascii="Calibri" w:cs="Calibri" w:eastAsia="Calibri" w:hAnsi="Calibri"/>
                <w:b/>
                <w:bCs/>
                <w:color w:val="212121"/>
                <w:sz w:val="20"/>
                <w:szCs w:val="20"/>
              </w:rPr>
              <w:t xml:space="preserve">~$20–40M TVL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Ø Vol./Tag</w:t>
            </w:r>
          </w:p>
          <w:p>
            <w:r>
              <w:rPr>
                <w:rFonts w:ascii="Calibri" w:cs="Calibri" w:eastAsia="Calibri" w:hAnsi="Calibri"/>
                <w:b/>
                <w:bCs/>
                <w:color w:val="212121"/>
                <w:sz w:val="20"/>
                <w:szCs w:val="20"/>
              </w:rPr>
              <w:t xml:space="preserve">~$2–8M Borrows/Tag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Chains</w:t>
            </w:r>
          </w:p>
          <w:p>
            <w:r>
              <w:rPr>
                <w:rFonts w:ascii="Calibri" w:cs="Calibri" w:eastAsia="Calibri" w:hAnsi="Calibri"/>
                <w:b/>
                <w:bCs/>
                <w:color w:val="212121"/>
                <w:sz w:val="20"/>
                <w:szCs w:val="20"/>
              </w:rPr>
              <w:t xml:space="preserve">Flare + Soroban (Stellar)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Audits</w:t>
            </w:r>
          </w:p>
          <w:p>
            <w:r>
              <w:rPr>
                <w:rFonts w:ascii="Calibri" w:cs="Calibri" w:eastAsia="Calibri" w:hAnsi="Calibri"/>
                <w:b/>
                <w:bCs/>
                <w:color w:val="212121"/>
                <w:sz w:val="20"/>
                <w:szCs w:val="20"/>
              </w:rPr>
              <w:t xml:space="preserve">Watchpug, Immunefi</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Metrik</w:t>
            </w:r>
          </w:p>
        </w:tc>
        <w:tc>
          <w:tcPr>
            <w:tcW w:type="dxa" w:w="3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Wert / Status</w:t>
            </w:r>
          </w:p>
        </w:tc>
        <w:tc>
          <w:tcPr>
            <w:tcW w:type="dxa" w:w="31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Bewertung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TVL (März 2026)</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~$20–40 Mio. (Flare-Seite); Rekordwachstum nach USDT0</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Führendes Lending-Protokoll auf Flare</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USDT0 Anti-Looping-Regeln</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Emissions-Regeln des Flare Emissions Committee</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Spezialbehandlung USDT0 APY im Tool nötig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Compound V2-Kompatibilität</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Basiert auf Compound-Fork (wie BENQI)</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Gut dokumentierte Events und ABIs</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Bug Bounty (Immunefi)</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Aktives Bug-Bounty-Programm live</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Höchste Sicherheitspriorität</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Smart Contract Audits</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Watchpug (Smart Contracts), RBL-Infrastruktur</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Rome Blockchain Labs Track Record</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Soroban-Integration</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Stellar Smart Contract Platform parallel</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Zweite Chain = separater Indexer nötig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Primary / ISO Markets</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Zwei Markt-Typen mit unterschiedlichen Regeln</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Differenzierung im Tool erforderlich</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API-Datenvollständigkeit</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Supply/Borrow/Liquidation Events via Compound-ABI</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Vollständig für Flare; Soroban in Entwicklung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Tracking-Priorität</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Phase 1 MVP (kritisch)</w:t>
            </w:r>
          </w:p>
        </w:tc>
        <w:tc>
          <w:tcPr>
            <w:tcW w:type="dxa" w:w="3126"/>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 DRITTE PRIORITÄT</w:t>
            </w:r>
          </w:p>
        </w:tc>
      </w:tr>
    </w:tbl>
    <w:p>
      <w:pPr>
        <w:spacing w:before="120" w:after="0"/>
      </w:pPr>
      <w:r>
        <w:t xml:space="preserve"/>
      </w:r>
    </w:p>
    <w:p>
      <w:pPr>
        <w:spacing w:before="200" w:after="80"/>
      </w:pPr>
      <w:r>
        <w:rPr>
          <w:rFonts w:ascii="Calibri" w:cs="Calibri" w:eastAsia="Calibri" w:hAnsi="Calibri"/>
          <w:b/>
          <w:bCs/>
          <w:color w:val="0D47A1"/>
          <w:sz w:val="23"/>
          <w:szCs w:val="23"/>
        </w:rPr>
        <w:t xml:space="preserve">N2.4 Stargate Finance – Metriken &amp; Integrationsbewertung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sz="10"/>
              <w:left w:val="single" w:color="CFD8DC" w:sz="1"/>
              <w:bottom w:val="single" w:color="CFD8DC" w:sz="1"/>
              <w:right w:val="single" w:color="CFD8DC" w:sz="1"/>
            </w:tcBorders>
            <w:shd w:val="clear"/>
            <w:tcMar>
              <w:top w:type="dxa" w:w="80"/>
              <w:left w:type="dxa" w:w="130"/>
              <w:bottom w:type="dxa" w:w="80"/>
              <w:right w:type="dxa" w:w="80"/>
            </w:tcMar>
          </w:tcPr>
          <w:p>
            <w:r>
              <w:rPr>
                <w:rFonts w:ascii="Calibri" w:cs="Calibri" w:eastAsia="Calibri" w:hAnsi="Calibri"/>
                <w:b/>
                <w:bCs/>
                <w:sz w:val="22"/>
                <w:szCs w:val="22"/>
              </w:rPr>
              <w:t xml:space="preserve">Stargate Finance V2</w:t>
            </w:r>
          </w:p>
          <w:p>
            <w:r>
              <w:rPr>
                <w:rFonts w:ascii="Calibri" w:cs="Calibri" w:eastAsia="Calibri" w:hAnsi="Calibri"/>
                <w:color w:val="546E7A"/>
                <w:sz w:val="18"/>
                <w:szCs w:val="18"/>
              </w:rPr>
              <w:t xml:space="preserve">Omnichain Bridge / Liquidity</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TVL</w:t>
            </w:r>
          </w:p>
          <w:p>
            <w:r>
              <w:rPr>
                <w:rFonts w:ascii="Calibri" w:cs="Calibri" w:eastAsia="Calibri" w:hAnsi="Calibri"/>
                <w:b/>
                <w:bCs/>
                <w:color w:val="212121"/>
                <w:sz w:val="20"/>
                <w:szCs w:val="20"/>
              </w:rPr>
              <w:t xml:space="preserve">&gt;$500M TVL gesamt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Ø Vol./Tag</w:t>
            </w:r>
          </w:p>
          <w:p>
            <w:r>
              <w:rPr>
                <w:rFonts w:ascii="Calibri" w:cs="Calibri" w:eastAsia="Calibri" w:hAnsi="Calibri"/>
                <w:b/>
                <w:bCs/>
                <w:color w:val="212121"/>
                <w:sz w:val="20"/>
                <w:szCs w:val="20"/>
              </w:rPr>
              <w:t xml:space="preserve">~$50–200M/Tag Bridge-Vol.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Chains</w:t>
            </w:r>
          </w:p>
          <w:p>
            <w:r>
              <w:rPr>
                <w:rFonts w:ascii="Calibri" w:cs="Calibri" w:eastAsia="Calibri" w:hAnsi="Calibri"/>
                <w:b/>
                <w:bCs/>
                <w:color w:val="212121"/>
                <w:sz w:val="20"/>
                <w:szCs w:val="20"/>
              </w:rPr>
              <w:t xml:space="preserve">80+ Chains inkl. Flare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Audits</w:t>
            </w:r>
          </w:p>
          <w:p>
            <w:r>
              <w:rPr>
                <w:rFonts w:ascii="Calibri" w:cs="Calibri" w:eastAsia="Calibri" w:hAnsi="Calibri"/>
                <w:b/>
                <w:bCs/>
                <w:color w:val="212121"/>
                <w:sz w:val="20"/>
                <w:szCs w:val="20"/>
              </w:rPr>
              <w:t xml:space="preserve">Quantstamp, Consensys Diligence</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Metrik</w:t>
            </w:r>
          </w:p>
        </w:tc>
        <w:tc>
          <w:tcPr>
            <w:tcW w:type="dxa" w:w="3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Wert / Status</w:t>
            </w:r>
          </w:p>
        </w:tc>
        <w:tc>
          <w:tcPr>
            <w:tcW w:type="dxa" w:w="31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Bewertung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Gesamt-TVL</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$500M–$1,5 Mrd. (chain-übergreifend, variiert)</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Marktführer Cross-Chain Bridges</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Bridge-Volumen</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$50–200 Mio./Tag (alle Chains kombiniert)</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Größter Omnichain-Bridge nach Volumen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Chain-Coverage</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80+ Chains inkl. Flare, Ethereum, Arbitrum, Polygon</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Maximale Reichweite</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LayerZero V2-Integration</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Aktiv; DVN-basierte Sicherheit</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State-of-the-Art Cross-Chain Security</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Smart Contract Audits</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Quantstamp (2022 + V2-Update), Consensys Diligence</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Mehrfach auditiert</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TX-Verknüpfung Cross-Chain</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LayerZero Message-ID als Cross-Chain-Anker</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KRITISCH: Beide Chain-TX müssen verknüpft werden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Subgraph (The Graph)</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Vorhanden für V1; V2 in Entwicklung</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V1 vollständig; V2-Migration abwarten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Integrationskomplexität</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HOCH (multi-chain TX-Matching)</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Höchste Komplexität aller 6 Protokolle</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Tracking-Priorität</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Phase 4 Skalierung</w:t>
            </w:r>
          </w:p>
        </w:tc>
        <w:tc>
          <w:tcPr>
            <w:tcW w:type="dxa" w:w="3126"/>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 PHASE 4 – Nach MVP</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thick" w:color="B71C1C" w:sz="18"/>
              <w:bottom w:val="single" w:color="B71C1C" w:sz="1"/>
              <w:right w:val="single" w:color="B71C1C" w:sz="1"/>
            </w:tcBorders>
            <w:shd w:fill="FFEBEE" w:val="clear"/>
            <w:tcMar>
              <w:top w:type="dxa" w:w="110"/>
              <w:left w:type="dxa" w:w="200"/>
              <w:bottom w:type="dxa" w:w="110"/>
              <w:right w:type="dxa" w:w="140"/>
            </w:tcMar>
          </w:tcPr>
          <w:p>
            <w:pPr>
              <w:spacing w:before="0" w:after="40"/>
            </w:pPr>
            <w:r>
              <w:rPr>
                <w:rFonts w:ascii="Calibri" w:cs="Calibri" w:eastAsia="Calibri" w:hAnsi="Calibri"/>
                <w:b/>
                <w:bCs/>
                <w:color w:val="B71C1C"/>
                <w:sz w:val="21"/>
                <w:szCs w:val="21"/>
              </w:rPr>
              <w:t xml:space="preserve">Cross-Chain TX-Matching Architektur</w:t>
            </w:r>
          </w:p>
          <w:p>
            <w:pPr>
              <w:spacing w:before="0" w:after="0"/>
            </w:pPr>
            <w:r>
              <w:rPr>
                <w:rFonts w:ascii="Calibri" w:cs="Calibri" w:eastAsia="Calibri" w:hAnsi="Calibri"/>
                <w:color w:val="212121"/>
                <w:sz w:val="20"/>
                <w:szCs w:val="20"/>
              </w:rPr>
              <w:t xml:space="preserve">Stargate-Bridge-Transaktionen erzeugen ZWEI On-Chain-Ereignisse auf verschiedenen Blockchains: TX_A (Quell-Chain: Asset-Lock + LayerZero-Message-Send) und TX_B (Ziel-Chain: Asset-Release). Das Tool benötigt eine dedizierte Cross-Chain-Matching-Engine, die beide TX via LayerZero-Message-ID verknüpft. Ohne dieses Matching entstehen 'Phantom'-Ein- und Ausgaben, die die Steuerberechnung korrumpieren. Technische Lösung: LayerZero Scan API (https://layerzeroscan.com) als Matching-Intermediär.</w:t>
            </w:r>
          </w:p>
        </w:tc>
      </w:tr>
    </w:tbl>
    <w:p>
      <w:pPr>
        <w:spacing w:before="120" w:after="0"/>
      </w:pPr>
      <w:r>
        <w:t xml:space="preserve"/>
      </w:r>
    </w:p>
    <w:p>
      <w:pPr>
        <w:spacing w:before="200" w:after="80"/>
      </w:pPr>
      <w:r>
        <w:rPr>
          <w:rFonts w:ascii="Calibri" w:cs="Calibri" w:eastAsia="Calibri" w:hAnsi="Calibri"/>
          <w:b/>
          <w:bCs/>
          <w:color w:val="0D47A1"/>
          <w:sz w:val="23"/>
          <w:szCs w:val="23"/>
        </w:rPr>
        <w:t xml:space="preserve">N2.5 Aave V3/V4 – Metriken &amp; Integrationsbewertung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sz="10"/>
              <w:left w:val="single" w:color="CFD8DC" w:sz="1"/>
              <w:bottom w:val="single" w:color="CFD8DC" w:sz="1"/>
              <w:right w:val="single" w:color="CFD8DC" w:sz="1"/>
            </w:tcBorders>
            <w:shd w:val="clear"/>
            <w:tcMar>
              <w:top w:type="dxa" w:w="80"/>
              <w:left w:type="dxa" w:w="130"/>
              <w:bottom w:type="dxa" w:w="80"/>
              <w:right w:type="dxa" w:w="80"/>
            </w:tcMar>
          </w:tcPr>
          <w:p>
            <w:r>
              <w:rPr>
                <w:rFonts w:ascii="Calibri" w:cs="Calibri" w:eastAsia="Calibri" w:hAnsi="Calibri"/>
                <w:b/>
                <w:bCs/>
                <w:sz w:val="22"/>
                <w:szCs w:val="22"/>
              </w:rPr>
              <w:t xml:space="preserve">Aave V3 / V4</w:t>
            </w:r>
          </w:p>
          <w:p>
            <w:r>
              <w:rPr>
                <w:rFonts w:ascii="Calibri" w:cs="Calibri" w:eastAsia="Calibri" w:hAnsi="Calibri"/>
                <w:color w:val="546E7A"/>
                <w:sz w:val="18"/>
                <w:szCs w:val="18"/>
              </w:rPr>
              <w:t xml:space="preserve">Multi-Chain Lending/Borrowing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TVL</w:t>
            </w:r>
          </w:p>
          <w:p>
            <w:r>
              <w:rPr>
                <w:rFonts w:ascii="Calibri" w:cs="Calibri" w:eastAsia="Calibri" w:hAnsi="Calibri"/>
                <w:b/>
                <w:bCs/>
                <w:color w:val="212121"/>
                <w:sz w:val="20"/>
                <w:szCs w:val="20"/>
              </w:rPr>
              <w:t xml:space="preserve">~$24,9 Mrd. TVL V3</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Ø Vol./Tag</w:t>
            </w:r>
          </w:p>
          <w:p>
            <w:r>
              <w:rPr>
                <w:rFonts w:ascii="Calibri" w:cs="Calibri" w:eastAsia="Calibri" w:hAnsi="Calibri"/>
                <w:b/>
                <w:bCs/>
                <w:color w:val="212121"/>
                <w:sz w:val="20"/>
                <w:szCs w:val="20"/>
              </w:rPr>
              <w:t xml:space="preserve">~$500M/Tag Borrows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Chains</w:t>
            </w:r>
          </w:p>
          <w:p>
            <w:r>
              <w:rPr>
                <w:rFonts w:ascii="Calibri" w:cs="Calibri" w:eastAsia="Calibri" w:hAnsi="Calibri"/>
                <w:b/>
                <w:bCs/>
                <w:color w:val="212121"/>
                <w:sz w:val="20"/>
                <w:szCs w:val="20"/>
              </w:rPr>
              <w:t xml:space="preserve">12+ EVM-Chains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546E7A"/>
                <w:sz w:val="17"/>
                <w:szCs w:val="17"/>
              </w:rPr>
              <w:t xml:space="preserve">Audits</w:t>
            </w:r>
          </w:p>
          <w:p>
            <w:r>
              <w:rPr>
                <w:rFonts w:ascii="Calibri" w:cs="Calibri" w:eastAsia="Calibri" w:hAnsi="Calibri"/>
                <w:b/>
                <w:bCs/>
                <w:color w:val="212121"/>
                <w:sz w:val="20"/>
                <w:szCs w:val="20"/>
              </w:rPr>
              <w:t xml:space="preserve">OpenZeppelin, Trail of Bits, SigmaPrime</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Metrik</w:t>
            </w:r>
          </w:p>
        </w:tc>
        <w:tc>
          <w:tcPr>
            <w:tcW w:type="dxa" w:w="3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Wert / Status</w:t>
            </w:r>
          </w:p>
        </w:tc>
        <w:tc>
          <w:tcPr>
            <w:tcW w:type="dxa" w:w="31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Bewertung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TVL Aave V3 (März 2026)</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~$24,9 Mrd. (marktführend – 20% aller DeFi TVL)</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Größtes Lending-Protokoll global</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Aave V3.6 (Jan 2026)</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Neue Kollateral-Modi + Gas-Opt. auf 9 Chains</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Aktiv gepflegt, regelmäßige Updates</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Aave V4 Launch</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Early 2026 – Hub-and-Spoke-Architektur</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V4-Tracking erfordert neue ABI-Integration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Chain-Coverage</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Ethereum, Polygon, Arbitrum, Optimism, Avalanche, Base, …</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12+ Chains – Multi-Chain-Indexer erforderlich</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Smart Contract Audits</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OpenZeppelin, Trail of Bits, SigmaPrime, ABDK; 6+ Audits</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Bestauditiertes DeFi-Protokoll</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GHO Stablecoin</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$352M+ im Umlauf (Sept 2025); CDP-ähnlich</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GHO Minting/Burning als CDP-Graubereich</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The Graph Subgraph</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Vorhanden für alle V3-Chains (offiziell gepflegt)</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Offizielle Sub-Graphs; vollständige Abdeckung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aToken-Mechanismus</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Rebasing aTokens (kumulieren Zinsen automatisch)</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aToken-Balance-Änderungen ≠ neue TX – Speziallogik</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Integrationskomplexität</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 (12+ Chains × V3 + V4 × aToken-Logik)</w:t>
            </w:r>
          </w:p>
        </w:tc>
        <w:tc>
          <w:tcPr>
            <w:tcW w:type="dxa" w:w="3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Höchste Datenmenge aller 6 Protokolle</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Tracking-Priorität</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Phase 4 Skalierung</w:t>
            </w:r>
          </w:p>
        </w:tc>
        <w:tc>
          <w:tcPr>
            <w:tcW w:type="dxa" w:w="3126"/>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 PHASE 4 – Nach MVP</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N3. Technischer Integrations-Scorecard</w:t>
      </w:r>
    </w:p>
    <w:p>
      <w:pPr>
        <w:spacing w:before="60" w:after="90"/>
      </w:pPr>
      <w:r>
        <w:rPr>
          <w:rFonts w:ascii="Calibri" w:cs="Calibri" w:eastAsia="Calibri" w:hAnsi="Calibri"/>
          <w:color w:val="212121"/>
          <w:sz w:val="21"/>
          <w:szCs w:val="21"/>
        </w:rPr>
        <w:t xml:space="preserve">Der folgende Scorecard bewertet jede Plattform nach 6 standardisierten Kriterien auf einer Skala von 1 bis 10. Die Gesamtpunktzahl fließt direkt in die Priorisierungsentscheidung der Entwicklungs-Roadmap ein.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13"/>
        <w:gridCol w:w="1413"/>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Kriterium</w:t>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SparkDEX</w:t>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Ēnosys</w:t>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Kinetic</w:t>
            </w:r>
          </w:p>
        </w:tc>
        <w:tc>
          <w:tcPr>
            <w:tcW w:type="dxa" w:w="1313"/>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Stargate</w:t>
            </w:r>
          </w:p>
        </w:tc>
        <w:tc>
          <w:tcPr>
            <w:tcW w:type="dxa" w:w="1413"/>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Aave</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API-Qualität &amp; Vollständigkeit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9/10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8/10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8/10</w:t>
            </w:r>
          </w:p>
        </w:tc>
        <w:tc>
          <w:tcPr>
            <w:tcW w:type="dxa" w:w="1313"/>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7/10</w:t>
            </w:r>
          </w:p>
        </w:tc>
        <w:tc>
          <w:tcPr>
            <w:tcW w:type="dxa" w:w="1413"/>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10/10</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Subgraph-Verfügbarkeit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9/10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7/10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8/10</w:t>
            </w:r>
          </w:p>
        </w:tc>
        <w:tc>
          <w:tcPr>
            <w:tcW w:type="dxa" w:w="1313"/>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6/10</w:t>
            </w:r>
          </w:p>
        </w:tc>
        <w:tc>
          <w:tcPr>
            <w:tcW w:type="dxa" w:w="1413"/>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10/10</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Event-Standardisierung (EVM)</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9/10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9/10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9/10</w:t>
            </w:r>
          </w:p>
        </w:tc>
        <w:tc>
          <w:tcPr>
            <w:tcW w:type="dxa" w:w="1313"/>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7/10</w:t>
            </w:r>
          </w:p>
        </w:tc>
        <w:tc>
          <w:tcPr>
            <w:tcW w:type="dxa" w:w="1413"/>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10/10</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Daten-Aktualität (&lt; 30s)</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9/10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8/10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8/10</w:t>
            </w:r>
          </w:p>
        </w:tc>
        <w:tc>
          <w:tcPr>
            <w:tcW w:type="dxa" w:w="1313"/>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7/10</w:t>
            </w:r>
          </w:p>
        </w:tc>
        <w:tc>
          <w:tcPr>
            <w:tcW w:type="dxa" w:w="1413"/>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9/10</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TX-Komplexität (niedriger = besser)</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6/10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7/10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8/10</w:t>
            </w:r>
          </w:p>
        </w:tc>
        <w:tc>
          <w:tcPr>
            <w:tcW w:type="dxa" w:w="1313"/>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4/10</w:t>
            </w:r>
          </w:p>
        </w:tc>
        <w:tc>
          <w:tcPr>
            <w:tcW w:type="dxa" w:w="1413"/>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5/10</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Steuerliche Eindeutigkeit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7/10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6/10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7/10</w:t>
            </w:r>
          </w:p>
        </w:tc>
        <w:tc>
          <w:tcPr>
            <w:tcW w:type="dxa" w:w="1313"/>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5/10</w:t>
            </w:r>
          </w:p>
        </w:tc>
        <w:tc>
          <w:tcPr>
            <w:tcW w:type="dxa" w:w="1413"/>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7/10</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GESAMT-SCORE</w:t>
            </w:r>
          </w:p>
        </w:tc>
        <w:tc>
          <w:tcPr>
            <w:tcW w:type="dxa" w:w="13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49/60</w:t>
            </w:r>
          </w:p>
        </w:tc>
        <w:tc>
          <w:tcPr>
            <w:tcW w:type="dxa" w:w="13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45/60</w:t>
            </w:r>
          </w:p>
        </w:tc>
        <w:tc>
          <w:tcPr>
            <w:tcW w:type="dxa" w:w="13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48/60</w:t>
            </w:r>
          </w:p>
        </w:tc>
        <w:tc>
          <w:tcPr>
            <w:tcW w:type="dxa" w:w="1313"/>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36/60</w:t>
            </w:r>
          </w:p>
        </w:tc>
        <w:tc>
          <w:tcPr>
            <w:tcW w:type="dxa" w:w="1413"/>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51/60</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MVP-Priorität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P1 – Kritisch</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P1 – Kritisch</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P1 – Kritisch</w:t>
            </w:r>
          </w:p>
        </w:tc>
        <w:tc>
          <w:tcPr>
            <w:tcW w:type="dxa" w:w="1313"/>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P4 – Skalierung</w:t>
            </w:r>
          </w:p>
        </w:tc>
        <w:tc>
          <w:tcPr>
            <w:tcW w:type="dxa" w:w="1413"/>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P4 – Skalierung</w:t>
            </w:r>
          </w:p>
        </w:tc>
      </w:tr>
    </w:tbl>
    <w:p>
      <w:pPr>
        <w:spacing w:before="120" w:after="0"/>
      </w:pPr>
      <w:r>
        <w:t xml:space="preserve"/>
      </w:r>
    </w:p>
    <w:p>
      <w:pPr>
        <w:pStyle w:val="Heading1"/>
        <w:pBdr>
          <w:bottom w:val="single" w:color="0D47A1" w:sz="4" w:space="6"/>
        </w:pBdr>
        <w:spacing w:before="360" w:after="160"/>
      </w:pPr>
      <w:r>
        <w:rPr>
          <w:rFonts w:ascii="Calibri" w:cs="Calibri" w:eastAsia="Calibri" w:hAnsi="Calibri"/>
          <w:b/>
          <w:bCs/>
          <w:color w:val="0D47A1"/>
          <w:sz w:val="36"/>
          <w:szCs w:val="36"/>
        </w:rPr>
        <w:t xml:space="preserve">N4. Sicherheits- und Risikoanalyse je Protokoll</w:t>
      </w:r>
    </w:p>
    <w:p>
      <w:pPr>
        <w:spacing w:before="60" w:after="90"/>
      </w:pPr>
      <w:r>
        <w:rPr>
          <w:rFonts w:ascii="Calibri" w:cs="Calibri" w:eastAsia="Calibri" w:hAnsi="Calibri"/>
          <w:color w:val="212121"/>
          <w:sz w:val="21"/>
          <w:szCs w:val="21"/>
        </w:rPr>
        <w:t xml:space="preserve">Die Sicherheitsanalyse ist doppelt relevant: Erstens schützt sie die Nutzer des Tools vor Fehlinformationen (z.B. durch Smart-Contract-Exploits, die Transaktionsdaten korrumpieren). Zweitens bestimmt sie die Trackingresilenz: Wenn ein Protokoll gehackt oder geforkt wird, muss das Tool korrekt reagieren.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200"/>
        <w:gridCol w:w="1300"/>
        <w:gridCol w:w="2126"/>
      </w:tblGrid>
      <w:tr>
        <w:trPr>
          <w:tblHeader/>
        </w:trPr>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Protokoll</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Audit-Status</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Letzte bekannte Vorfälle</w:t>
            </w:r>
          </w:p>
        </w:tc>
        <w:tc>
          <w:tcPr>
            <w:tcW w:type="dxa" w:w="1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Smart Contract Risiko</w:t>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Oracle-Risiko</w:t>
            </w:r>
          </w:p>
        </w:tc>
        <w:tc>
          <w:tcPr>
            <w:tcW w:type="dxa" w:w="21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Tool-Maßnahme</w:t>
            </w:r>
          </w:p>
        </w:tc>
      </w:tr>
      <w:tr>
        <w:tc>
          <w:tcPr>
            <w:tcW w:type="dxa" w:w="16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Flare Network</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EVM-Kompatibilität; Avalanche Snowman++ formal verifiziert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Keine bekannten Mainnet-Exploits</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NIEDRIG</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FTSO dezentral – manipulationsresistent</w:t>
            </w:r>
          </w:p>
        </w:tc>
        <w:tc>
          <w:tcPr>
            <w:tcW w:type="dxa" w:w="2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Kein Sonderhandling</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SparkDEX V3/V4</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Certik (V3); V4-Audit laufend (Algebra Integral)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exploit auf Flare bekannt</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MITTEL</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FTSO-basiert – keine externer Oracle</w:t>
            </w:r>
          </w:p>
        </w:tc>
        <w:tc>
          <w:tcPr>
            <w:tcW w:type="dxa" w:w="2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V4-Audit-Abschluss abwarten vor Live-TX-Import</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Ēnosys DEX</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Halborn (DEX), Veridise (Loans); 11 Test-Environments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März 2026: CAPO Oracle Misconfiguration auf Aave (nicht Ēnosys)</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MITTEL</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FTSO-basiert</w:t>
            </w:r>
          </w:p>
        </w:tc>
        <w:tc>
          <w:tcPr>
            <w:tcW w:type="dxa" w:w="2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CDP-Liquidation-Events sorgfältig dekodieren</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Kinetic Market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Watchpug; Immunefi Bug-Bounty aktiv</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Keine bekannten Vorfälle auf Flare</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NIEDRIG-MITTEL</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FTSO für Preisfeeds</w:t>
            </w:r>
          </w:p>
        </w:tc>
        <w:tc>
          <w:tcPr>
            <w:tcW w:type="dxa" w:w="2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Liquidations-TX als Sonderfall markieren</w:t>
            </w:r>
          </w:p>
        </w:tc>
      </w:tr>
      <w:tr>
        <w:tc>
          <w:tcPr>
            <w:tcW w:type="dxa" w:w="16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Stargate Finance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Quantstamp (V1+V2), Consensys Diligence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2022: $611M Exploit Vorschlag (abgewehrt); 2023: Minimale Vorfälle</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MITTEL</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LayerZero DVN – dezentral</w:t>
            </w:r>
          </w:p>
        </w:tc>
        <w:tc>
          <w:tcPr>
            <w:tcW w:type="dxa" w:w="2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Cross-Chain TX-Matching-Fehler detektieren</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Aave V3/V4</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6+ Audits (OpenZeppelin, Trail of Bits, SigmaPrime …)</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Mrz 2026: CAPO Oracle Misconfiguration ($862K-Impact)</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NIEDRIG</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Chainlink + Eigener Safety Module</w:t>
            </w:r>
          </w:p>
        </w:tc>
        <w:tc>
          <w:tcPr>
            <w:tcW w:type="dxa" w:w="2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aToken-Rebasing-Fehler vermeiden im Tool</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thick" w:color="B71C1C" w:sz="18"/>
              <w:bottom w:val="single" w:color="B71C1C" w:sz="1"/>
              <w:right w:val="single" w:color="B71C1C" w:sz="1"/>
            </w:tcBorders>
            <w:shd w:fill="FFEBEE" w:val="clear"/>
            <w:tcMar>
              <w:top w:type="dxa" w:w="110"/>
              <w:left w:type="dxa" w:w="200"/>
              <w:bottom w:type="dxa" w:w="110"/>
              <w:right w:type="dxa" w:w="140"/>
            </w:tcMar>
          </w:tcPr>
          <w:p>
            <w:pPr>
              <w:spacing w:before="0" w:after="40"/>
            </w:pPr>
            <w:r>
              <w:rPr>
                <w:rFonts w:ascii="Calibri" w:cs="Calibri" w:eastAsia="Calibri" w:hAnsi="Calibri"/>
                <w:b/>
                <w:bCs/>
                <w:color w:val="B71C1C"/>
                <w:sz w:val="21"/>
                <w:szCs w:val="21"/>
              </w:rPr>
              <w:t xml:space="preserve">Tool-Verhalten bei Protokoll-Exploit</w:t>
            </w:r>
          </w:p>
          <w:p>
            <w:pPr>
              <w:spacing w:before="0" w:after="0"/>
            </w:pPr>
            <w:r>
              <w:rPr>
                <w:rFonts w:ascii="Calibri" w:cs="Calibri" w:eastAsia="Calibri" w:hAnsi="Calibri"/>
                <w:color w:val="212121"/>
                <w:sz w:val="20"/>
                <w:szCs w:val="20"/>
              </w:rPr>
              <w:t xml:space="preserve">Wenn ein Protokoll einen Smart-Contract-Exploit erleidet, können Transaktionsdaten fehlerhaft werden (z.B. manipulierte Preise, doppelte Token-Mint-Events). Das Tracking-Tool muss einen 'Anomalie-Detektor' implementieren: Preisabweichungen &gt; 20% innerhalb einer Block-Gruppe → Manuelles Review-Flag. Bei bekannten Exploits (on-chain Alerts via Hypernative/Chainalysis) → Automatische Markierung betroffener Transaktionen und Benachrichtigung des Nutzers.</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N5. Ökosystem-Vergleich – Warum Flare als Primär-Netzwerk?</w:t>
      </w:r>
    </w:p>
    <w:p>
      <w:pPr>
        <w:spacing w:before="60" w:after="90"/>
      </w:pPr>
      <w:r>
        <w:rPr>
          <w:rFonts w:ascii="Calibri" w:cs="Calibri" w:eastAsia="Calibri" w:hAnsi="Calibri"/>
          <w:color w:val="212121"/>
          <w:sz w:val="21"/>
          <w:szCs w:val="21"/>
        </w:rPr>
        <w:t xml:space="preserve">Die folgende Analyse begründet die Auswahl von Flare Network als primäres Zielnetzwerk gegenüber alternativen Blockchain-Ökosystemen. Gleichzeitig werden die Multi-Chain-Erweiterungsziele für Phase 4 definiert.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2000"/>
        <w:gridCol w:w="1400"/>
        <w:gridCol w:w="1426"/>
      </w:tblGrid>
      <w:tr>
        <w:trPr>
          <w:tblHeader/>
        </w:trPr>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Netzwerk</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TVL (März 2026)</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DeFi-Protokolle</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Steuerliche Relevanz DE</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Tracking-Reife</w:t>
            </w:r>
          </w:p>
        </w:tc>
        <w:tc>
          <w:tcPr>
            <w:tcW w:type="dxa" w:w="14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Relevanz für Tool</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Flare Network</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~$149–169 Mio.</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~30+ aktiv</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XRPFi, FAssets – Nischensegment mit hohem Wachstum</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 (wachsend)</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PRIMÄR – First Mover</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Ethereum Mainnet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~$68 Mrd. (Aave dominant)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Größte Nutzerbasis in DE</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hoch (Jahre alt)</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PHASE 4 – via Aave</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Arbitrum</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~$3,8 Mrd.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300+ (Aave, GMX, Uniswap…)</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Hohe DE-Nutzerzahlen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hoch</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PHASE 4 – via Aave/Stargate</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Polygon PoS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~$1,2 Mrd.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hoch</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PHASE 4 – via Aave</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Avalanche C-Chain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~$1,5 Mrd.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150+ (BENQI=Kinetic-Basis)</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PHASE 5+ (optional)</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Base (Coinbase)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~$3,2 Mrd.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400+ (wächst rasant)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Wachsend</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PHASE 5+ (optional)</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Solana</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~$9,2 Mrd.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500+ (Jupiter, Raydium…)</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Gering (kein EVM-Standard)</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 für Tool</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NICHT GEPLANT (non-EVM)</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BNB Chain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~$6,8 Mrd.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PHASE 5+ (optional)</w:t>
            </w:r>
          </w:p>
        </w:tc>
      </w:tr>
    </w:tbl>
    <w:p>
      <w:pPr>
        <w:spacing w:before="80" w:after="0"/>
      </w:pPr>
      <w:r>
        <w:t xml:space="preserve"/>
      </w:r>
    </w:p>
    <w:p>
      <w:pPr>
        <w:spacing w:before="200" w:after="80"/>
      </w:pPr>
      <w:r>
        <w:rPr>
          <w:rFonts w:ascii="Calibri" w:cs="Calibri" w:eastAsia="Calibri" w:hAnsi="Calibri"/>
          <w:b/>
          <w:bCs/>
          <w:color w:val="006064"/>
          <w:sz w:val="23"/>
          <w:szCs w:val="23"/>
        </w:rPr>
        <w:t xml:space="preserve">N5.1 Strategische Begründung für Flare als Primär-Netzwerk</w:t>
      </w:r>
    </w:p>
    <w:p>
      <w:pPr>
        <w:spacing w:before="60" w:after="90"/>
      </w:pPr>
      <w:r>
        <w:rPr>
          <w:rFonts w:ascii="Calibri" w:cs="Calibri" w:eastAsia="Calibri" w:hAnsi="Calibri"/>
          <w:color w:val="212121"/>
          <w:sz w:val="21"/>
          <w:szCs w:val="21"/>
        </w:rPr>
        <w:t xml:space="preserve">Die Auswahl von Flare Network als erstes Zielnetzwerk basiert auf folgenden strategischen Überlegungen:</w:t>
      </w:r>
    </w:p>
    <w:p>
      <w:pPr>
        <w:pStyle w:val="ListParagraph"/>
        <w:numPr>
          <w:ilvl w:val="0"/>
          <w:numId w:val="7"/>
        </w:numPr>
        <w:spacing w:before="40" w:after="40"/>
      </w:pPr>
      <w:r>
        <w:rPr>
          <w:rFonts w:ascii="Calibri" w:cs="Calibri" w:eastAsia="Calibri" w:hAnsi="Calibri"/>
          <w:b w:val="false"/>
          <w:bCs w:val="false"/>
          <w:color w:val="212121"/>
          <w:sz w:val="21"/>
          <w:szCs w:val="21"/>
        </w:rPr>
        <w:t xml:space="preserve">First-Mover-Vorteil: Kein konkurrierendes Tool bietet aktuell (März 2026) tiefe Flare-DeFi-Integration mit deutschem Steuerrecht – Alleinstellungsmerkmal</w:t>
      </w:r>
    </w:p>
    <w:p>
      <w:pPr>
        <w:pStyle w:val="ListParagraph"/>
        <w:numPr>
          <w:ilvl w:val="0"/>
          <w:numId w:val="7"/>
        </w:numPr>
        <w:spacing w:before="40" w:after="40"/>
      </w:pPr>
      <w:r>
        <w:rPr>
          <w:rFonts w:ascii="Calibri" w:cs="Calibri" w:eastAsia="Calibri" w:hAnsi="Calibri"/>
          <w:b w:val="false"/>
          <w:bCs w:val="false"/>
          <w:color w:val="212121"/>
          <w:sz w:val="21"/>
          <w:szCs w:val="21"/>
        </w:rPr>
        <w:t xml:space="preserve">Wachstumsphase: Flare befindet sich in einer aggressiven TVL-Wachstumsphase (+14× seit Launch); der Nutzer-Onboarding-Peak steht bevor</w:t>
      </w:r>
    </w:p>
    <w:p>
      <w:pPr>
        <w:pStyle w:val="ListParagraph"/>
        <w:numPr>
          <w:ilvl w:val="0"/>
          <w:numId w:val="7"/>
        </w:numPr>
        <w:spacing w:before="40" w:after="40"/>
      </w:pPr>
      <w:r>
        <w:rPr>
          <w:rFonts w:ascii="Calibri" w:cs="Calibri" w:eastAsia="Calibri" w:hAnsi="Calibri"/>
          <w:b w:val="false"/>
          <w:bCs w:val="false"/>
          <w:color w:val="212121"/>
          <w:sz w:val="21"/>
          <w:szCs w:val="21"/>
        </w:rPr>
        <w:t xml:space="preserve">XRPFi-Narrativ: 5+ Mio. XRP-Holder weltweit können via Flare erstmals DeFi nutzen – große Zielgruppe mit hoher Steuer-Dokumentationspflicht</w:t>
      </w:r>
    </w:p>
    <w:p>
      <w:pPr>
        <w:pStyle w:val="ListParagraph"/>
        <w:numPr>
          <w:ilvl w:val="0"/>
          <w:numId w:val="7"/>
        </w:numPr>
        <w:spacing w:before="40" w:after="40"/>
      </w:pPr>
      <w:r>
        <w:rPr>
          <w:rFonts w:ascii="Calibri" w:cs="Calibri" w:eastAsia="Calibri" w:hAnsi="Calibri"/>
          <w:b w:val="false"/>
          <w:bCs w:val="false"/>
          <w:color w:val="212121"/>
          <w:sz w:val="21"/>
          <w:szCs w:val="21"/>
        </w:rPr>
        <w:t xml:space="preserve">FTSO-Synergien: Der native FTSO-Orakel ermöglicht BMF-2025-konforme EUR-Kursbewertung direkt On-Chain – kein Drittanbieter-Risiko</w:t>
      </w:r>
    </w:p>
    <w:p>
      <w:pPr>
        <w:pStyle w:val="ListParagraph"/>
        <w:numPr>
          <w:ilvl w:val="0"/>
          <w:numId w:val="7"/>
        </w:numPr>
        <w:spacing w:before="40" w:after="40"/>
      </w:pPr>
      <w:r>
        <w:rPr>
          <w:rFonts w:ascii="Calibri" w:cs="Calibri" w:eastAsia="Calibri" w:hAnsi="Calibri"/>
          <w:b w:val="false"/>
          <w:bCs w:val="false"/>
          <w:color w:val="212121"/>
          <w:sz w:val="21"/>
          <w:szCs w:val="21"/>
        </w:rPr>
        <w:t xml:space="preserve">FAssets-Wachstum: 132 Mio. FXRP + FBTC locked (März 2026) → wachsende Nutzermasse mit spezifischen Tracking-Bedürfnissen</w:t>
      </w:r>
    </w:p>
    <w:p>
      <w:pPr>
        <w:pStyle w:val="ListParagraph"/>
        <w:numPr>
          <w:ilvl w:val="0"/>
          <w:numId w:val="7"/>
        </w:numPr>
        <w:spacing w:before="40" w:after="40"/>
      </w:pPr>
      <w:r>
        <w:rPr>
          <w:rFonts w:ascii="Calibri" w:cs="Calibri" w:eastAsia="Calibri" w:hAnsi="Calibri"/>
          <w:b w:val="false"/>
          <w:bCs w:val="false"/>
          <w:color w:val="212121"/>
          <w:sz w:val="21"/>
          <w:szCs w:val="21"/>
        </w:rPr>
        <w:t xml:space="preserve">Regulatorische Korrektheit: FLR-Staking-Rewards und FlareDrops sind klare § 22 Nr. 3 EStG-Ereignisse mit eindeutiger steuerlicher Behandlung</w:t>
      </w:r>
    </w:p>
    <w:p>
      <w:pPr>
        <w:spacing w:before="80" w:after="0"/>
      </w:pPr>
      <w:r>
        <w:t xml:space="preserve"/>
      </w:r>
    </w:p>
    <w:p>
      <w:pPr>
        <w:spacing w:before="200" w:after="80"/>
      </w:pPr>
      <w:r>
        <w:rPr>
          <w:rFonts w:ascii="Calibri" w:cs="Calibri" w:eastAsia="Calibri" w:hAnsi="Calibri"/>
          <w:b/>
          <w:bCs/>
          <w:color w:val="006064"/>
          <w:sz w:val="23"/>
          <w:szCs w:val="23"/>
        </w:rPr>
        <w:t xml:space="preserve">N5.2 Multi-Chain Expansion – Priorisierungsmatrix Phase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700"/>
        <w:gridCol w:w="1800"/>
        <w:gridCol w:w="1126"/>
      </w:tblGrid>
      <w:tr>
        <w:trPr>
          <w:tblHeader/>
        </w:trPr>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Ziel-Chain</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Priorität</w:t>
            </w:r>
          </w:p>
        </w:tc>
        <w:tc>
          <w:tcPr>
            <w:tcW w:type="dxa" w:w="2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Begründung</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Protokolle</w:t>
            </w:r>
          </w:p>
        </w:tc>
        <w:tc>
          <w:tcPr>
            <w:tcW w:type="dxa" w:w="11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Komplexität</w:t>
            </w:r>
          </w:p>
        </w:tc>
      </w:tr>
      <w:tr>
        <w:tc>
          <w:tcPr>
            <w:tcW w:type="dxa" w:w="20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Ethereum Mainnet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Größte DeFi-Nutzerbasis; höchste DE-Steuerrelevanz</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Aave V3/V4 (primär), Uniswap V3</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 (Basis-EVM)</w:t>
            </w:r>
          </w:p>
        </w:tc>
      </w:tr>
      <w:tr>
        <w:tc>
          <w:tcPr>
            <w:tcW w:type="dxa" w:w="20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Arbitrum</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Niedrige Fees; Aave + GMX sehr aktiv; viele DE-Nutzer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Aave V3, Stargate, GMX</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 (L2-Specifics)</w:t>
            </w:r>
          </w:p>
        </w:tc>
      </w:tr>
      <w:tr>
        <w:tc>
          <w:tcPr>
            <w:tcW w:type="dxa" w:w="20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Polygon PoS</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Aave stark; historisch viele DE-Nutzer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Aave V3, QuickSwap</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 (EVM-Standard)</w:t>
            </w:r>
          </w:p>
        </w:tc>
      </w:tr>
      <w:tr>
        <w:tc>
          <w:tcPr>
            <w:tcW w:type="dxa" w:w="20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Optimism</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Aave V3 + OP-DeFi-Ökosystem wächst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Aave V3, Velodrome</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 (L2-Specifics)</w:t>
            </w:r>
          </w:p>
        </w:tc>
      </w:tr>
      <w:tr>
        <w:tc>
          <w:tcPr>
            <w:tcW w:type="dxa" w:w="20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Avalanche C-Chain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BENQI = Kinetic-Basis; ähnliche ABIs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BENQI, Trader Joe</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 (Compound-Fork)</w:t>
            </w:r>
          </w:p>
        </w:tc>
      </w:tr>
      <w:tr>
        <w:tc>
          <w:tcPr>
            <w:tcW w:type="dxa" w:w="20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Base</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Rasantes Wachstum; Coinbase-Nutzerbasis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Aave V3, Aerodrome</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 (Coinbase L2)</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BNB Chain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Große Gesamtnutzerzahl; DE-Anteil unklar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Venus, PancakeSwap V3</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N6. Netzwerkauswahlkriterien &amp; Entscheidungsmatrix</w:t>
      </w:r>
    </w:p>
    <w:p>
      <w:pPr>
        <w:spacing w:before="60" w:after="90"/>
      </w:pPr>
      <w:r>
        <w:rPr>
          <w:rFonts w:ascii="Calibri" w:cs="Calibri" w:eastAsia="Calibri" w:hAnsi="Calibri"/>
          <w:color w:val="212121"/>
          <w:sz w:val="21"/>
          <w:szCs w:val="21"/>
        </w:rPr>
        <w:t xml:space="preserve">Die Entscheidungsmatrix definiert die objektiven Kriterien für die Aufnahme neuer Netzwerke und Protokolle in das Tracking-Tool. Sie stellt sicher, dass Expansionsentscheidungen systematisch und ressourceneffizient getroffen werden.</w:t>
      </w:r>
    </w:p>
    <w:p>
      <w:pPr>
        <w:spacing w:before="80" w:after="0"/>
      </w:pPr>
      <w:r>
        <w:t xml:space="preserve"/>
      </w:r>
    </w:p>
    <w:p>
      <w:pPr>
        <w:spacing w:before="200" w:after="80"/>
      </w:pPr>
      <w:r>
        <w:rPr>
          <w:rFonts w:ascii="Calibri" w:cs="Calibri" w:eastAsia="Calibri" w:hAnsi="Calibri"/>
          <w:b/>
          <w:bCs/>
          <w:color w:val="006064"/>
          <w:sz w:val="23"/>
          <w:szCs w:val="23"/>
        </w:rPr>
        <w:t xml:space="preserve">N6.1 Mindestkriterien für neue Protokoll-Integrationen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Kriterium</w:t>
            </w:r>
          </w:p>
        </w:tc>
        <w:tc>
          <w:tcPr>
            <w:tcW w:type="dxa" w:w="3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Mindestanforderung</w:t>
            </w:r>
          </w:p>
        </w:tc>
        <w:tc>
          <w:tcPr>
            <w:tcW w:type="dxa" w:w="34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Begründung</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TVL-Schwellenwert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$5 Mio. aktives TVL</w:t>
            </w:r>
          </w:p>
        </w:tc>
        <w:tc>
          <w:tcPr>
            <w:tcW w:type="dxa" w:w="3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Ausreichende Nutzerbasis für wirtschaftliche Integration</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Audit-Status</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Mindestens 1 anerkannter Security-Audit</w:t>
            </w:r>
          </w:p>
        </w:tc>
        <w:tc>
          <w:tcPr>
            <w:tcW w:type="dxa" w:w="3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Sicherheitsgrundlage für Nutzerschutz und Haftungsausschluss</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On-Chain-Datenverfügbarkeit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Events via EVM JSON-RPC abrufbar</w:t>
            </w:r>
          </w:p>
        </w:tc>
        <w:tc>
          <w:tcPr>
            <w:tcW w:type="dxa" w:w="3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Technische Mindestanforderung für automatische Indexierung</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Steuerliche Klassifizierbarkeit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Eindeutige §22/§23-Zuordnung oder bekannter Graubereich</w:t>
            </w:r>
          </w:p>
        </w:tc>
        <w:tc>
          <w:tcPr>
            <w:tcW w:type="dxa" w:w="3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Ohne steuerliche Einordnung kein CoinTracking-Export möglich</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Deutsche Nutzerbasis</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Nachweis relevanter DE-Nutzerzahl (&gt; 500 aktive Wallets)</w:t>
            </w:r>
          </w:p>
        </w:tc>
        <w:tc>
          <w:tcPr>
            <w:tcW w:type="dxa" w:w="3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Wirtschaftliche Rechtfertigung der Entwicklungskosten</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API-Stabilität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Subgraph oder offizielle API seit &gt; 3 Monaten stabil</w:t>
            </w:r>
          </w:p>
        </w:tc>
        <w:tc>
          <w:tcPr>
            <w:tcW w:type="dxa" w:w="3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Produktionsreife erforderlich – keine Beta-Integrationen</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N6.2 Entscheidungsmatrix: Neue Protokolle bewerten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500"/>
        <w:gridCol w:w="1700"/>
        <w:gridCol w:w="1426"/>
      </w:tblGrid>
      <w:tr>
        <w:trPr>
          <w:tblHeader/>
        </w:trPr>
        <w:tc>
          <w:tcPr>
            <w:tcW w:type="dxa" w:w="3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Bewertungskriterium</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Gewichtung</w:t>
            </w:r>
          </w:p>
        </w:tc>
        <w:tc>
          <w:tcPr>
            <w:tcW w:type="dxa" w:w="1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Flare (Basis)</w:t>
            </w:r>
          </w:p>
        </w:tc>
        <w:tc>
          <w:tcPr>
            <w:tcW w:type="dxa" w:w="1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Ethereum/Arbitrum</w:t>
            </w:r>
          </w:p>
        </w:tc>
        <w:tc>
          <w:tcPr>
            <w:tcW w:type="dxa" w:w="14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New Protocol (Template)</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TVL &amp; Nutzerwachstum</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25%</w:t>
            </w:r>
          </w:p>
        </w:tc>
        <w:tc>
          <w:tcPr>
            <w:tcW w:type="dxa" w:w="15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color w:val="1B5E20"/>
                <w:sz w:val="20"/>
                <w:szCs w:val="20"/>
              </w:rPr>
              <w:t xml:space="preserve">9/10</w:t>
            </w:r>
          </w:p>
        </w:tc>
        <w:tc>
          <w:tcPr>
            <w:tcW w:type="dxa" w:w="17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color w:val="1B5E20"/>
                <w:sz w:val="20"/>
                <w:szCs w:val="20"/>
              </w:rPr>
              <w:t xml:space="preserve">10/10</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 10</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Steuerliche Klarheit DE</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25%</w:t>
            </w:r>
          </w:p>
        </w:tc>
        <w:tc>
          <w:tcPr>
            <w:tcW w:type="dxa" w:w="15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color w:val="1B5E20"/>
                <w:sz w:val="20"/>
                <w:szCs w:val="20"/>
              </w:rPr>
              <w:t xml:space="preserve">8/10</w:t>
            </w:r>
          </w:p>
        </w:tc>
        <w:tc>
          <w:tcPr>
            <w:tcW w:type="dxa" w:w="17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color w:val="1B5E20"/>
                <w:sz w:val="20"/>
                <w:szCs w:val="20"/>
              </w:rPr>
              <w:t xml:space="preserve">7/10</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 10</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API/Subgraph-Qualität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w:t>
            </w:r>
          </w:p>
        </w:tc>
        <w:tc>
          <w:tcPr>
            <w:tcW w:type="dxa" w:w="15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color w:val="1B5E20"/>
                <w:sz w:val="20"/>
                <w:szCs w:val="20"/>
              </w:rPr>
              <w:t xml:space="preserve">9/10</w:t>
            </w:r>
          </w:p>
        </w:tc>
        <w:tc>
          <w:tcPr>
            <w:tcW w:type="dxa" w:w="17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color w:val="1B5E20"/>
                <w:sz w:val="20"/>
                <w:szCs w:val="20"/>
              </w:rPr>
              <w:t xml:space="preserve">10/10</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 10</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Integrationskomplexität (inv.)</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15%</w:t>
            </w:r>
          </w:p>
        </w:tc>
        <w:tc>
          <w:tcPr>
            <w:tcW w:type="dxa" w:w="15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color w:val="1B5E20"/>
                <w:sz w:val="20"/>
                <w:szCs w:val="20"/>
              </w:rPr>
              <w:t xml:space="preserve">7/10</w:t>
            </w:r>
          </w:p>
        </w:tc>
        <w:tc>
          <w:tcPr>
            <w:tcW w:type="dxa" w:w="17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color w:val="E65100"/>
                <w:sz w:val="20"/>
                <w:szCs w:val="20"/>
              </w:rPr>
              <w:t xml:space="preserve">6/10</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 10</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Audit-Status &amp; Sicherheit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w:t>
            </w:r>
          </w:p>
        </w:tc>
        <w:tc>
          <w:tcPr>
            <w:tcW w:type="dxa" w:w="15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color w:val="1B5E20"/>
                <w:sz w:val="20"/>
                <w:szCs w:val="20"/>
              </w:rPr>
              <w:t xml:space="preserve">8/10</w:t>
            </w:r>
          </w:p>
        </w:tc>
        <w:tc>
          <w:tcPr>
            <w:tcW w:type="dxa" w:w="17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color w:val="1B5E20"/>
                <w:sz w:val="20"/>
                <w:szCs w:val="20"/>
              </w:rPr>
              <w:t xml:space="preserve">10/10</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 10</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Strategische Differenzierung</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w:t>
            </w:r>
          </w:p>
        </w:tc>
        <w:tc>
          <w:tcPr>
            <w:tcW w:type="dxa" w:w="15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color w:val="1B5E20"/>
                <w:sz w:val="20"/>
                <w:szCs w:val="20"/>
              </w:rPr>
              <w:t xml:space="preserve">10/10</w:t>
            </w:r>
          </w:p>
        </w:tc>
        <w:tc>
          <w:tcPr>
            <w:tcW w:type="dxa" w:w="17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color w:val="E65100"/>
                <w:sz w:val="20"/>
                <w:szCs w:val="20"/>
              </w:rPr>
              <w:t xml:space="preserve">6/10</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 10</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GEWICHTETER GESAMT-SCORE</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15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8,6/10</w:t>
            </w:r>
          </w:p>
        </w:tc>
        <w:tc>
          <w:tcPr>
            <w:tcW w:type="dxa" w:w="17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8,5/10</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212121"/>
                <w:sz w:val="20"/>
                <w:szCs w:val="20"/>
              </w:rPr>
              <w:t xml:space="preserve">→ Berechnen</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thick" w:color="1B5E20" w:sz="18"/>
              <w:bottom w:val="single" w:color="1B5E20" w:sz="1"/>
              <w:right w:val="single" w:color="1B5E20" w:sz="1"/>
            </w:tcBorders>
            <w:shd w:fill="E8F5E9" w:val="clear"/>
            <w:tcMar>
              <w:top w:type="dxa" w:w="110"/>
              <w:left w:type="dxa" w:w="200"/>
              <w:bottom w:type="dxa" w:w="110"/>
              <w:right w:type="dxa" w:w="140"/>
            </w:tcMar>
          </w:tcPr>
          <w:p>
            <w:pPr>
              <w:spacing w:before="0" w:after="40"/>
            </w:pPr>
            <w:r>
              <w:rPr>
                <w:rFonts w:ascii="Calibri" w:cs="Calibri" w:eastAsia="Calibri" w:hAnsi="Calibri"/>
                <w:b/>
                <w:bCs/>
                <w:color w:val="1B5E20"/>
                <w:sz w:val="21"/>
                <w:szCs w:val="21"/>
              </w:rPr>
              <w:t xml:space="preserve">Aufnahme-Schwellenwert: Gewichteter Score ≥ 7,0/10</w:t>
            </w:r>
          </w:p>
          <w:p>
            <w:pPr>
              <w:spacing w:before="0" w:after="0"/>
            </w:pPr>
            <w:r>
              <w:rPr>
                <w:rFonts w:ascii="Calibri" w:cs="Calibri" w:eastAsia="Calibri" w:hAnsi="Calibri"/>
                <w:color w:val="212121"/>
                <w:sz w:val="20"/>
                <w:szCs w:val="20"/>
              </w:rPr>
              <w:t xml:space="preserve">Ein Protokoll wird in die Integrations-Roadmap aufgenommen, wenn sein gewichteter Gesamt-Score ≥ 7,0/10 beträgt. Protokolle mit 6,0–6,9 werden auf die 'Watch-Liste' gesetzt und in der nächsten Quartals-Review neu bewertet. Protokolle &lt; 6,0 werden nicht integriert. Die Bewertungsmatrix wird halbjährlich aktualisiert und im regulatorischen Compliance-Kalender (Kapitel R9) referenziert.</w:t>
            </w:r>
          </w:p>
        </w:tc>
      </w:tr>
    </w:tbl>
    <w:p>
      <w:pPr>
        <w:spacing w:before="160" w:after="0"/>
      </w:pPr>
      <w:r>
        <w:t xml:space="preserve"/>
      </w:r>
    </w:p>
    <w:p>
      <w:pPr>
        <w:pStyle w:val="Heading1"/>
        <w:pBdr>
          <w:bottom w:val="single" w:color="0D47A1" w:sz="4" w:space="6"/>
        </w:pBdr>
        <w:spacing w:before="360" w:after="160"/>
      </w:pPr>
      <w:r>
        <w:rPr>
          <w:rFonts w:ascii="Calibri" w:cs="Calibri" w:eastAsia="Calibri" w:hAnsi="Calibri"/>
          <w:b/>
          <w:bCs/>
          <w:color w:val="0D47A1"/>
          <w:sz w:val="36"/>
          <w:szCs w:val="36"/>
        </w:rPr>
        <w:t xml:space="preserve">N7. Datenverfügbarkeits-Matrix &amp; Indexierungsarchitektur</w:t>
      </w:r>
    </w:p>
    <w:p>
      <w:pPr>
        <w:spacing w:before="60" w:after="90"/>
      </w:pPr>
      <w:r>
        <w:rPr>
          <w:rFonts w:ascii="Calibri" w:cs="Calibri" w:eastAsia="Calibri" w:hAnsi="Calibri"/>
          <w:color w:val="212121"/>
          <w:sz w:val="21"/>
          <w:szCs w:val="21"/>
        </w:rPr>
        <w:t xml:space="preserve">Die folgende Matrix gibt einen vollständigen Überblick über alle benötigten Datenquellen je Protokoll, ihren Verfügbarkeitsstatus und die empfohlene Indexierungsstrategie für das SaaS-Tool.</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1000"/>
        <w:gridCol w:w="1000"/>
        <w:gridCol w:w="1000"/>
        <w:gridCol w:w="1226"/>
      </w:tblGrid>
      <w:tr>
        <w:trPr>
          <w:tblHeader/>
        </w:trPr>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Datentyp</w:t>
            </w:r>
          </w:p>
        </w:tc>
        <w:tc>
          <w:tcPr>
            <w:tcW w:type="dxa" w:w="1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SparkDEX</w:t>
            </w:r>
          </w:p>
        </w:tc>
        <w:tc>
          <w:tcPr>
            <w:tcW w:type="dxa" w:w="1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Ēnosys</w:t>
            </w:r>
          </w:p>
        </w:tc>
        <w:tc>
          <w:tcPr>
            <w:tcW w:type="dxa" w:w="1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Kinetic</w:t>
            </w:r>
          </w:p>
        </w:tc>
        <w:tc>
          <w:tcPr>
            <w:tcW w:type="dxa" w:w="1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Stargate</w:t>
            </w:r>
          </w:p>
        </w:tc>
        <w:tc>
          <w:tcPr>
            <w:tcW w:type="dxa" w:w="1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Aave</w:t>
            </w:r>
          </w:p>
        </w:tc>
        <w:tc>
          <w:tcPr>
            <w:tcW w:type="dxa" w:w="1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Flare Base</w:t>
            </w:r>
          </w:p>
        </w:tc>
        <w:tc>
          <w:tcPr>
            <w:tcW w:type="dxa" w:w="12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Empfohlene Quelle</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Swap/Trade Events</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Subgraph</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Subgraph</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546E7A"/>
                <w:sz w:val="20"/>
                <w:szCs w:val="20"/>
              </w:rPr>
              <w:t xml:space="preserve">n/a</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Subgraph</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Subgraph</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546E7A"/>
                <w:sz w:val="20"/>
                <w:szCs w:val="20"/>
              </w:rPr>
              <w:t xml:space="preserve">n/a</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The Graph Subgraph</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LP Mint/Burn</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546E7A"/>
                <w:sz w:val="20"/>
                <w:szCs w:val="20"/>
              </w:rPr>
              <w:t xml:space="preserve">n/a</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546E7A"/>
                <w:sz w:val="20"/>
                <w:szCs w:val="20"/>
              </w:rPr>
              <w:t xml:space="preserve">n/a</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546E7A"/>
                <w:sz w:val="20"/>
                <w:szCs w:val="20"/>
              </w:rPr>
              <w:t xml:space="preserve">n/a</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EVM Event Logs (Mint/Burn)</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Supply/Borrow</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546E7A"/>
                <w:sz w:val="20"/>
                <w:szCs w:val="20"/>
              </w:rPr>
              <w:t xml:space="preserve">n/a</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Loans Beta</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Compound-ABI</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546E7A"/>
                <w:sz w:val="20"/>
                <w:szCs w:val="20"/>
              </w:rPr>
              <w:t xml:space="preserve">n/a</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546E7A"/>
                <w:sz w:val="20"/>
                <w:szCs w:val="20"/>
              </w:rPr>
              <w:t xml:space="preserve">n/a</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Compound V2 Events</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Staking/Reward</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SPRK</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APS/HLN</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kii</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STG</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stkAAVE</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FLR/rFLR</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Protokoll-Events + FTSO</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Cross-Chain TX</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546E7A"/>
                <w:sz w:val="20"/>
                <w:szCs w:val="20"/>
              </w:rPr>
              <w:t xml:space="preserve">n/a</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Bridge Beta</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546E7A"/>
                <w:sz w:val="20"/>
                <w:szCs w:val="20"/>
              </w:rPr>
              <w:t xml:space="preserve">n/a</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LayerZero-ID</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546E7A"/>
                <w:sz w:val="20"/>
                <w:szCs w:val="20"/>
              </w:rPr>
              <w:t xml:space="preserve">n/a</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FDC</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LayerZero Scan API</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EUR-Kurs (FTSO)</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Primär</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Primär</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Primär</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FTSO/CG</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Chainlink/CG</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FTSO nativ</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FTSO + CoinGecko Fallback</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Liquidationen</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546E7A"/>
                <w:sz w:val="20"/>
                <w:szCs w:val="20"/>
              </w:rPr>
              <w:t xml:space="preserve">n/a</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CDP Loans</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546E7A"/>
                <w:sz w:val="20"/>
                <w:szCs w:val="20"/>
              </w:rPr>
              <w:t xml:space="preserve">n/a</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546E7A"/>
                <w:sz w:val="20"/>
                <w:szCs w:val="20"/>
              </w:rPr>
              <w:t xml:space="preserve">n/a</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Compound/Aave Liquidation Events</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Historical Preise</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w:t>
            </w:r>
          </w:p>
        </w:tc>
        <w:tc>
          <w:tcPr>
            <w:tcW w:type="dxa" w:w="1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CoinGecko + CMC (BMF-anerk.)</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N7.1 Empfohlene Indexierungs-Technologieschicht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400"/>
        <w:gridCol w:w="1426"/>
      </w:tblGrid>
      <w:tr>
        <w:trPr>
          <w:tblHeader/>
        </w:trPr>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Layer</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Technologie</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Protokolle</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Update-Frequenz</w:t>
            </w:r>
          </w:p>
        </w:tc>
        <w:tc>
          <w:tcPr>
            <w:tcW w:type="dxa" w:w="14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Fallback</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Layer 1: Subgraph</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The Graph Protocol (GraphQL)</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SparkDEX, Ēnosys, Aave</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30 Sekunden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Direkter RPC-Fallback</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Layer 2: EVM RPC</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Flare JSON-RPC / eth_getLogs</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EVM-Protokolle</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Echtzeit (neue Blöcke)</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Öffentlicher RPC als Backup</w:t>
            </w:r>
          </w:p>
        </w:tc>
      </w:tr>
      <w:tr>
        <w:tc>
          <w:tcPr>
            <w:tcW w:type="dxa" w:w="18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Layer 3: Protokoll-API</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Kinetic REST API, Aave REST API</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Kinetic, Aave</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60 Sekunden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Compound/Aave Subgraph</w:t>
            </w:r>
          </w:p>
        </w:tc>
      </w:tr>
      <w:tr>
        <w:tc>
          <w:tcPr>
            <w:tcW w:type="dxa" w:w="18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Layer 4: Cross-Chain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LayerZero Scan API</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Stargate, Ēnosys Bridge</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120 Sekunden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Manuelle TX-Verknüpfung</w:t>
            </w:r>
          </w:p>
        </w:tc>
      </w:tr>
      <w:tr>
        <w:tc>
          <w:tcPr>
            <w:tcW w:type="dxa" w:w="18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Layer 5: Preisfeeds</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FTSO (primär) + CoinGecko/CMC</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Token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Echtzeit / minütlich</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CoinMarketCap (BMF-anerkannt)</w:t>
            </w:r>
          </w:p>
        </w:tc>
      </w:tr>
    </w:tbl>
    <w:p>
      <w:pPr>
        <w:spacing w:before="200" w:after="0"/>
      </w:pPr>
      <w:r>
        <w:t xml:space="preserve"/>
      </w:r>
    </w:p>
    <w:p>
      <w:pPr>
        <w:pBdr>
          <w:top w:val="single" w:color="0D47A1" w:sz="4" w:space="8"/>
        </w:pBdr>
        <w:spacing w:before="200" w:after="0"/>
        <w:jc w:val="center"/>
      </w:pPr>
      <w:r>
        <w:rPr>
          <w:rFonts w:ascii="Calibri" w:cs="Calibri" w:eastAsia="Calibri" w:hAnsi="Calibri"/>
          <w:i/>
          <w:iCs/>
          <w:color w:val="999999"/>
          <w:sz w:val="17"/>
          <w:szCs w:val="17"/>
        </w:rPr>
        <w:t xml:space="preserve">Zielnetzwerk- &amp; Plattformanalyse – NextGen IT Solutions GmbH, Stuttgart · März 2026 · Quelldaten: DefiLlama, Flare Developers Docs, Protokoll-Dokumentationen</w:t>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2"/>
              <w:left w:val="single" w:color="0D47A1" w:sz="1"/>
              <w:bottom w:val="single" w:color="E65100" w:sz="6"/>
              <w:right w:val="single" w:color="0D47A1" w:sz="1"/>
            </w:tcBorders>
            <w:shd w:fill="0A3880" w:val="clear"/>
            <w:tcMar>
              <w:top w:type="dxa" w:w="160"/>
              <w:left w:type="dxa" w:w="280"/>
              <w:bottom w:type="dxa" w:w="160"/>
              <w:right w:type="dxa" w:w="200"/>
            </w:tcMar>
          </w:tcPr>
          <w:p>
            <w:pPr>
              <w:spacing w:before="0" w:after="40"/>
              <w:jc w:val="center"/>
            </w:pPr>
            <w:r>
              <w:rPr>
                <w:rFonts w:ascii="Calibri" w:cs="Calibri" w:eastAsia="Calibri" w:hAnsi="Calibri"/>
                <w:b/>
                <w:bCs/>
                <w:color w:val="FFFFFF"/>
                <w:sz w:val="40"/>
                <w:szCs w:val="40"/>
              </w:rPr>
              <w:t xml:space="preserve">PRODUKT- &amp; FUNKTIONSANALYSE</w:t>
            </w:r>
          </w:p>
          <w:p>
            <w:pPr>
              <w:spacing w:before="0" w:after="0"/>
              <w:jc w:val="center"/>
            </w:pPr>
            <w:r>
              <w:rPr>
                <w:rFonts w:ascii="Calibri" w:cs="Calibri" w:eastAsia="Calibri" w:hAnsi="Calibri"/>
                <w:color w:val="B0C4DE"/>
                <w:sz w:val="22"/>
                <w:szCs w:val="22"/>
              </w:rPr>
              <w:t xml:space="preserve">User Personas · User Stories · Feature-Specs · UX-Flows · MoSCoW · NFRs · API · Stand: März 2026</w:t>
            </w:r>
          </w:p>
        </w:tc>
      </w:tr>
    </w:tbl>
    <w:p>
      <w:pPr>
        <w:spacing w:before="200" w:after="0"/>
      </w:pPr>
      <w:r>
        <w:t xml:space="preserve"/>
      </w:r>
    </w:p>
    <w:p>
      <w:pPr>
        <w:pStyle w:val="Heading1"/>
        <w:pBdr>
          <w:bottom w:val="single" w:color="0D47A1" w:sz="4" w:space="6"/>
        </w:pBdr>
        <w:spacing w:before="360" w:after="160"/>
      </w:pPr>
      <w:r>
        <w:rPr>
          <w:rFonts w:ascii="Calibri" w:cs="Calibri" w:eastAsia="Calibri" w:hAnsi="Calibri"/>
          <w:b/>
          <w:bCs/>
          <w:color w:val="0D47A1"/>
          <w:sz w:val="36"/>
          <w:szCs w:val="36"/>
        </w:rPr>
        <w:t xml:space="preserve">P1. User Personas – Zielgruppen &amp; Nutzerprofile</w:t>
      </w:r>
    </w:p>
    <w:p>
      <w:pPr>
        <w:spacing w:before="60" w:after="90"/>
      </w:pPr>
      <w:r>
        <w:rPr>
          <w:rFonts w:ascii="Calibri" w:cs="Calibri" w:eastAsia="Calibri" w:hAnsi="Calibri"/>
          <w:color w:val="212121"/>
          <w:sz w:val="21"/>
          <w:szCs w:val="21"/>
        </w:rPr>
        <w:t xml:space="preserve">Die Produktentwicklung orientiert sich an fünf klar definierten Nutzer-Personas. Jede Persona repräsentiert ein reales Marktsegment mit spezifischen Anforderungen, Schmerzpunkten und Zielen. Die Feature-Priorisierung (MoSCoW) und die UX-Flows richten sich an diesen Personas aus.</w:t>
      </w:r>
    </w:p>
    <w:p>
      <w:pPr>
        <w:spacing w:before="100" w:after="0"/>
      </w:pPr>
      <w:r>
        <w:t xml:space="preserve"/>
      </w:r>
    </w:p>
    <w:p>
      <w:pPr>
        <w:spacing w:before="200" w:after="80"/>
      </w:pPr>
      <w:r>
        <w:rPr>
          <w:rFonts w:ascii="Calibri" w:cs="Calibri" w:eastAsia="Calibri" w:hAnsi="Calibri"/>
          <w:b/>
          <w:bCs/>
          <w:color w:val="006064"/>
          <w:sz w:val="23"/>
          <w:szCs w:val="23"/>
        </w:rPr>
        <w:t xml:space="preserve">P1.1 Primäre Personas (B2C – Direktnutzer)</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0D47A1" w:sz="10"/>
              <w:left w:val="single" w:color="0D47A1" w:sz="1"/>
              <w:bottom w:val="single" w:color="0D47A1" w:sz="1"/>
              <w:right w:val="single" w:color="CFD8DC" w:sz="1"/>
            </w:tcBorders>
            <w:shd w:fill="E3F2FD" w:val="clear"/>
            <w:tcMar>
              <w:top w:type="dxa" w:w="100"/>
              <w:left w:type="dxa" w:w="140"/>
              <w:bottom w:type="dxa" w:w="100"/>
              <w:right w:type="dxa" w:w="100"/>
            </w:tcMar>
            <w:vAlign w:val="center"/>
          </w:tcPr>
          <w:p>
            <w:pPr>
              <w:jc w:val="center"/>
            </w:pPr>
            <w:r>
              <w:rPr>
                <w:rFonts w:ascii="Calibri" w:cs="Calibri" w:eastAsia="Calibri" w:hAnsi="Calibri"/>
                <w:sz w:val="52"/>
                <w:szCs w:val="52"/>
              </w:rPr>
              <w:t xml:space="preserve">🧑‍💻</w:t>
            </w:r>
          </w:p>
          <w:p>
            <w:pPr>
              <w:jc w:val="center"/>
            </w:pPr>
            <w:r>
              <w:rPr>
                <w:rFonts w:ascii="Calibri" w:cs="Calibri" w:eastAsia="Calibri" w:hAnsi="Calibri"/>
                <w:b/>
                <w:bCs/>
                <w:color w:val="0D47A1"/>
                <w:sz w:val="18"/>
                <w:szCs w:val="18"/>
              </w:rPr>
              <w:t xml:space="preserve">Kai</w:t>
            </w:r>
          </w:p>
          <w:p>
            <w:pPr>
              <w:jc w:val="center"/>
            </w:pPr>
            <w:r>
              <w:rPr>
                <w:rFonts w:ascii="Calibri" w:cs="Calibri" w:eastAsia="Calibri" w:hAnsi="Calibri"/>
                <w:color w:val="546E7A"/>
                <w:sz w:val="17"/>
                <w:szCs w:val="17"/>
              </w:rPr>
              <w:t xml:space="preserve">28 Jahre, München</w:t>
            </w:r>
          </w:p>
        </w:tc>
        <w:tc>
          <w:tcPr>
            <w:tcW w:type="dxa" w:w="8026"/>
            <w:tcBorders>
              <w:top w:val="single" w:color="0D47A1" w:sz="10"/>
              <w:left w:val="single" w:color="CFD8DC" w:sz="1"/>
              <w:bottom w:val="single" w:color="0D47A1" w:sz="1"/>
              <w:right w:val="single" w:color="0D47A1" w:sz="1"/>
            </w:tcBorders>
            <w:shd w:fill="FFFFFF" w:val="clear"/>
            <w:tcMar>
              <w:top w:type="dxa" w:w="100"/>
              <w:left w:type="dxa" w:w="160"/>
              <w:bottom w:type="dxa" w:w="100"/>
              <w:right w:type="dxa" w:w="120"/>
            </w:tcMar>
          </w:tcPr>
          <w:p>
            <w:pPr>
              <w:spacing w:before="0" w:after="30"/>
            </w:pPr>
            <w:r>
              <w:rPr>
                <w:rFonts w:ascii="Calibri" w:cs="Calibri" w:eastAsia="Calibri" w:hAnsi="Calibri"/>
                <w:b/>
                <w:bCs/>
                <w:color w:val="0D47A1"/>
                <w:sz w:val="21"/>
                <w:szCs w:val="21"/>
              </w:rPr>
              <w:t xml:space="preserve">DeFi-Privatanleger (Fortgeschritten)</w:t>
            </w:r>
          </w:p>
          <w:p>
            <w:pPr>
              <w:spacing w:before="0" w:after="50"/>
            </w:pPr>
            <w:r>
              <w:rPr>
                <w:rFonts w:ascii="Calibri" w:cs="Calibri" w:eastAsia="Calibri" w:hAnsi="Calibri"/>
                <w:color w:val="546E7A"/>
                <w:sz w:val="19"/>
                <w:szCs w:val="19"/>
              </w:rPr>
              <w:t xml:space="preserve">🖥 Tech-Level: Experte (MetaMask, DeFi-native)</w:t>
            </w:r>
          </w:p>
          <w:p>
            <w:pPr>
              <w:spacing w:before="0" w:after="30"/>
            </w:pPr>
            <w:r>
              <w:rPr>
                <w:rFonts w:ascii="Calibri" w:cs="Calibri" w:eastAsia="Calibri" w:hAnsi="Calibri"/>
                <w:b/>
                <w:bCs/>
                <w:color w:val="B71C1C"/>
                <w:sz w:val="19"/>
                <w:szCs w:val="19"/>
              </w:rPr>
              <w:t xml:space="preserve">❗ Schmerzpunkt: </w:t>
            </w:r>
            <w:r>
              <w:rPr>
                <w:rFonts w:ascii="Calibri" w:cs="Calibri" w:eastAsia="Calibri" w:hAnsi="Calibri"/>
                <w:color w:val="212121"/>
                <w:sz w:val="19"/>
                <w:szCs w:val="19"/>
              </w:rPr>
              <w:t xml:space="preserve">Steuererklärung dauert 3 Tage wegen manueller CSV-Aufbereitung. Keine automatische LP-Tracking-Lösung für Flare.</w:t>
            </w:r>
          </w:p>
          <w:p>
            <w:pPr>
              <w:spacing w:before="0" w:after="0"/>
            </w:pPr>
            <w:r>
              <w:rPr>
                <w:rFonts w:ascii="Calibri" w:cs="Calibri" w:eastAsia="Calibri" w:hAnsi="Calibri"/>
                <w:b/>
                <w:bCs/>
                <w:color w:val="1B5E20"/>
                <w:sz w:val="19"/>
                <w:szCs w:val="19"/>
              </w:rPr>
              <w:t xml:space="preserve">🎯 Ziel: </w:t>
            </w:r>
            <w:r>
              <w:rPr>
                <w:rFonts w:ascii="Calibri" w:cs="Calibri" w:eastAsia="Calibri" w:hAnsi="Calibri"/>
                <w:color w:val="212121"/>
                <w:sz w:val="19"/>
                <w:szCs w:val="19"/>
              </w:rPr>
              <w:t xml:space="preserve">CoinTracking-Export in &lt; 5 Minuten, vollständige Flare+Aave-Abdeckung, FIFO-Auto-Berechnung.</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1B5E20" w:sz="10"/>
              <w:left w:val="single" w:color="1B5E20" w:sz="1"/>
              <w:bottom w:val="single" w:color="1B5E20" w:sz="1"/>
              <w:right w:val="single" w:color="CFD8DC" w:sz="1"/>
            </w:tcBorders>
            <w:shd w:fill="E8F5E9" w:val="clear"/>
            <w:tcMar>
              <w:top w:type="dxa" w:w="100"/>
              <w:left w:type="dxa" w:w="140"/>
              <w:bottom w:type="dxa" w:w="100"/>
              <w:right w:type="dxa" w:w="100"/>
            </w:tcMar>
            <w:vAlign w:val="center"/>
          </w:tcPr>
          <w:p>
            <w:pPr>
              <w:jc w:val="center"/>
            </w:pPr>
            <w:r>
              <w:rPr>
                <w:rFonts w:ascii="Calibri" w:cs="Calibri" w:eastAsia="Calibri" w:hAnsi="Calibri"/>
                <w:sz w:val="52"/>
                <w:szCs w:val="52"/>
              </w:rPr>
              <w:t xml:space="preserve">👩‍💼</w:t>
            </w:r>
          </w:p>
          <w:p>
            <w:pPr>
              <w:jc w:val="center"/>
            </w:pPr>
            <w:r>
              <w:rPr>
                <w:rFonts w:ascii="Calibri" w:cs="Calibri" w:eastAsia="Calibri" w:hAnsi="Calibri"/>
                <w:b/>
                <w:bCs/>
                <w:color w:val="1B5E20"/>
                <w:sz w:val="18"/>
                <w:szCs w:val="18"/>
              </w:rPr>
              <w:t xml:space="preserve">Lena</w:t>
            </w:r>
          </w:p>
          <w:p>
            <w:pPr>
              <w:jc w:val="center"/>
            </w:pPr>
            <w:r>
              <w:rPr>
                <w:rFonts w:ascii="Calibri" w:cs="Calibri" w:eastAsia="Calibri" w:hAnsi="Calibri"/>
                <w:color w:val="546E7A"/>
                <w:sz w:val="17"/>
                <w:szCs w:val="17"/>
              </w:rPr>
              <w:t xml:space="preserve">34 Jahre, Hamburg</w:t>
            </w:r>
          </w:p>
        </w:tc>
        <w:tc>
          <w:tcPr>
            <w:tcW w:type="dxa" w:w="8026"/>
            <w:tcBorders>
              <w:top w:val="single" w:color="1B5E20" w:sz="10"/>
              <w:left w:val="single" w:color="CFD8DC" w:sz="1"/>
              <w:bottom w:val="single" w:color="1B5E20" w:sz="1"/>
              <w:right w:val="single" w:color="1B5E20" w:sz="1"/>
            </w:tcBorders>
            <w:shd w:fill="FFFFFF" w:val="clear"/>
            <w:tcMar>
              <w:top w:type="dxa" w:w="100"/>
              <w:left w:type="dxa" w:w="160"/>
              <w:bottom w:type="dxa" w:w="100"/>
              <w:right w:type="dxa" w:w="120"/>
            </w:tcMar>
          </w:tcPr>
          <w:p>
            <w:pPr>
              <w:spacing w:before="0" w:after="30"/>
            </w:pPr>
            <w:r>
              <w:rPr>
                <w:rFonts w:ascii="Calibri" w:cs="Calibri" w:eastAsia="Calibri" w:hAnsi="Calibri"/>
                <w:b/>
                <w:bCs/>
                <w:color w:val="1B5E20"/>
                <w:sz w:val="21"/>
                <w:szCs w:val="21"/>
              </w:rPr>
              <w:t xml:space="preserve">Krypto-Einsteigerin mit DeFi-Interesse</w:t>
            </w:r>
          </w:p>
          <w:p>
            <w:pPr>
              <w:spacing w:before="0" w:after="50"/>
            </w:pPr>
            <w:r>
              <w:rPr>
                <w:rFonts w:ascii="Calibri" w:cs="Calibri" w:eastAsia="Calibri" w:hAnsi="Calibri"/>
                <w:color w:val="546E7A"/>
                <w:sz w:val="19"/>
                <w:szCs w:val="19"/>
              </w:rPr>
              <w:t xml:space="preserve">🖥 Tech-Level: Mittel (Coinbase App, erste Schritte in DeFi)</w:t>
            </w:r>
          </w:p>
          <w:p>
            <w:pPr>
              <w:spacing w:before="0" w:after="30"/>
            </w:pPr>
            <w:r>
              <w:rPr>
                <w:rFonts w:ascii="Calibri" w:cs="Calibri" w:eastAsia="Calibri" w:hAnsi="Calibri"/>
                <w:b/>
                <w:bCs/>
                <w:color w:val="B71C1C"/>
                <w:sz w:val="19"/>
                <w:szCs w:val="19"/>
              </w:rPr>
              <w:t xml:space="preserve">❗ Schmerzpunkt: </w:t>
            </w:r>
            <w:r>
              <w:rPr>
                <w:rFonts w:ascii="Calibri" w:cs="Calibri" w:eastAsia="Calibri" w:hAnsi="Calibri"/>
                <w:color w:val="212121"/>
                <w:sz w:val="19"/>
                <w:szCs w:val="19"/>
              </w:rPr>
              <w:t xml:space="preserve">Versteht § 22/§23 EStG nicht. Unsicher ob LP-Rewards versteuert werden müssen. Angst vor Fehlern beim Finanzamt.</w:t>
            </w:r>
          </w:p>
          <w:p>
            <w:pPr>
              <w:spacing w:before="0" w:after="0"/>
            </w:pPr>
            <w:r>
              <w:rPr>
                <w:rFonts w:ascii="Calibri" w:cs="Calibri" w:eastAsia="Calibri" w:hAnsi="Calibri"/>
                <w:b/>
                <w:bCs/>
                <w:color w:val="1B5E20"/>
                <w:sz w:val="19"/>
                <w:szCs w:val="19"/>
              </w:rPr>
              <w:t xml:space="preserve">🎯 Ziel: </w:t>
            </w:r>
            <w:r>
              <w:rPr>
                <w:rFonts w:ascii="Calibri" w:cs="Calibri" w:eastAsia="Calibri" w:hAnsi="Calibri"/>
                <w:color w:val="212121"/>
                <w:sz w:val="19"/>
                <w:szCs w:val="19"/>
              </w:rPr>
              <w:t xml:space="preserve">Automatische steuerliche Klassifikation, deutsche Erklärungen bei jedem Transaktionstyp, keine manuellen Eingriffe nötig.</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E65100" w:sz="10"/>
              <w:left w:val="single" w:color="E65100" w:sz="1"/>
              <w:bottom w:val="single" w:color="E65100" w:sz="1"/>
              <w:right w:val="single" w:color="CFD8DC" w:sz="1"/>
            </w:tcBorders>
            <w:shd w:fill="FFF8E1" w:val="clear"/>
            <w:tcMar>
              <w:top w:type="dxa" w:w="100"/>
              <w:left w:type="dxa" w:w="140"/>
              <w:bottom w:type="dxa" w:w="100"/>
              <w:right w:type="dxa" w:w="100"/>
            </w:tcMar>
            <w:vAlign w:val="center"/>
          </w:tcPr>
          <w:p>
            <w:pPr>
              <w:jc w:val="center"/>
            </w:pPr>
            <w:r>
              <w:rPr>
                <w:rFonts w:ascii="Calibri" w:cs="Calibri" w:eastAsia="Calibri" w:hAnsi="Calibri"/>
                <w:sz w:val="52"/>
                <w:szCs w:val="52"/>
              </w:rPr>
              <w:t xml:space="preserve">🏦</w:t>
            </w:r>
          </w:p>
          <w:p>
            <w:pPr>
              <w:jc w:val="center"/>
            </w:pPr>
            <w:r>
              <w:rPr>
                <w:rFonts w:ascii="Calibri" w:cs="Calibri" w:eastAsia="Calibri" w:hAnsi="Calibri"/>
                <w:b/>
                <w:bCs/>
                <w:color w:val="E65100"/>
                <w:sz w:val="18"/>
                <w:szCs w:val="18"/>
              </w:rPr>
              <w:t xml:space="preserve">Marcus</w:t>
            </w:r>
          </w:p>
          <w:p>
            <w:pPr>
              <w:jc w:val="center"/>
            </w:pPr>
            <w:r>
              <w:rPr>
                <w:rFonts w:ascii="Calibri" w:cs="Calibri" w:eastAsia="Calibri" w:hAnsi="Calibri"/>
                <w:color w:val="546E7A"/>
                <w:sz w:val="17"/>
                <w:szCs w:val="17"/>
              </w:rPr>
              <w:t xml:space="preserve">42 Jahre, Frankfurt</w:t>
            </w:r>
          </w:p>
        </w:tc>
        <w:tc>
          <w:tcPr>
            <w:tcW w:type="dxa" w:w="8026"/>
            <w:tcBorders>
              <w:top w:val="single" w:color="E65100" w:sz="10"/>
              <w:left w:val="single" w:color="CFD8DC" w:sz="1"/>
              <w:bottom w:val="single" w:color="E65100" w:sz="1"/>
              <w:right w:val="single" w:color="E65100" w:sz="1"/>
            </w:tcBorders>
            <w:shd w:fill="FFFFFF" w:val="clear"/>
            <w:tcMar>
              <w:top w:type="dxa" w:w="100"/>
              <w:left w:type="dxa" w:w="160"/>
              <w:bottom w:type="dxa" w:w="100"/>
              <w:right w:type="dxa" w:w="120"/>
            </w:tcMar>
          </w:tcPr>
          <w:p>
            <w:pPr>
              <w:spacing w:before="0" w:after="30"/>
            </w:pPr>
            <w:r>
              <w:rPr>
                <w:rFonts w:ascii="Calibri" w:cs="Calibri" w:eastAsia="Calibri" w:hAnsi="Calibri"/>
                <w:b/>
                <w:bCs/>
                <w:color w:val="E65100"/>
                <w:sz w:val="21"/>
                <w:szCs w:val="21"/>
              </w:rPr>
              <w:t xml:space="preserve">Institutioneller DeFi-Investor</w:t>
            </w:r>
          </w:p>
          <w:p>
            <w:pPr>
              <w:spacing w:before="0" w:after="50"/>
            </w:pPr>
            <w:r>
              <w:rPr>
                <w:rFonts w:ascii="Calibri" w:cs="Calibri" w:eastAsia="Calibri" w:hAnsi="Calibri"/>
                <w:color w:val="546E7A"/>
                <w:sz w:val="19"/>
                <w:szCs w:val="19"/>
              </w:rPr>
              <w:t xml:space="preserve">🖥 Tech-Level: Hoch (Bloomberg Terminal, DeFi-Protokoll-Level)</w:t>
            </w:r>
          </w:p>
          <w:p>
            <w:pPr>
              <w:spacing w:before="0" w:after="30"/>
            </w:pPr>
            <w:r>
              <w:rPr>
                <w:rFonts w:ascii="Calibri" w:cs="Calibri" w:eastAsia="Calibri" w:hAnsi="Calibri"/>
                <w:b/>
                <w:bCs/>
                <w:color w:val="B71C1C"/>
                <w:sz w:val="19"/>
                <w:szCs w:val="19"/>
              </w:rPr>
              <w:t xml:space="preserve">❗ Schmerzpunkt: </w:t>
            </w:r>
            <w:r>
              <w:rPr>
                <w:rFonts w:ascii="Calibri" w:cs="Calibri" w:eastAsia="Calibri" w:hAnsi="Calibri"/>
                <w:color w:val="212121"/>
                <w:sz w:val="19"/>
                <w:szCs w:val="19"/>
              </w:rPr>
              <w:t xml:space="preserve">Portfolio über 5 Wallets + 8 Chains verteilt. Keine einheitliche P&amp;L-Sicht. Steuerberater braucht manuell aufbereitete Belege.</w:t>
            </w:r>
          </w:p>
          <w:p>
            <w:pPr>
              <w:spacing w:before="0" w:after="0"/>
            </w:pPr>
            <w:r>
              <w:rPr>
                <w:rFonts w:ascii="Calibri" w:cs="Calibri" w:eastAsia="Calibri" w:hAnsi="Calibri"/>
                <w:b/>
                <w:bCs/>
                <w:color w:val="1B5E20"/>
                <w:sz w:val="19"/>
                <w:szCs w:val="19"/>
              </w:rPr>
              <w:t xml:space="preserve">🎯 Ziel: </w:t>
            </w:r>
            <w:r>
              <w:rPr>
                <w:rFonts w:ascii="Calibri" w:cs="Calibri" w:eastAsia="Calibri" w:hAnsi="Calibri"/>
                <w:color w:val="212121"/>
                <w:sz w:val="19"/>
                <w:szCs w:val="19"/>
              </w:rPr>
              <w:t xml:space="preserve">Multi-Wallet-Konsolidierung, GoBD-Audit-Log, ELSTER-XML-Export, API-Anbindung an Kanzlei-Software.</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P1.2 Sekundäre Personas (B2B)</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4A148C" w:sz="10"/>
              <w:left w:val="single" w:color="4A148C" w:sz="1"/>
              <w:bottom w:val="single" w:color="4A148C" w:sz="1"/>
              <w:right w:val="single" w:color="CFD8DC" w:sz="1"/>
            </w:tcBorders>
            <w:shd w:fill="F3E5F5" w:val="clear"/>
            <w:tcMar>
              <w:top w:type="dxa" w:w="100"/>
              <w:left w:type="dxa" w:w="140"/>
              <w:bottom w:type="dxa" w:w="100"/>
              <w:right w:type="dxa" w:w="100"/>
            </w:tcMar>
            <w:vAlign w:val="center"/>
          </w:tcPr>
          <w:p>
            <w:pPr>
              <w:jc w:val="center"/>
            </w:pPr>
            <w:r>
              <w:rPr>
                <w:rFonts w:ascii="Calibri" w:cs="Calibri" w:eastAsia="Calibri" w:hAnsi="Calibri"/>
                <w:sz w:val="52"/>
                <w:szCs w:val="52"/>
              </w:rPr>
              <w:t xml:space="preserve">⚖️</w:t>
            </w:r>
          </w:p>
          <w:p>
            <w:pPr>
              <w:jc w:val="center"/>
            </w:pPr>
            <w:r>
              <w:rPr>
                <w:rFonts w:ascii="Calibri" w:cs="Calibri" w:eastAsia="Calibri" w:hAnsi="Calibri"/>
                <w:b/>
                <w:bCs/>
                <w:color w:val="4A148C"/>
                <w:sz w:val="18"/>
                <w:szCs w:val="18"/>
              </w:rPr>
              <w:t xml:space="preserve">Andrea</w:t>
            </w:r>
          </w:p>
          <w:p>
            <w:pPr>
              <w:jc w:val="center"/>
            </w:pPr>
            <w:r>
              <w:rPr>
                <w:rFonts w:ascii="Calibri" w:cs="Calibri" w:eastAsia="Calibri" w:hAnsi="Calibri"/>
                <w:color w:val="546E7A"/>
                <w:sz w:val="17"/>
                <w:szCs w:val="17"/>
              </w:rPr>
              <w:t xml:space="preserve">39 Jahre, Stuttgart</w:t>
            </w:r>
          </w:p>
        </w:tc>
        <w:tc>
          <w:tcPr>
            <w:tcW w:type="dxa" w:w="8026"/>
            <w:tcBorders>
              <w:top w:val="single" w:color="4A148C" w:sz="10"/>
              <w:left w:val="single" w:color="CFD8DC" w:sz="1"/>
              <w:bottom w:val="single" w:color="4A148C" w:sz="1"/>
              <w:right w:val="single" w:color="4A148C" w:sz="1"/>
            </w:tcBorders>
            <w:shd w:fill="FFFFFF" w:val="clear"/>
            <w:tcMar>
              <w:top w:type="dxa" w:w="100"/>
              <w:left w:type="dxa" w:w="160"/>
              <w:bottom w:type="dxa" w:w="100"/>
              <w:right w:type="dxa" w:w="120"/>
            </w:tcMar>
          </w:tcPr>
          <w:p>
            <w:pPr>
              <w:spacing w:before="0" w:after="30"/>
            </w:pPr>
            <w:r>
              <w:rPr>
                <w:rFonts w:ascii="Calibri" w:cs="Calibri" w:eastAsia="Calibri" w:hAnsi="Calibri"/>
                <w:b/>
                <w:bCs/>
                <w:color w:val="4A148C"/>
                <w:sz w:val="21"/>
                <w:szCs w:val="21"/>
              </w:rPr>
              <w:t xml:space="preserve">Krypto-Steuerbereraterin</w:t>
            </w:r>
          </w:p>
          <w:p>
            <w:pPr>
              <w:spacing w:before="0" w:after="50"/>
            </w:pPr>
            <w:r>
              <w:rPr>
                <w:rFonts w:ascii="Calibri" w:cs="Calibri" w:eastAsia="Calibri" w:hAnsi="Calibri"/>
                <w:color w:val="546E7A"/>
                <w:sz w:val="19"/>
                <w:szCs w:val="19"/>
              </w:rPr>
              <w:t xml:space="preserve">🖥 Tech-Level: Mittel (DATEV, Steuererklärung, kein Web3-Know-how)</w:t>
            </w:r>
          </w:p>
          <w:p>
            <w:pPr>
              <w:spacing w:before="0" w:after="30"/>
            </w:pPr>
            <w:r>
              <w:rPr>
                <w:rFonts w:ascii="Calibri" w:cs="Calibri" w:eastAsia="Calibri" w:hAnsi="Calibri"/>
                <w:b/>
                <w:bCs/>
                <w:color w:val="B71C1C"/>
                <w:sz w:val="19"/>
                <w:szCs w:val="19"/>
              </w:rPr>
              <w:t xml:space="preserve">❗ Schmerzpunkt: </w:t>
            </w:r>
            <w:r>
              <w:rPr>
                <w:rFonts w:ascii="Calibri" w:cs="Calibri" w:eastAsia="Calibri" w:hAnsi="Calibri"/>
                <w:color w:val="212121"/>
                <w:sz w:val="19"/>
                <w:szCs w:val="19"/>
              </w:rPr>
              <w:t xml:space="preserve">Mandanten bringen unstrukturierte CSV-Exports. Manuelle Prüfung kostet 4–8h pro Mandant. Haftet für Fehler.</w:t>
            </w:r>
          </w:p>
          <w:p>
            <w:pPr>
              <w:spacing w:before="0" w:after="0"/>
            </w:pPr>
            <w:r>
              <w:rPr>
                <w:rFonts w:ascii="Calibri" w:cs="Calibri" w:eastAsia="Calibri" w:hAnsi="Calibri"/>
                <w:b/>
                <w:bCs/>
                <w:color w:val="1B5E20"/>
                <w:sz w:val="19"/>
                <w:szCs w:val="19"/>
              </w:rPr>
              <w:t xml:space="preserve">🎯 Ziel: </w:t>
            </w:r>
            <w:r>
              <w:rPr>
                <w:rFonts w:ascii="Calibri" w:cs="Calibri" w:eastAsia="Calibri" w:hAnsi="Calibri"/>
                <w:color w:val="212121"/>
                <w:sz w:val="19"/>
                <w:szCs w:val="19"/>
              </w:rPr>
              <w:t xml:space="preserve">Multi-Mandanten-Portal, vorgefertigte Steuerberichte (Anlage SO), automatische Graubereich-Warnungen, DATEV-kompatible Exporte.</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004D40" w:sz="10"/>
              <w:left w:val="single" w:color="004D40" w:sz="1"/>
              <w:bottom w:val="single" w:color="004D40" w:sz="1"/>
              <w:right w:val="single" w:color="CFD8DC" w:sz="1"/>
            </w:tcBorders>
            <w:shd w:fill="E0F2F1" w:val="clear"/>
            <w:tcMar>
              <w:top w:type="dxa" w:w="100"/>
              <w:left w:type="dxa" w:w="140"/>
              <w:bottom w:type="dxa" w:w="100"/>
              <w:right w:type="dxa" w:w="100"/>
            </w:tcMar>
            <w:vAlign w:val="center"/>
          </w:tcPr>
          <w:p>
            <w:pPr>
              <w:jc w:val="center"/>
            </w:pPr>
            <w:r>
              <w:rPr>
                <w:rFonts w:ascii="Calibri" w:cs="Calibri" w:eastAsia="Calibri" w:hAnsi="Calibri"/>
                <w:sz w:val="52"/>
                <w:szCs w:val="52"/>
              </w:rPr>
              <w:t xml:space="preserve">🏗️</w:t>
            </w:r>
          </w:p>
          <w:p>
            <w:pPr>
              <w:jc w:val="center"/>
            </w:pPr>
            <w:r>
              <w:rPr>
                <w:rFonts w:ascii="Calibri" w:cs="Calibri" w:eastAsia="Calibri" w:hAnsi="Calibri"/>
                <w:b/>
                <w:bCs/>
                <w:color w:val="004D40"/>
                <w:sz w:val="18"/>
                <w:szCs w:val="18"/>
              </w:rPr>
              <w:t xml:space="preserve">Dev-Team</w:t>
            </w:r>
          </w:p>
          <w:p>
            <w:pPr>
              <w:jc w:val="center"/>
            </w:pPr>
            <w:r>
              <w:rPr>
                <w:rFonts w:ascii="Calibri" w:cs="Calibri" w:eastAsia="Calibri" w:hAnsi="Calibri"/>
                <w:color w:val="546E7A"/>
                <w:sz w:val="17"/>
                <w:szCs w:val="17"/>
              </w:rPr>
              <w:t xml:space="preserve">Startup, Berlin</w:t>
            </w:r>
          </w:p>
        </w:tc>
        <w:tc>
          <w:tcPr>
            <w:tcW w:type="dxa" w:w="8026"/>
            <w:tcBorders>
              <w:top w:val="single" w:color="004D40" w:sz="10"/>
              <w:left w:val="single" w:color="CFD8DC" w:sz="1"/>
              <w:bottom w:val="single" w:color="004D40" w:sz="1"/>
              <w:right w:val="single" w:color="004D40" w:sz="1"/>
            </w:tcBorders>
            <w:shd w:fill="FFFFFF" w:val="clear"/>
            <w:tcMar>
              <w:top w:type="dxa" w:w="100"/>
              <w:left w:type="dxa" w:w="160"/>
              <w:bottom w:type="dxa" w:w="100"/>
              <w:right w:type="dxa" w:w="120"/>
            </w:tcMar>
          </w:tcPr>
          <w:p>
            <w:pPr>
              <w:spacing w:before="0" w:after="30"/>
            </w:pPr>
            <w:r>
              <w:rPr>
                <w:rFonts w:ascii="Calibri" w:cs="Calibri" w:eastAsia="Calibri" w:hAnsi="Calibri"/>
                <w:b/>
                <w:bCs/>
                <w:color w:val="004D40"/>
                <w:sz w:val="21"/>
                <w:szCs w:val="21"/>
              </w:rPr>
              <w:t xml:space="preserve">SaaS / FinTech-Entwickler</w:t>
            </w:r>
          </w:p>
          <w:p>
            <w:pPr>
              <w:spacing w:before="0" w:after="50"/>
            </w:pPr>
            <w:r>
              <w:rPr>
                <w:rFonts w:ascii="Calibri" w:cs="Calibri" w:eastAsia="Calibri" w:hAnsi="Calibri"/>
                <w:color w:val="546E7A"/>
                <w:sz w:val="19"/>
                <w:szCs w:val="19"/>
              </w:rPr>
              <w:t xml:space="preserve">🖥 Tech-Level: Experte (REST API, Webhooks, OAuth2)</w:t>
            </w:r>
          </w:p>
          <w:p>
            <w:pPr>
              <w:spacing w:before="0" w:after="30"/>
            </w:pPr>
            <w:r>
              <w:rPr>
                <w:rFonts w:ascii="Calibri" w:cs="Calibri" w:eastAsia="Calibri" w:hAnsi="Calibri"/>
                <w:b/>
                <w:bCs/>
                <w:color w:val="B71C1C"/>
                <w:sz w:val="19"/>
                <w:szCs w:val="19"/>
              </w:rPr>
              <w:t xml:space="preserve">❗ Schmerzpunkt: </w:t>
            </w:r>
            <w:r>
              <w:rPr>
                <w:rFonts w:ascii="Calibri" w:cs="Calibri" w:eastAsia="Calibri" w:hAnsi="Calibri"/>
                <w:color w:val="212121"/>
                <w:sz w:val="19"/>
                <w:szCs w:val="19"/>
              </w:rPr>
              <w:t xml:space="preserve">Benötigt zuverlässige DeFi-Transaktions-API für eigene Steuerlösung. Kein Eigenaufbau der Indexierungsinfrastruktur gewünscht.</w:t>
            </w:r>
          </w:p>
          <w:p>
            <w:pPr>
              <w:spacing w:before="0" w:after="0"/>
            </w:pPr>
            <w:r>
              <w:rPr>
                <w:rFonts w:ascii="Calibri" w:cs="Calibri" w:eastAsia="Calibri" w:hAnsi="Calibri"/>
                <w:b/>
                <w:bCs/>
                <w:color w:val="1B5E20"/>
                <w:sz w:val="19"/>
                <w:szCs w:val="19"/>
              </w:rPr>
              <w:t xml:space="preserve">🎯 Ziel: </w:t>
            </w:r>
            <w:r>
              <w:rPr>
                <w:rFonts w:ascii="Calibri" w:cs="Calibri" w:eastAsia="Calibri" w:hAnsi="Calibri"/>
                <w:color w:val="212121"/>
                <w:sz w:val="19"/>
                <w:szCs w:val="19"/>
              </w:rPr>
              <w:t xml:space="preserve">REST API mit vollständiger DeFi-Transaktionsdaten, Webhook-Notifications, OpenAPI-Spec, 99,9%-Uptime-SLA.</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P2. User Stories &amp; MoSCoW-Priorisierung</w:t>
      </w:r>
    </w:p>
    <w:p>
      <w:pPr>
        <w:spacing w:before="60" w:after="90"/>
      </w:pPr>
      <w:r>
        <w:rPr>
          <w:rFonts w:ascii="Calibri" w:cs="Calibri" w:eastAsia="Calibri" w:hAnsi="Calibri"/>
          <w:color w:val="212121"/>
          <w:sz w:val="21"/>
          <w:szCs w:val="21"/>
        </w:rPr>
        <w:t xml:space="preserve">Die User Stories sind nach der MoSCoW-Methode priorisiert: Must Have (P1 MVP), Should Have (P1 MVP nachrangig), Could Have (Phase 4), Won't Have (Out of Scope). Der Aufwand ist in Story Points (SP) angegeben.</w:t>
      </w:r>
    </w:p>
    <w:p>
      <w:pPr>
        <w:spacing w:before="80" w:after="0"/>
      </w:pPr>
      <w:r>
        <w:t xml:space="preserve"/>
      </w:r>
    </w:p>
    <w:p>
      <w:pPr>
        <w:spacing w:before="200" w:after="80"/>
      </w:pPr>
      <w:r>
        <w:rPr>
          <w:rFonts w:ascii="Calibri" w:cs="Calibri" w:eastAsia="Calibri" w:hAnsi="Calibri"/>
          <w:b/>
          <w:bCs/>
          <w:color w:val="006064"/>
          <w:sz w:val="23"/>
          <w:szCs w:val="23"/>
        </w:rPr>
        <w:t xml:space="preserve">P2.1 Must Have – MVP-Kern (Phase 1)</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8"/>
              <w:left w:val="thick" w:color="0D47A1" w:sz="14"/>
              <w:bottom w:val="single" w:color="0D47A1" w:sz="1"/>
              <w:right w:val="single" w:color="0D47A1" w:sz="1"/>
            </w:tcBorders>
            <w:shd w:fill="E3F2FD" w:val="clear"/>
            <w:tcMar>
              <w:top w:type="dxa" w:w="100"/>
              <w:left w:type="dxa" w:w="200"/>
              <w:bottom w:type="dxa" w:w="100"/>
              <w:right w:type="dxa" w:w="140"/>
            </w:tcMar>
          </w:tcPr>
          <w:p>
            <w:pPr>
              <w:spacing w:before="0" w:after="40"/>
            </w:pPr>
            <w:r>
              <w:rPr>
                <w:rFonts w:ascii="Calibri" w:cs="Calibri" w:eastAsia="Calibri" w:hAnsi="Calibri"/>
                <w:b/>
                <w:bCs/>
                <w:color w:val="546E7A"/>
                <w:sz w:val="19"/>
                <w:szCs w:val="19"/>
              </w:rPr>
              <w:t xml:space="preserve">US-001  </w:t>
            </w:r>
            <w:r>
              <w:rPr>
                <w:rFonts w:ascii="Calibri" w:cs="Calibri" w:eastAsia="Calibri" w:hAnsi="Calibri"/>
                <w:color w:val="546E7A"/>
                <w:sz w:val="19"/>
                <w:szCs w:val="19"/>
              </w:rPr>
              <w:t xml:space="preserve">MoSCoW: </w:t>
            </w:r>
            <w:r>
              <w:rPr>
                <w:rFonts w:ascii="Calibri" w:cs="Calibri" w:eastAsia="Calibri" w:hAnsi="Calibri"/>
                <w:b/>
                <w:bCs/>
                <w:color w:val="B71C1C"/>
                <w:sz w:val="19"/>
                <w:szCs w:val="19"/>
              </w:rPr>
              <w:t xml:space="preserve">Must</w:t>
            </w:r>
            <w:r>
              <w:rPr>
                <w:rFonts w:ascii="Calibri" w:cs="Calibri" w:eastAsia="Calibri" w:hAnsi="Calibri"/>
                <w:color w:val="546E7A"/>
                <w:sz w:val="18"/>
                <w:szCs w:val="18"/>
              </w:rPr>
              <w:t xml:space="preserve">   Aufwand: 13 SP</w:t>
            </w:r>
          </w:p>
          <w:p>
            <w:pPr>
              <w:spacing w:before="0" w:after="30"/>
            </w:pPr>
            <w:r>
              <w:rPr>
                <w:rFonts w:ascii="Calibri" w:cs="Calibri" w:eastAsia="Calibri" w:hAnsi="Calibri"/>
                <w:color w:val="212121"/>
                <w:sz w:val="20"/>
                <w:szCs w:val="20"/>
              </w:rPr>
              <w:t xml:space="preserve">Als </w:t>
            </w:r>
            <w:r>
              <w:rPr>
                <w:rFonts w:ascii="Calibri" w:cs="Calibri" w:eastAsia="Calibri" w:hAnsi="Calibri"/>
                <w:b/>
                <w:bCs/>
                <w:color w:val="0D47A1"/>
                <w:sz w:val="20"/>
                <w:szCs w:val="20"/>
              </w:rPr>
              <w:t xml:space="preserve">DeFi-Anleger</w:t>
            </w:r>
            <w:r>
              <w:rPr>
                <w:rFonts w:ascii="Calibri" w:cs="Calibri" w:eastAsia="Calibri" w:hAnsi="Calibri"/>
                <w:color w:val="212121"/>
                <w:sz w:val="20"/>
                <w:szCs w:val="20"/>
              </w:rPr>
              <w:t xml:space="preserve"> möchte ich </w:t>
            </w:r>
            <w:r>
              <w:rPr>
                <w:rFonts w:ascii="Calibri" w:cs="Calibri" w:eastAsia="Calibri" w:hAnsi="Calibri"/>
                <w:b/>
                <w:bCs/>
                <w:color w:val="212121"/>
                <w:sz w:val="20"/>
                <w:szCs w:val="20"/>
              </w:rPr>
              <w:t xml:space="preserve">meine EVM-Wallet-Adresse verbinden und alle historischen Transaktionen automatisch importieren</w:t>
            </w:r>
            <w:r>
              <w:rPr>
                <w:rFonts w:ascii="Calibri" w:cs="Calibri" w:eastAsia="Calibri" w:hAnsi="Calibri"/>
                <w:color w:val="212121"/>
                <w:sz w:val="20"/>
                <w:szCs w:val="20"/>
              </w:rPr>
              <w:t xml:space="preserve">, damit </w:t>
            </w:r>
            <w:r>
              <w:rPr>
                <w:rFonts w:ascii="Calibri" w:cs="Calibri" w:eastAsia="Calibri" w:hAnsi="Calibri"/>
                <w:i/>
                <w:iCs/>
                <w:color w:val="212121"/>
                <w:sz w:val="20"/>
                <w:szCs w:val="20"/>
              </w:rPr>
              <w:t xml:space="preserve">ich keine Transaktionen manuell eingeben muss.</w:t>
            </w:r>
          </w:p>
          <w:p>
            <w:pPr>
              <w:spacing w:before="30" w:after="0"/>
            </w:pPr>
            <w:r>
              <w:rPr>
                <w:rFonts w:ascii="Calibri" w:cs="Calibri" w:eastAsia="Calibri" w:hAnsi="Calibri"/>
                <w:b/>
                <w:bCs/>
                <w:color w:val="546E7A"/>
                <w:sz w:val="19"/>
                <w:szCs w:val="19"/>
              </w:rPr>
              <w:t xml:space="preserve">Akzeptanzkriterien: </w:t>
            </w:r>
          </w:p>
          <w:p>
            <w:pPr>
              <w:pStyle w:val="ListParagraph"/>
              <w:numPr>
                <w:ilvl w:val="0"/>
                <w:numId w:val="9"/>
              </w:numPr>
              <w:spacing w:before="0" w:after="0"/>
            </w:pPr>
            <w:r>
              <w:rPr>
                <w:rFonts w:ascii="Calibri" w:cs="Calibri" w:eastAsia="Calibri" w:hAnsi="Calibri"/>
                <w:color w:val="212121"/>
                <w:sz w:val="18"/>
                <w:szCs w:val="18"/>
              </w:rPr>
              <w:t xml:space="preserve">Wallet-Verbindung via MetaMask / WalletConnect in &lt; 30 Sekunden</w:t>
            </w:r>
          </w:p>
          <w:p>
            <w:pPr>
              <w:pStyle w:val="ListParagraph"/>
              <w:numPr>
                <w:ilvl w:val="0"/>
                <w:numId w:val="9"/>
              </w:numPr>
              <w:spacing w:before="0" w:after="0"/>
            </w:pPr>
            <w:r>
              <w:rPr>
                <w:rFonts w:ascii="Calibri" w:cs="Calibri" w:eastAsia="Calibri" w:hAnsi="Calibri"/>
                <w:color w:val="212121"/>
                <w:sz w:val="18"/>
                <w:szCs w:val="18"/>
              </w:rPr>
              <w:t xml:space="preserve">Historischer TX-Import ab Wallet-Erstellungsdatum vollständig</w:t>
            </w:r>
          </w:p>
          <w:p>
            <w:pPr>
              <w:pStyle w:val="ListParagraph"/>
              <w:numPr>
                <w:ilvl w:val="0"/>
                <w:numId w:val="9"/>
              </w:numPr>
              <w:spacing w:before="0" w:after="0"/>
            </w:pPr>
            <w:r>
              <w:rPr>
                <w:rFonts w:ascii="Calibri" w:cs="Calibri" w:eastAsia="Calibri" w:hAnsi="Calibri"/>
                <w:color w:val="212121"/>
                <w:sz w:val="18"/>
                <w:szCs w:val="18"/>
              </w:rPr>
              <w:t xml:space="preserve">Fortschrittsanzeige während des Imports</w:t>
            </w:r>
          </w:p>
          <w:p>
            <w:pPr>
              <w:pStyle w:val="ListParagraph"/>
              <w:numPr>
                <w:ilvl w:val="0"/>
                <w:numId w:val="9"/>
              </w:numPr>
              <w:spacing w:before="0" w:after="0"/>
            </w:pPr>
            <w:r>
              <w:rPr>
                <w:rFonts w:ascii="Calibri" w:cs="Calibri" w:eastAsia="Calibri" w:hAnsi="Calibri"/>
                <w:color w:val="212121"/>
                <w:sz w:val="18"/>
                <w:szCs w:val="18"/>
              </w:rPr>
              <w:t xml:space="preserve">Fehlermeldung bei unbekannten TX-Typen mit Aufforderung zur manuellen Kategorisierung</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8"/>
              <w:left w:val="thick" w:color="0D47A1" w:sz="14"/>
              <w:bottom w:val="single" w:color="0D47A1" w:sz="1"/>
              <w:right w:val="single" w:color="0D47A1" w:sz="1"/>
            </w:tcBorders>
            <w:shd w:fill="E3F2FD" w:val="clear"/>
            <w:tcMar>
              <w:top w:type="dxa" w:w="100"/>
              <w:left w:type="dxa" w:w="200"/>
              <w:bottom w:type="dxa" w:w="100"/>
              <w:right w:type="dxa" w:w="140"/>
            </w:tcMar>
          </w:tcPr>
          <w:p>
            <w:pPr>
              <w:spacing w:before="0" w:after="40"/>
            </w:pPr>
            <w:r>
              <w:rPr>
                <w:rFonts w:ascii="Calibri" w:cs="Calibri" w:eastAsia="Calibri" w:hAnsi="Calibri"/>
                <w:b/>
                <w:bCs/>
                <w:color w:val="546E7A"/>
                <w:sz w:val="19"/>
                <w:szCs w:val="19"/>
              </w:rPr>
              <w:t xml:space="preserve">US-002  </w:t>
            </w:r>
            <w:r>
              <w:rPr>
                <w:rFonts w:ascii="Calibri" w:cs="Calibri" w:eastAsia="Calibri" w:hAnsi="Calibri"/>
                <w:color w:val="546E7A"/>
                <w:sz w:val="19"/>
                <w:szCs w:val="19"/>
              </w:rPr>
              <w:t xml:space="preserve">MoSCoW: </w:t>
            </w:r>
            <w:r>
              <w:rPr>
                <w:rFonts w:ascii="Calibri" w:cs="Calibri" w:eastAsia="Calibri" w:hAnsi="Calibri"/>
                <w:b/>
                <w:bCs/>
                <w:color w:val="B71C1C"/>
                <w:sz w:val="19"/>
                <w:szCs w:val="19"/>
              </w:rPr>
              <w:t xml:space="preserve">Must</w:t>
            </w:r>
            <w:r>
              <w:rPr>
                <w:rFonts w:ascii="Calibri" w:cs="Calibri" w:eastAsia="Calibri" w:hAnsi="Calibri"/>
                <w:color w:val="546E7A"/>
                <w:sz w:val="18"/>
                <w:szCs w:val="18"/>
              </w:rPr>
              <w:t xml:space="preserve">   Aufwand: 21 SP</w:t>
            </w:r>
          </w:p>
          <w:p>
            <w:pPr>
              <w:spacing w:before="0" w:after="30"/>
            </w:pPr>
            <w:r>
              <w:rPr>
                <w:rFonts w:ascii="Calibri" w:cs="Calibri" w:eastAsia="Calibri" w:hAnsi="Calibri"/>
                <w:color w:val="212121"/>
                <w:sz w:val="20"/>
                <w:szCs w:val="20"/>
              </w:rPr>
              <w:t xml:space="preserve">Als </w:t>
            </w:r>
            <w:r>
              <w:rPr>
                <w:rFonts w:ascii="Calibri" w:cs="Calibri" w:eastAsia="Calibri" w:hAnsi="Calibri"/>
                <w:b/>
                <w:bCs/>
                <w:color w:val="0D47A1"/>
                <w:sz w:val="20"/>
                <w:szCs w:val="20"/>
              </w:rPr>
              <w:t xml:space="preserve">DeFi-Anleger</w:t>
            </w:r>
            <w:r>
              <w:rPr>
                <w:rFonts w:ascii="Calibri" w:cs="Calibri" w:eastAsia="Calibri" w:hAnsi="Calibri"/>
                <w:color w:val="212121"/>
                <w:sz w:val="20"/>
                <w:szCs w:val="20"/>
              </w:rPr>
              <w:t xml:space="preserve"> möchte ich </w:t>
            </w:r>
            <w:r>
              <w:rPr>
                <w:rFonts w:ascii="Calibri" w:cs="Calibri" w:eastAsia="Calibri" w:hAnsi="Calibri"/>
                <w:b/>
                <w:bCs/>
                <w:color w:val="212121"/>
                <w:sz w:val="20"/>
                <w:szCs w:val="20"/>
              </w:rPr>
              <w:t xml:space="preserve">alle meine SparkDEX V3/V4 Swaps automatisch als 'Trade' mit korrektem EUR-Kurs erkennen lassen</w:t>
            </w:r>
            <w:r>
              <w:rPr>
                <w:rFonts w:ascii="Calibri" w:cs="Calibri" w:eastAsia="Calibri" w:hAnsi="Calibri"/>
                <w:color w:val="212121"/>
                <w:sz w:val="20"/>
                <w:szCs w:val="20"/>
              </w:rPr>
              <w:t xml:space="preserve">, damit </w:t>
            </w:r>
            <w:r>
              <w:rPr>
                <w:rFonts w:ascii="Calibri" w:cs="Calibri" w:eastAsia="Calibri" w:hAnsi="Calibri"/>
                <w:i/>
                <w:iCs/>
                <w:color w:val="212121"/>
                <w:sz w:val="20"/>
                <w:szCs w:val="20"/>
              </w:rPr>
              <w:t xml:space="preserve">meine § 23 EStG Gewinn/Verlust-Berechnung automatisch korrekt ist.</w:t>
            </w:r>
          </w:p>
          <w:p>
            <w:pPr>
              <w:spacing w:before="30" w:after="0"/>
            </w:pPr>
            <w:r>
              <w:rPr>
                <w:rFonts w:ascii="Calibri" w:cs="Calibri" w:eastAsia="Calibri" w:hAnsi="Calibri"/>
                <w:b/>
                <w:bCs/>
                <w:color w:val="546E7A"/>
                <w:sz w:val="19"/>
                <w:szCs w:val="19"/>
              </w:rPr>
              <w:t xml:space="preserve">Akzeptanzkriterien: </w:t>
            </w:r>
          </w:p>
          <w:p>
            <w:pPr>
              <w:pStyle w:val="ListParagraph"/>
              <w:numPr>
                <w:ilvl w:val="0"/>
                <w:numId w:val="9"/>
              </w:numPr>
              <w:spacing w:before="0" w:after="0"/>
            </w:pPr>
            <w:r>
              <w:rPr>
                <w:rFonts w:ascii="Calibri" w:cs="Calibri" w:eastAsia="Calibri" w:hAnsi="Calibri"/>
                <w:color w:val="212121"/>
                <w:sz w:val="18"/>
                <w:szCs w:val="18"/>
              </w:rPr>
              <w:t xml:space="preserve">Jeder Swap wird mit FTSO-EUR-Kurs zum Transaktionszeitpunkt bewertet</w:t>
            </w:r>
          </w:p>
          <w:p>
            <w:pPr>
              <w:pStyle w:val="ListParagraph"/>
              <w:numPr>
                <w:ilvl w:val="0"/>
                <w:numId w:val="9"/>
              </w:numPr>
              <w:spacing w:before="0" w:after="0"/>
            </w:pPr>
            <w:r>
              <w:rPr>
                <w:rFonts w:ascii="Calibri" w:cs="Calibri" w:eastAsia="Calibri" w:hAnsi="Calibri"/>
                <w:color w:val="212121"/>
                <w:sz w:val="18"/>
                <w:szCs w:val="18"/>
              </w:rPr>
              <w:t xml:space="preserve">V4-Multi-Action-Transaktionen werden korrekt in Einzel-Events aufgeteilt</w:t>
            </w:r>
          </w:p>
          <w:p>
            <w:pPr>
              <w:pStyle w:val="ListParagraph"/>
              <w:numPr>
                <w:ilvl w:val="0"/>
                <w:numId w:val="9"/>
              </w:numPr>
              <w:spacing w:before="0" w:after="0"/>
            </w:pPr>
            <w:r>
              <w:rPr>
                <w:rFonts w:ascii="Calibri" w:cs="Calibri" w:eastAsia="Calibri" w:hAnsi="Calibri"/>
                <w:color w:val="212121"/>
                <w:sz w:val="18"/>
                <w:szCs w:val="18"/>
              </w:rPr>
              <w:t xml:space="preserve">CoinTracking-Typ 'Trade' korrekt zugewiesen</w:t>
            </w:r>
          </w:p>
          <w:p>
            <w:pPr>
              <w:pStyle w:val="ListParagraph"/>
              <w:numPr>
                <w:ilvl w:val="0"/>
                <w:numId w:val="9"/>
              </w:numPr>
              <w:spacing w:before="0" w:after="0"/>
            </w:pPr>
            <w:r>
              <w:rPr>
                <w:rFonts w:ascii="Calibri" w:cs="Calibri" w:eastAsia="Calibri" w:hAnsi="Calibri"/>
                <w:color w:val="212121"/>
                <w:sz w:val="18"/>
                <w:szCs w:val="18"/>
              </w:rPr>
              <w:t xml:space="preserve">TX-Hash als Nachweisdokument im Audit-Log gespeichert</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8"/>
              <w:left w:val="thick" w:color="E65100" w:sz="14"/>
              <w:bottom w:val="single" w:color="E65100" w:sz="1"/>
              <w:right w:val="single" w:color="E65100" w:sz="1"/>
            </w:tcBorders>
            <w:shd w:fill="FFF8E1" w:val="clear"/>
            <w:tcMar>
              <w:top w:type="dxa" w:w="100"/>
              <w:left w:type="dxa" w:w="200"/>
              <w:bottom w:type="dxa" w:w="100"/>
              <w:right w:type="dxa" w:w="140"/>
            </w:tcMar>
          </w:tcPr>
          <w:p>
            <w:pPr>
              <w:spacing w:before="0" w:after="40"/>
            </w:pPr>
            <w:r>
              <w:rPr>
                <w:rFonts w:ascii="Calibri" w:cs="Calibri" w:eastAsia="Calibri" w:hAnsi="Calibri"/>
                <w:b/>
                <w:bCs/>
                <w:color w:val="546E7A"/>
                <w:sz w:val="19"/>
                <w:szCs w:val="19"/>
              </w:rPr>
              <w:t xml:space="preserve">US-003  </w:t>
            </w:r>
            <w:r>
              <w:rPr>
                <w:rFonts w:ascii="Calibri" w:cs="Calibri" w:eastAsia="Calibri" w:hAnsi="Calibri"/>
                <w:color w:val="546E7A"/>
                <w:sz w:val="19"/>
                <w:szCs w:val="19"/>
              </w:rPr>
              <w:t xml:space="preserve">MoSCoW: </w:t>
            </w:r>
            <w:r>
              <w:rPr>
                <w:rFonts w:ascii="Calibri" w:cs="Calibri" w:eastAsia="Calibri" w:hAnsi="Calibri"/>
                <w:b/>
                <w:bCs/>
                <w:color w:val="B71C1C"/>
                <w:sz w:val="19"/>
                <w:szCs w:val="19"/>
              </w:rPr>
              <w:t xml:space="preserve">Must</w:t>
            </w:r>
            <w:r>
              <w:rPr>
                <w:rFonts w:ascii="Calibri" w:cs="Calibri" w:eastAsia="Calibri" w:hAnsi="Calibri"/>
                <w:color w:val="546E7A"/>
                <w:sz w:val="18"/>
                <w:szCs w:val="18"/>
              </w:rPr>
              <w:t xml:space="preserve">   Aufwand: 34 SP</w:t>
            </w:r>
          </w:p>
          <w:p>
            <w:pPr>
              <w:spacing w:before="0" w:after="30"/>
            </w:pPr>
            <w:r>
              <w:rPr>
                <w:rFonts w:ascii="Calibri" w:cs="Calibri" w:eastAsia="Calibri" w:hAnsi="Calibri"/>
                <w:color w:val="212121"/>
                <w:sz w:val="20"/>
                <w:szCs w:val="20"/>
              </w:rPr>
              <w:t xml:space="preserve">Als </w:t>
            </w:r>
            <w:r>
              <w:rPr>
                <w:rFonts w:ascii="Calibri" w:cs="Calibri" w:eastAsia="Calibri" w:hAnsi="Calibri"/>
                <w:b/>
                <w:bCs/>
                <w:color w:val="E65100"/>
                <w:sz w:val="20"/>
                <w:szCs w:val="20"/>
              </w:rPr>
              <w:t xml:space="preserve">DeFi-Anleger</w:t>
            </w:r>
            <w:r>
              <w:rPr>
                <w:rFonts w:ascii="Calibri" w:cs="Calibri" w:eastAsia="Calibri" w:hAnsi="Calibri"/>
                <w:color w:val="212121"/>
                <w:sz w:val="20"/>
                <w:szCs w:val="20"/>
              </w:rPr>
              <w:t xml:space="preserve"> möchte ich </w:t>
            </w:r>
            <w:r>
              <w:rPr>
                <w:rFonts w:ascii="Calibri" w:cs="Calibri" w:eastAsia="Calibri" w:hAnsi="Calibri"/>
                <w:b/>
                <w:bCs/>
                <w:color w:val="212121"/>
                <w:sz w:val="20"/>
                <w:szCs w:val="20"/>
              </w:rPr>
              <w:t xml:space="preserve">meine LP-Providing- und Farming-Aktivitäten tracken, auch wenn die steuerliche Einordnung noch unklar ist</w:t>
            </w:r>
            <w:r>
              <w:rPr>
                <w:rFonts w:ascii="Calibri" w:cs="Calibri" w:eastAsia="Calibri" w:hAnsi="Calibri"/>
                <w:color w:val="212121"/>
                <w:sz w:val="20"/>
                <w:szCs w:val="20"/>
              </w:rPr>
              <w:t xml:space="preserve">, damit </w:t>
            </w:r>
            <w:r>
              <w:rPr>
                <w:rFonts w:ascii="Calibri" w:cs="Calibri" w:eastAsia="Calibri" w:hAnsi="Calibri"/>
                <w:i/>
                <w:iCs/>
                <w:color w:val="212121"/>
                <w:sz w:val="20"/>
                <w:szCs w:val="20"/>
              </w:rPr>
              <w:t xml:space="preserve">ich zumindest alle Transaktionen dokumentiert habe und beim Steuerberater nachweisen kann.</w:t>
            </w:r>
          </w:p>
          <w:p>
            <w:pPr>
              <w:spacing w:before="30" w:after="0"/>
            </w:pPr>
            <w:r>
              <w:rPr>
                <w:rFonts w:ascii="Calibri" w:cs="Calibri" w:eastAsia="Calibri" w:hAnsi="Calibri"/>
                <w:b/>
                <w:bCs/>
                <w:color w:val="546E7A"/>
                <w:sz w:val="19"/>
                <w:szCs w:val="19"/>
              </w:rPr>
              <w:t xml:space="preserve">Akzeptanzkriterien: </w:t>
            </w:r>
          </w:p>
          <w:p>
            <w:pPr>
              <w:pStyle w:val="ListParagraph"/>
              <w:numPr>
                <w:ilvl w:val="0"/>
                <w:numId w:val="9"/>
              </w:numPr>
              <w:spacing w:before="0" w:after="0"/>
            </w:pPr>
            <w:r>
              <w:rPr>
                <w:rFonts w:ascii="Calibri" w:cs="Calibri" w:eastAsia="Calibri" w:hAnsi="Calibri"/>
                <w:color w:val="212121"/>
                <w:sz w:val="18"/>
                <w:szCs w:val="18"/>
              </w:rPr>
              <w:t xml:space="preserve">LP Provide/Remove werden als separate Einträge erfasst</w:t>
            </w:r>
          </w:p>
          <w:p>
            <w:pPr>
              <w:pStyle w:val="ListParagraph"/>
              <w:numPr>
                <w:ilvl w:val="0"/>
                <w:numId w:val="9"/>
              </w:numPr>
              <w:spacing w:before="0" w:after="0"/>
            </w:pPr>
            <w:r>
              <w:rPr>
                <w:rFonts w:ascii="Calibri" w:cs="Calibri" w:eastAsia="Calibri" w:hAnsi="Calibri"/>
                <w:color w:val="212121"/>
                <w:sz w:val="18"/>
                <w:szCs w:val="18"/>
              </w:rPr>
              <w:t xml:space="preserve">Farming Rewards (rFLR, SPRK) werden als 'LP Rewards' mit EUR-Tageskurs erfasst</w:t>
            </w:r>
          </w:p>
          <w:p>
            <w:pPr>
              <w:pStyle w:val="ListParagraph"/>
              <w:numPr>
                <w:ilvl w:val="0"/>
                <w:numId w:val="9"/>
              </w:numPr>
              <w:spacing w:before="0" w:after="0"/>
            </w:pPr>
            <w:r>
              <w:rPr>
                <w:rFonts w:ascii="Calibri" w:cs="Calibri" w:eastAsia="Calibri" w:hAnsi="Calibri"/>
                <w:color w:val="212121"/>
                <w:sz w:val="18"/>
                <w:szCs w:val="18"/>
              </w:rPr>
              <w:t xml:space="preserve">Graubereich-Hinweis bei jedem LP-Eintrag sichtbar</w:t>
            </w:r>
          </w:p>
          <w:p>
            <w:pPr>
              <w:pStyle w:val="ListParagraph"/>
              <w:numPr>
                <w:ilvl w:val="0"/>
                <w:numId w:val="9"/>
              </w:numPr>
              <w:spacing w:before="0" w:after="0"/>
            </w:pPr>
            <w:r>
              <w:rPr>
                <w:rFonts w:ascii="Calibri" w:cs="Calibri" w:eastAsia="Calibri" w:hAnsi="Calibri"/>
                <w:color w:val="212121"/>
                <w:sz w:val="18"/>
                <w:szCs w:val="18"/>
              </w:rPr>
              <w:t xml:space="preserve">Dual-Szenario-Berechnung: konservativ (Tausch) vs. liberal (Nutzungsüberlassung)</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8"/>
              <w:left w:val="thick" w:color="1B5E20" w:sz="14"/>
              <w:bottom w:val="single" w:color="1B5E20" w:sz="1"/>
              <w:right w:val="single" w:color="1B5E20" w:sz="1"/>
            </w:tcBorders>
            <w:shd w:fill="E8F5E9" w:val="clear"/>
            <w:tcMar>
              <w:top w:type="dxa" w:w="100"/>
              <w:left w:type="dxa" w:w="200"/>
              <w:bottom w:type="dxa" w:w="100"/>
              <w:right w:type="dxa" w:w="140"/>
            </w:tcMar>
          </w:tcPr>
          <w:p>
            <w:pPr>
              <w:spacing w:before="0" w:after="40"/>
            </w:pPr>
            <w:r>
              <w:rPr>
                <w:rFonts w:ascii="Calibri" w:cs="Calibri" w:eastAsia="Calibri" w:hAnsi="Calibri"/>
                <w:b/>
                <w:bCs/>
                <w:color w:val="546E7A"/>
                <w:sz w:val="19"/>
                <w:szCs w:val="19"/>
              </w:rPr>
              <w:t xml:space="preserve">US-004  </w:t>
            </w:r>
            <w:r>
              <w:rPr>
                <w:rFonts w:ascii="Calibri" w:cs="Calibri" w:eastAsia="Calibri" w:hAnsi="Calibri"/>
                <w:color w:val="546E7A"/>
                <w:sz w:val="19"/>
                <w:szCs w:val="19"/>
              </w:rPr>
              <w:t xml:space="preserve">MoSCoW: </w:t>
            </w:r>
            <w:r>
              <w:rPr>
                <w:rFonts w:ascii="Calibri" w:cs="Calibri" w:eastAsia="Calibri" w:hAnsi="Calibri"/>
                <w:b/>
                <w:bCs/>
                <w:color w:val="B71C1C"/>
                <w:sz w:val="19"/>
                <w:szCs w:val="19"/>
              </w:rPr>
              <w:t xml:space="preserve">Must</w:t>
            </w:r>
            <w:r>
              <w:rPr>
                <w:rFonts w:ascii="Calibri" w:cs="Calibri" w:eastAsia="Calibri" w:hAnsi="Calibri"/>
                <w:color w:val="546E7A"/>
                <w:sz w:val="18"/>
                <w:szCs w:val="18"/>
              </w:rPr>
              <w:t xml:space="preserve">   Aufwand: 13 SP</w:t>
            </w:r>
          </w:p>
          <w:p>
            <w:pPr>
              <w:spacing w:before="0" w:after="30"/>
            </w:pPr>
            <w:r>
              <w:rPr>
                <w:rFonts w:ascii="Calibri" w:cs="Calibri" w:eastAsia="Calibri" w:hAnsi="Calibri"/>
                <w:color w:val="212121"/>
                <w:sz w:val="20"/>
                <w:szCs w:val="20"/>
              </w:rPr>
              <w:t xml:space="preserve">Als </w:t>
            </w:r>
            <w:r>
              <w:rPr>
                <w:rFonts w:ascii="Calibri" w:cs="Calibri" w:eastAsia="Calibri" w:hAnsi="Calibri"/>
                <w:b/>
                <w:bCs/>
                <w:color w:val="1B5E20"/>
                <w:sz w:val="20"/>
                <w:szCs w:val="20"/>
              </w:rPr>
              <w:t xml:space="preserve">DeFi-Anleger</w:t>
            </w:r>
            <w:r>
              <w:rPr>
                <w:rFonts w:ascii="Calibri" w:cs="Calibri" w:eastAsia="Calibri" w:hAnsi="Calibri"/>
                <w:color w:val="212121"/>
                <w:sz w:val="20"/>
                <w:szCs w:val="20"/>
              </w:rPr>
              <w:t xml:space="preserve"> möchte ich </w:t>
            </w:r>
            <w:r>
              <w:rPr>
                <w:rFonts w:ascii="Calibri" w:cs="Calibri" w:eastAsia="Calibri" w:hAnsi="Calibri"/>
                <w:b/>
                <w:bCs/>
                <w:color w:val="212121"/>
                <w:sz w:val="20"/>
                <w:szCs w:val="20"/>
              </w:rPr>
              <w:t xml:space="preserve">einen CoinTracking-kompatiblen CSV-Export für ein Steuerjahr herunterladen</w:t>
            </w:r>
            <w:r>
              <w:rPr>
                <w:rFonts w:ascii="Calibri" w:cs="Calibri" w:eastAsia="Calibri" w:hAnsi="Calibri"/>
                <w:color w:val="212121"/>
                <w:sz w:val="20"/>
                <w:szCs w:val="20"/>
              </w:rPr>
              <w:t xml:space="preserve">, damit </w:t>
            </w:r>
            <w:r>
              <w:rPr>
                <w:rFonts w:ascii="Calibri" w:cs="Calibri" w:eastAsia="Calibri" w:hAnsi="Calibri"/>
                <w:i/>
                <w:iCs/>
                <w:color w:val="212121"/>
                <w:sz w:val="20"/>
                <w:szCs w:val="20"/>
              </w:rPr>
              <w:t xml:space="preserve">ich ihn direkt in CoinTracking importieren kann, ohne manuelle Nachbearbeitung.</w:t>
            </w:r>
          </w:p>
          <w:p>
            <w:pPr>
              <w:spacing w:before="30" w:after="0"/>
            </w:pPr>
            <w:r>
              <w:rPr>
                <w:rFonts w:ascii="Calibri" w:cs="Calibri" w:eastAsia="Calibri" w:hAnsi="Calibri"/>
                <w:b/>
                <w:bCs/>
                <w:color w:val="546E7A"/>
                <w:sz w:val="19"/>
                <w:szCs w:val="19"/>
              </w:rPr>
              <w:t xml:space="preserve">Akzeptanzkriterien: </w:t>
            </w:r>
          </w:p>
          <w:p>
            <w:pPr>
              <w:pStyle w:val="ListParagraph"/>
              <w:numPr>
                <w:ilvl w:val="0"/>
                <w:numId w:val="9"/>
              </w:numPr>
              <w:spacing w:before="0" w:after="0"/>
            </w:pPr>
            <w:r>
              <w:rPr>
                <w:rFonts w:ascii="Calibri" w:cs="Calibri" w:eastAsia="Calibri" w:hAnsi="Calibri"/>
                <w:color w:val="212121"/>
                <w:sz w:val="18"/>
                <w:szCs w:val="18"/>
              </w:rPr>
              <w:t xml:space="preserve">CSV-Export enthält alle 15 CoinTracking-Pflicht- und Optionsspalten</w:t>
            </w:r>
          </w:p>
          <w:p>
            <w:pPr>
              <w:pStyle w:val="ListParagraph"/>
              <w:numPr>
                <w:ilvl w:val="0"/>
                <w:numId w:val="9"/>
              </w:numPr>
              <w:spacing w:before="0" w:after="0"/>
            </w:pPr>
            <w:r>
              <w:rPr>
                <w:rFonts w:ascii="Calibri" w:cs="Calibri" w:eastAsia="Calibri" w:hAnsi="Calibri"/>
                <w:color w:val="212121"/>
                <w:sz w:val="18"/>
                <w:szCs w:val="18"/>
              </w:rPr>
              <w:t xml:space="preserve">Datum im Format DD.MM.YYYY HH:MM:SS</w:t>
            </w:r>
          </w:p>
          <w:p>
            <w:pPr>
              <w:pStyle w:val="ListParagraph"/>
              <w:numPr>
                <w:ilvl w:val="0"/>
                <w:numId w:val="9"/>
              </w:numPr>
              <w:spacing w:before="0" w:after="0"/>
            </w:pPr>
            <w:r>
              <w:rPr>
                <w:rFonts w:ascii="Calibri" w:cs="Calibri" w:eastAsia="Calibri" w:hAnsi="Calibri"/>
                <w:color w:val="212121"/>
                <w:sz w:val="18"/>
                <w:szCs w:val="18"/>
              </w:rPr>
              <w:t xml:space="preserve">Alle Transaktionstypen sind CoinTracking-valide (keine unbekannten Type-Werte)</w:t>
            </w:r>
          </w:p>
          <w:p>
            <w:pPr>
              <w:pStyle w:val="ListParagraph"/>
              <w:numPr>
                <w:ilvl w:val="0"/>
                <w:numId w:val="9"/>
              </w:numPr>
              <w:spacing w:before="0" w:after="0"/>
            </w:pPr>
            <w:r>
              <w:rPr>
                <w:rFonts w:ascii="Calibri" w:cs="Calibri" w:eastAsia="Calibri" w:hAnsi="Calibri"/>
                <w:color w:val="212121"/>
                <w:sz w:val="18"/>
                <w:szCs w:val="18"/>
              </w:rPr>
              <w:t xml:space="preserve">Export-Datei wird direkt ohne Fehler von CoinTracking akzeptiert (E2E-Test)</w:t>
            </w:r>
          </w:p>
          <w:p>
            <w:pPr>
              <w:pStyle w:val="ListParagraph"/>
              <w:numPr>
                <w:ilvl w:val="0"/>
                <w:numId w:val="9"/>
              </w:numPr>
              <w:spacing w:before="0" w:after="0"/>
            </w:pPr>
            <w:r>
              <w:rPr>
                <w:rFonts w:ascii="Calibri" w:cs="Calibri" w:eastAsia="Calibri" w:hAnsi="Calibri"/>
                <w:color w:val="212121"/>
                <w:sz w:val="18"/>
                <w:szCs w:val="18"/>
              </w:rPr>
              <w:t xml:space="preserve">Alle EUR-Werte basieren auf FTSO/CoinGecko-Daten mit Quellenangabe</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8"/>
              <w:left w:val="thick" w:color="0D47A1" w:sz="14"/>
              <w:bottom w:val="single" w:color="0D47A1" w:sz="1"/>
              <w:right w:val="single" w:color="0D47A1" w:sz="1"/>
            </w:tcBorders>
            <w:shd w:fill="E3F2FD" w:val="clear"/>
            <w:tcMar>
              <w:top w:type="dxa" w:w="100"/>
              <w:left w:type="dxa" w:w="200"/>
              <w:bottom w:type="dxa" w:w="100"/>
              <w:right w:type="dxa" w:w="140"/>
            </w:tcMar>
          </w:tcPr>
          <w:p>
            <w:pPr>
              <w:spacing w:before="0" w:after="40"/>
            </w:pPr>
            <w:r>
              <w:rPr>
                <w:rFonts w:ascii="Calibri" w:cs="Calibri" w:eastAsia="Calibri" w:hAnsi="Calibri"/>
                <w:b/>
                <w:bCs/>
                <w:color w:val="546E7A"/>
                <w:sz w:val="19"/>
                <w:szCs w:val="19"/>
              </w:rPr>
              <w:t xml:space="preserve">US-005  </w:t>
            </w:r>
            <w:r>
              <w:rPr>
                <w:rFonts w:ascii="Calibri" w:cs="Calibri" w:eastAsia="Calibri" w:hAnsi="Calibri"/>
                <w:color w:val="546E7A"/>
                <w:sz w:val="19"/>
                <w:szCs w:val="19"/>
              </w:rPr>
              <w:t xml:space="preserve">MoSCoW: </w:t>
            </w:r>
            <w:r>
              <w:rPr>
                <w:rFonts w:ascii="Calibri" w:cs="Calibri" w:eastAsia="Calibri" w:hAnsi="Calibri"/>
                <w:b/>
                <w:bCs/>
                <w:color w:val="B71C1C"/>
                <w:sz w:val="19"/>
                <w:szCs w:val="19"/>
              </w:rPr>
              <w:t xml:space="preserve">Must</w:t>
            </w:r>
            <w:r>
              <w:rPr>
                <w:rFonts w:ascii="Calibri" w:cs="Calibri" w:eastAsia="Calibri" w:hAnsi="Calibri"/>
                <w:color w:val="546E7A"/>
                <w:sz w:val="18"/>
                <w:szCs w:val="18"/>
              </w:rPr>
              <w:t xml:space="preserve">   Aufwand: 21 SP</w:t>
            </w:r>
          </w:p>
          <w:p>
            <w:pPr>
              <w:spacing w:before="0" w:after="30"/>
            </w:pPr>
            <w:r>
              <w:rPr>
                <w:rFonts w:ascii="Calibri" w:cs="Calibri" w:eastAsia="Calibri" w:hAnsi="Calibri"/>
                <w:color w:val="212121"/>
                <w:sz w:val="20"/>
                <w:szCs w:val="20"/>
              </w:rPr>
              <w:t xml:space="preserve">Als </w:t>
            </w:r>
            <w:r>
              <w:rPr>
                <w:rFonts w:ascii="Calibri" w:cs="Calibri" w:eastAsia="Calibri" w:hAnsi="Calibri"/>
                <w:b/>
                <w:bCs/>
                <w:color w:val="0D47A1"/>
                <w:sz w:val="20"/>
                <w:szCs w:val="20"/>
              </w:rPr>
              <w:t xml:space="preserve">DeFi-Anleger</w:t>
            </w:r>
            <w:r>
              <w:rPr>
                <w:rFonts w:ascii="Calibri" w:cs="Calibri" w:eastAsia="Calibri" w:hAnsi="Calibri"/>
                <w:color w:val="212121"/>
                <w:sz w:val="20"/>
                <w:szCs w:val="20"/>
              </w:rPr>
              <w:t xml:space="preserve"> möchte ich </w:t>
            </w:r>
            <w:r>
              <w:rPr>
                <w:rFonts w:ascii="Calibri" w:cs="Calibri" w:eastAsia="Calibri" w:hAnsi="Calibri"/>
                <w:b/>
                <w:bCs/>
                <w:color w:val="212121"/>
                <w:sz w:val="20"/>
                <w:szCs w:val="20"/>
              </w:rPr>
              <w:t xml:space="preserve">Kinetic-Lending-Transaktionen (Supply, Borrow, Repay, Liquidation) korrekt erfassen</w:t>
            </w:r>
            <w:r>
              <w:rPr>
                <w:rFonts w:ascii="Calibri" w:cs="Calibri" w:eastAsia="Calibri" w:hAnsi="Calibri"/>
                <w:color w:val="212121"/>
                <w:sz w:val="20"/>
                <w:szCs w:val="20"/>
              </w:rPr>
              <w:t xml:space="preserve">, damit </w:t>
            </w:r>
            <w:r>
              <w:rPr>
                <w:rFonts w:ascii="Calibri" w:cs="Calibri" w:eastAsia="Calibri" w:hAnsi="Calibri"/>
                <w:i/>
                <w:iCs/>
                <w:color w:val="212121"/>
                <w:sz w:val="20"/>
                <w:szCs w:val="20"/>
              </w:rPr>
              <w:t xml:space="preserve">meine Zinserträge als § 22 Nr. 3 EStG und Liquidationen als § 23 EStG korrekt ausgewiesen werden.</w:t>
            </w:r>
          </w:p>
          <w:p>
            <w:pPr>
              <w:spacing w:before="30" w:after="0"/>
            </w:pPr>
            <w:r>
              <w:rPr>
                <w:rFonts w:ascii="Calibri" w:cs="Calibri" w:eastAsia="Calibri" w:hAnsi="Calibri"/>
                <w:b/>
                <w:bCs/>
                <w:color w:val="546E7A"/>
                <w:sz w:val="19"/>
                <w:szCs w:val="19"/>
              </w:rPr>
              <w:t xml:space="preserve">Akzeptanzkriterien: </w:t>
            </w:r>
          </w:p>
          <w:p>
            <w:pPr>
              <w:pStyle w:val="ListParagraph"/>
              <w:numPr>
                <w:ilvl w:val="0"/>
                <w:numId w:val="9"/>
              </w:numPr>
              <w:spacing w:before="0" w:after="0"/>
            </w:pPr>
            <w:r>
              <w:rPr>
                <w:rFonts w:ascii="Calibri" w:cs="Calibri" w:eastAsia="Calibri" w:hAnsi="Calibri"/>
                <w:color w:val="212121"/>
                <w:sz w:val="18"/>
                <w:szCs w:val="18"/>
              </w:rPr>
              <w:t xml:space="preserve">Supply/Withdraw korrekt als Lending-Einnahme / Remove Liquidity klassifiziert</w:t>
            </w:r>
          </w:p>
          <w:p>
            <w:pPr>
              <w:pStyle w:val="ListParagraph"/>
              <w:numPr>
                <w:ilvl w:val="0"/>
                <w:numId w:val="9"/>
              </w:numPr>
              <w:spacing w:before="0" w:after="0"/>
            </w:pPr>
            <w:r>
              <w:rPr>
                <w:rFonts w:ascii="Calibri" w:cs="Calibri" w:eastAsia="Calibri" w:hAnsi="Calibri"/>
                <w:color w:val="212121"/>
                <w:sz w:val="18"/>
                <w:szCs w:val="18"/>
              </w:rPr>
              <w:t xml:space="preserve">Zinserträge als 'Lending Einnahme' mit EUR-Tageskurs beim Claiming</w:t>
            </w:r>
          </w:p>
          <w:p>
            <w:pPr>
              <w:pStyle w:val="ListParagraph"/>
              <w:numPr>
                <w:ilvl w:val="0"/>
                <w:numId w:val="9"/>
              </w:numPr>
              <w:spacing w:before="0" w:after="0"/>
            </w:pPr>
            <w:r>
              <w:rPr>
                <w:rFonts w:ascii="Calibri" w:cs="Calibri" w:eastAsia="Calibri" w:hAnsi="Calibri"/>
                <w:color w:val="212121"/>
                <w:sz w:val="18"/>
                <w:szCs w:val="18"/>
              </w:rPr>
              <w:t xml:space="preserve">Liquidationsereignisse als eigene TX-Gruppe markiert mit Sonderhinweis</w:t>
            </w:r>
          </w:p>
          <w:p>
            <w:pPr>
              <w:pStyle w:val="ListParagraph"/>
              <w:numPr>
                <w:ilvl w:val="0"/>
                <w:numId w:val="9"/>
              </w:numPr>
              <w:spacing w:before="0" w:after="0"/>
            </w:pPr>
            <w:r>
              <w:rPr>
                <w:rFonts w:ascii="Calibri" w:cs="Calibri" w:eastAsia="Calibri" w:hAnsi="Calibri"/>
                <w:color w:val="212121"/>
                <w:sz w:val="18"/>
                <w:szCs w:val="18"/>
              </w:rPr>
              <w:t xml:space="preserve">Health-Factor-Warnungen aus Kinetic-Events als Hinweis im Tool sichtbar</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4D40" w:sz="8"/>
              <w:left w:val="thick" w:color="004D40" w:sz="14"/>
              <w:bottom w:val="single" w:color="004D40" w:sz="1"/>
              <w:right w:val="single" w:color="004D40" w:sz="1"/>
            </w:tcBorders>
            <w:shd w:fill="E0F2F1" w:val="clear"/>
            <w:tcMar>
              <w:top w:type="dxa" w:w="100"/>
              <w:left w:type="dxa" w:w="200"/>
              <w:bottom w:type="dxa" w:w="100"/>
              <w:right w:type="dxa" w:w="140"/>
            </w:tcMar>
          </w:tcPr>
          <w:p>
            <w:pPr>
              <w:spacing w:before="0" w:after="40"/>
            </w:pPr>
            <w:r>
              <w:rPr>
                <w:rFonts w:ascii="Calibri" w:cs="Calibri" w:eastAsia="Calibri" w:hAnsi="Calibri"/>
                <w:b/>
                <w:bCs/>
                <w:color w:val="546E7A"/>
                <w:sz w:val="19"/>
                <w:szCs w:val="19"/>
              </w:rPr>
              <w:t xml:space="preserve">US-006  </w:t>
            </w:r>
            <w:r>
              <w:rPr>
                <w:rFonts w:ascii="Calibri" w:cs="Calibri" w:eastAsia="Calibri" w:hAnsi="Calibri"/>
                <w:color w:val="546E7A"/>
                <w:sz w:val="19"/>
                <w:szCs w:val="19"/>
              </w:rPr>
              <w:t xml:space="preserve">MoSCoW: </w:t>
            </w:r>
            <w:r>
              <w:rPr>
                <w:rFonts w:ascii="Calibri" w:cs="Calibri" w:eastAsia="Calibri" w:hAnsi="Calibri"/>
                <w:b/>
                <w:bCs/>
                <w:color w:val="B71C1C"/>
                <w:sz w:val="19"/>
                <w:szCs w:val="19"/>
              </w:rPr>
              <w:t xml:space="preserve">Must</w:t>
            </w:r>
            <w:r>
              <w:rPr>
                <w:rFonts w:ascii="Calibri" w:cs="Calibri" w:eastAsia="Calibri" w:hAnsi="Calibri"/>
                <w:color w:val="546E7A"/>
                <w:sz w:val="18"/>
                <w:szCs w:val="18"/>
              </w:rPr>
              <w:t xml:space="preserve">   Aufwand: 13 SP</w:t>
            </w:r>
          </w:p>
          <w:p>
            <w:pPr>
              <w:spacing w:before="0" w:after="30"/>
            </w:pPr>
            <w:r>
              <w:rPr>
                <w:rFonts w:ascii="Calibri" w:cs="Calibri" w:eastAsia="Calibri" w:hAnsi="Calibri"/>
                <w:color w:val="212121"/>
                <w:sz w:val="20"/>
                <w:szCs w:val="20"/>
              </w:rPr>
              <w:t xml:space="preserve">Als </w:t>
            </w:r>
            <w:r>
              <w:rPr>
                <w:rFonts w:ascii="Calibri" w:cs="Calibri" w:eastAsia="Calibri" w:hAnsi="Calibri"/>
                <w:b/>
                <w:bCs/>
                <w:color w:val="004D40"/>
                <w:sz w:val="20"/>
                <w:szCs w:val="20"/>
              </w:rPr>
              <w:t xml:space="preserve">DeFi-Anleger</w:t>
            </w:r>
            <w:r>
              <w:rPr>
                <w:rFonts w:ascii="Calibri" w:cs="Calibri" w:eastAsia="Calibri" w:hAnsi="Calibri"/>
                <w:color w:val="212121"/>
                <w:sz w:val="20"/>
                <w:szCs w:val="20"/>
              </w:rPr>
              <w:t xml:space="preserve"> möchte ich </w:t>
            </w:r>
            <w:r>
              <w:rPr>
                <w:rFonts w:ascii="Calibri" w:cs="Calibri" w:eastAsia="Calibri" w:hAnsi="Calibri"/>
                <w:b/>
                <w:bCs/>
                <w:color w:val="212121"/>
                <w:sz w:val="20"/>
                <w:szCs w:val="20"/>
              </w:rPr>
              <w:t xml:space="preserve">mein gesamtes Portfolio mit P&amp;L-Übersicht und offenen Steuerpositionen sehen</w:t>
            </w:r>
            <w:r>
              <w:rPr>
                <w:rFonts w:ascii="Calibri" w:cs="Calibri" w:eastAsia="Calibri" w:hAnsi="Calibri"/>
                <w:color w:val="212121"/>
                <w:sz w:val="20"/>
                <w:szCs w:val="20"/>
              </w:rPr>
              <w:t xml:space="preserve">, damit </w:t>
            </w:r>
            <w:r>
              <w:rPr>
                <w:rFonts w:ascii="Calibri" w:cs="Calibri" w:eastAsia="Calibri" w:hAnsi="Calibri"/>
                <w:i/>
                <w:iCs/>
                <w:color w:val="212121"/>
                <w:sz w:val="20"/>
                <w:szCs w:val="20"/>
              </w:rPr>
              <w:t xml:space="preserve">ich jederzeit den steuerlichen Status meiner Investitionen kenne.</w:t>
            </w:r>
          </w:p>
          <w:p>
            <w:pPr>
              <w:spacing w:before="30" w:after="0"/>
            </w:pPr>
            <w:r>
              <w:rPr>
                <w:rFonts w:ascii="Calibri" w:cs="Calibri" w:eastAsia="Calibri" w:hAnsi="Calibri"/>
                <w:b/>
                <w:bCs/>
                <w:color w:val="546E7A"/>
                <w:sz w:val="19"/>
                <w:szCs w:val="19"/>
              </w:rPr>
              <w:t xml:space="preserve">Akzeptanzkriterien: </w:t>
            </w:r>
          </w:p>
          <w:p>
            <w:pPr>
              <w:pStyle w:val="ListParagraph"/>
              <w:numPr>
                <w:ilvl w:val="0"/>
                <w:numId w:val="9"/>
              </w:numPr>
              <w:spacing w:before="0" w:after="0"/>
            </w:pPr>
            <w:r>
              <w:rPr>
                <w:rFonts w:ascii="Calibri" w:cs="Calibri" w:eastAsia="Calibri" w:hAnsi="Calibri"/>
                <w:color w:val="212121"/>
                <w:sz w:val="18"/>
                <w:szCs w:val="18"/>
              </w:rPr>
              <w:t xml:space="preserve">Dashboard zeigt: Gesamt-P&amp;L, realisierte Gewinne/Verluste, offene Steuerpositionen</w:t>
            </w:r>
          </w:p>
          <w:p>
            <w:pPr>
              <w:pStyle w:val="ListParagraph"/>
              <w:numPr>
                <w:ilvl w:val="0"/>
                <w:numId w:val="9"/>
              </w:numPr>
              <w:spacing w:before="0" w:after="0"/>
            </w:pPr>
            <w:r>
              <w:rPr>
                <w:rFonts w:ascii="Calibri" w:cs="Calibri" w:eastAsia="Calibri" w:hAnsi="Calibri"/>
                <w:color w:val="212121"/>
                <w:sz w:val="18"/>
                <w:szCs w:val="18"/>
              </w:rPr>
              <w:t xml:space="preserve">Freigrenze-Indikator: Wie viel von € 1.000 (§ 23) und € 256 (§ 22 Nr. 3) ist genutzt</w:t>
            </w:r>
          </w:p>
          <w:p>
            <w:pPr>
              <w:pStyle w:val="ListParagraph"/>
              <w:numPr>
                <w:ilvl w:val="0"/>
                <w:numId w:val="9"/>
              </w:numPr>
              <w:spacing w:before="0" w:after="0"/>
            </w:pPr>
            <w:r>
              <w:rPr>
                <w:rFonts w:ascii="Calibri" w:cs="Calibri" w:eastAsia="Calibri" w:hAnsi="Calibri"/>
                <w:color w:val="212121"/>
                <w:sz w:val="18"/>
                <w:szCs w:val="18"/>
              </w:rPr>
              <w:t xml:space="preserve">Haltefrist-Tracker: Welche Assets nähern sich der 1-Jahres-Marke</w:t>
            </w:r>
          </w:p>
          <w:p>
            <w:pPr>
              <w:pStyle w:val="ListParagraph"/>
              <w:numPr>
                <w:ilvl w:val="0"/>
                <w:numId w:val="9"/>
              </w:numPr>
              <w:spacing w:before="0" w:after="0"/>
            </w:pPr>
            <w:r>
              <w:rPr>
                <w:rFonts w:ascii="Calibri" w:cs="Calibri" w:eastAsia="Calibri" w:hAnsi="Calibri"/>
                <w:color w:val="212121"/>
                <w:sz w:val="18"/>
                <w:szCs w:val="18"/>
              </w:rPr>
              <w:t xml:space="preserve">Daten in Echtzeit auf Basis aktueller FTSO-Kurse</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P2.2 Should Have (Phase 1 – nachrangig)</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8"/>
              <w:left w:val="thick" w:color="0D47A1" w:sz="14"/>
              <w:bottom w:val="single" w:color="0D47A1" w:sz="1"/>
              <w:right w:val="single" w:color="0D47A1" w:sz="1"/>
            </w:tcBorders>
            <w:shd w:fill="E8EAF6" w:val="clear"/>
            <w:tcMar>
              <w:top w:type="dxa" w:w="100"/>
              <w:left w:type="dxa" w:w="200"/>
              <w:bottom w:type="dxa" w:w="100"/>
              <w:right w:type="dxa" w:w="140"/>
            </w:tcMar>
          </w:tcPr>
          <w:p>
            <w:pPr>
              <w:spacing w:before="0" w:after="40"/>
            </w:pPr>
            <w:r>
              <w:rPr>
                <w:rFonts w:ascii="Calibri" w:cs="Calibri" w:eastAsia="Calibri" w:hAnsi="Calibri"/>
                <w:b/>
                <w:bCs/>
                <w:color w:val="546E7A"/>
                <w:sz w:val="19"/>
                <w:szCs w:val="19"/>
              </w:rPr>
              <w:t xml:space="preserve">US-007  </w:t>
            </w:r>
            <w:r>
              <w:rPr>
                <w:rFonts w:ascii="Calibri" w:cs="Calibri" w:eastAsia="Calibri" w:hAnsi="Calibri"/>
                <w:color w:val="546E7A"/>
                <w:sz w:val="19"/>
                <w:szCs w:val="19"/>
              </w:rPr>
              <w:t xml:space="preserve">MoSCoW: </w:t>
            </w:r>
            <w:r>
              <w:rPr>
                <w:rFonts w:ascii="Calibri" w:cs="Calibri" w:eastAsia="Calibri" w:hAnsi="Calibri"/>
                <w:b/>
                <w:bCs/>
                <w:color w:val="E65100"/>
                <w:sz w:val="19"/>
                <w:szCs w:val="19"/>
              </w:rPr>
              <w:t xml:space="preserve">Should</w:t>
            </w:r>
            <w:r>
              <w:rPr>
                <w:rFonts w:ascii="Calibri" w:cs="Calibri" w:eastAsia="Calibri" w:hAnsi="Calibri"/>
                <w:color w:val="546E7A"/>
                <w:sz w:val="18"/>
                <w:szCs w:val="18"/>
              </w:rPr>
              <w:t xml:space="preserve">   Aufwand: 8 SP</w:t>
            </w:r>
          </w:p>
          <w:p>
            <w:pPr>
              <w:spacing w:before="0" w:after="30"/>
            </w:pPr>
            <w:r>
              <w:rPr>
                <w:rFonts w:ascii="Calibri" w:cs="Calibri" w:eastAsia="Calibri" w:hAnsi="Calibri"/>
                <w:color w:val="212121"/>
                <w:sz w:val="20"/>
                <w:szCs w:val="20"/>
              </w:rPr>
              <w:t xml:space="preserve">Als </w:t>
            </w:r>
            <w:r>
              <w:rPr>
                <w:rFonts w:ascii="Calibri" w:cs="Calibri" w:eastAsia="Calibri" w:hAnsi="Calibri"/>
                <w:b/>
                <w:bCs/>
                <w:color w:val="0D47A1"/>
                <w:sz w:val="20"/>
                <w:szCs w:val="20"/>
              </w:rPr>
              <w:t xml:space="preserve">DeFi-Anleger</w:t>
            </w:r>
            <w:r>
              <w:rPr>
                <w:rFonts w:ascii="Calibri" w:cs="Calibri" w:eastAsia="Calibri" w:hAnsi="Calibri"/>
                <w:color w:val="212121"/>
                <w:sz w:val="20"/>
                <w:szCs w:val="20"/>
              </w:rPr>
              <w:t xml:space="preserve"> möchte ich </w:t>
            </w:r>
            <w:r>
              <w:rPr>
                <w:rFonts w:ascii="Calibri" w:cs="Calibri" w:eastAsia="Calibri" w:hAnsi="Calibri"/>
                <w:b/>
                <w:bCs/>
                <w:color w:val="212121"/>
                <w:sz w:val="20"/>
                <w:szCs w:val="20"/>
              </w:rPr>
              <w:t xml:space="preserve">FLR-Staking-Rewards und FlareDrops automatisch als § 22 Nr. 3 EStG Einkünfte tracken</w:t>
            </w:r>
            <w:r>
              <w:rPr>
                <w:rFonts w:ascii="Calibri" w:cs="Calibri" w:eastAsia="Calibri" w:hAnsi="Calibri"/>
                <w:color w:val="212121"/>
                <w:sz w:val="20"/>
                <w:szCs w:val="20"/>
              </w:rPr>
              <w:t xml:space="preserve">, damit </w:t>
            </w:r>
            <w:r>
              <w:rPr>
                <w:rFonts w:ascii="Calibri" w:cs="Calibri" w:eastAsia="Calibri" w:hAnsi="Calibri"/>
                <w:i/>
                <w:iCs/>
                <w:color w:val="212121"/>
                <w:sz w:val="20"/>
                <w:szCs w:val="20"/>
              </w:rPr>
              <w:t xml:space="preserve">ich auch meine passiven Einkünfte dokumentiert habe.</w:t>
            </w:r>
          </w:p>
          <w:p>
            <w:pPr>
              <w:spacing w:before="30" w:after="0"/>
            </w:pPr>
            <w:r>
              <w:rPr>
                <w:rFonts w:ascii="Calibri" w:cs="Calibri" w:eastAsia="Calibri" w:hAnsi="Calibri"/>
                <w:b/>
                <w:bCs/>
                <w:color w:val="546E7A"/>
                <w:sz w:val="19"/>
                <w:szCs w:val="19"/>
              </w:rPr>
              <w:t xml:space="preserve">Akzeptanzkriterien: </w:t>
            </w:r>
          </w:p>
          <w:p>
            <w:pPr>
              <w:pStyle w:val="ListParagraph"/>
              <w:numPr>
                <w:ilvl w:val="0"/>
                <w:numId w:val="9"/>
              </w:numPr>
              <w:spacing w:before="0" w:after="0"/>
            </w:pPr>
            <w:r>
              <w:rPr>
                <w:rFonts w:ascii="Calibri" w:cs="Calibri" w:eastAsia="Calibri" w:hAnsi="Calibri"/>
                <w:color w:val="212121"/>
                <w:sz w:val="18"/>
                <w:szCs w:val="18"/>
              </w:rPr>
              <w:t xml:space="preserve">FlareDrops werden monatlich automatisch importiert</w:t>
            </w:r>
          </w:p>
          <w:p>
            <w:pPr>
              <w:pStyle w:val="ListParagraph"/>
              <w:numPr>
                <w:ilvl w:val="0"/>
                <w:numId w:val="9"/>
              </w:numPr>
              <w:spacing w:before="0" w:after="0"/>
            </w:pPr>
            <w:r>
              <w:rPr>
                <w:rFonts w:ascii="Calibri" w:cs="Calibri" w:eastAsia="Calibri" w:hAnsi="Calibri"/>
                <w:color w:val="212121"/>
                <w:sz w:val="18"/>
                <w:szCs w:val="18"/>
              </w:rPr>
              <w:t xml:space="preserve">Claiming-Zeitpunkt wird als Besteuerungszeitpunkt gesetzt (BMF 2025)</w:t>
            </w:r>
          </w:p>
          <w:p>
            <w:pPr>
              <w:pStyle w:val="ListParagraph"/>
              <w:numPr>
                <w:ilvl w:val="0"/>
                <w:numId w:val="9"/>
              </w:numPr>
              <w:spacing w:before="0" w:after="0"/>
            </w:pPr>
            <w:r>
              <w:rPr>
                <w:rFonts w:ascii="Calibri" w:cs="Calibri" w:eastAsia="Calibri" w:hAnsi="Calibri"/>
                <w:color w:val="212121"/>
                <w:sz w:val="18"/>
                <w:szCs w:val="18"/>
              </w:rPr>
              <w:t xml:space="preserve">EUR-Bewertung via FTSO zum Claiming-Zeitpunkt</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8"/>
              <w:left w:val="thick" w:color="0D47A1" w:sz="14"/>
              <w:bottom w:val="single" w:color="0D47A1" w:sz="1"/>
              <w:right w:val="single" w:color="0D47A1" w:sz="1"/>
            </w:tcBorders>
            <w:shd w:fill="E8EAF6" w:val="clear"/>
            <w:tcMar>
              <w:top w:type="dxa" w:w="100"/>
              <w:left w:type="dxa" w:w="200"/>
              <w:bottom w:type="dxa" w:w="100"/>
              <w:right w:type="dxa" w:w="140"/>
            </w:tcMar>
          </w:tcPr>
          <w:p>
            <w:pPr>
              <w:spacing w:before="0" w:after="40"/>
            </w:pPr>
            <w:r>
              <w:rPr>
                <w:rFonts w:ascii="Calibri" w:cs="Calibri" w:eastAsia="Calibri" w:hAnsi="Calibri"/>
                <w:b/>
                <w:bCs/>
                <w:color w:val="546E7A"/>
                <w:sz w:val="19"/>
                <w:szCs w:val="19"/>
              </w:rPr>
              <w:t xml:space="preserve">US-008  </w:t>
            </w:r>
            <w:r>
              <w:rPr>
                <w:rFonts w:ascii="Calibri" w:cs="Calibri" w:eastAsia="Calibri" w:hAnsi="Calibri"/>
                <w:color w:val="546E7A"/>
                <w:sz w:val="19"/>
                <w:szCs w:val="19"/>
              </w:rPr>
              <w:t xml:space="preserve">MoSCoW: </w:t>
            </w:r>
            <w:r>
              <w:rPr>
                <w:rFonts w:ascii="Calibri" w:cs="Calibri" w:eastAsia="Calibri" w:hAnsi="Calibri"/>
                <w:b/>
                <w:bCs/>
                <w:color w:val="E65100"/>
                <w:sz w:val="19"/>
                <w:szCs w:val="19"/>
              </w:rPr>
              <w:t xml:space="preserve">Should</w:t>
            </w:r>
            <w:r>
              <w:rPr>
                <w:rFonts w:ascii="Calibri" w:cs="Calibri" w:eastAsia="Calibri" w:hAnsi="Calibri"/>
                <w:color w:val="546E7A"/>
                <w:sz w:val="18"/>
                <w:szCs w:val="18"/>
              </w:rPr>
              <w:t xml:space="preserve">   Aufwand: 8 SP</w:t>
            </w:r>
          </w:p>
          <w:p>
            <w:pPr>
              <w:spacing w:before="0" w:after="30"/>
            </w:pPr>
            <w:r>
              <w:rPr>
                <w:rFonts w:ascii="Calibri" w:cs="Calibri" w:eastAsia="Calibri" w:hAnsi="Calibri"/>
                <w:color w:val="212121"/>
                <w:sz w:val="20"/>
                <w:szCs w:val="20"/>
              </w:rPr>
              <w:t xml:space="preserve">Als </w:t>
            </w:r>
            <w:r>
              <w:rPr>
                <w:rFonts w:ascii="Calibri" w:cs="Calibri" w:eastAsia="Calibri" w:hAnsi="Calibri"/>
                <w:b/>
                <w:bCs/>
                <w:color w:val="0D47A1"/>
                <w:sz w:val="20"/>
                <w:szCs w:val="20"/>
              </w:rPr>
              <w:t xml:space="preserve">DeFi-Anleger</w:t>
            </w:r>
            <w:r>
              <w:rPr>
                <w:rFonts w:ascii="Calibri" w:cs="Calibri" w:eastAsia="Calibri" w:hAnsi="Calibri"/>
                <w:color w:val="212121"/>
                <w:sz w:val="20"/>
                <w:szCs w:val="20"/>
              </w:rPr>
              <w:t xml:space="preserve"> möchte ich </w:t>
            </w:r>
            <w:r>
              <w:rPr>
                <w:rFonts w:ascii="Calibri" w:cs="Calibri" w:eastAsia="Calibri" w:hAnsi="Calibri"/>
                <w:b/>
                <w:bCs/>
                <w:color w:val="212121"/>
                <w:sz w:val="20"/>
                <w:szCs w:val="20"/>
              </w:rPr>
              <w:t xml:space="preserve">unbekannte oder nicht automatisch erkannte Transaktionen manuell klassifizieren</w:t>
            </w:r>
            <w:r>
              <w:rPr>
                <w:rFonts w:ascii="Calibri" w:cs="Calibri" w:eastAsia="Calibri" w:hAnsi="Calibri"/>
                <w:color w:val="212121"/>
                <w:sz w:val="20"/>
                <w:szCs w:val="20"/>
              </w:rPr>
              <w:t xml:space="preserve">, damit </w:t>
            </w:r>
            <w:r>
              <w:rPr>
                <w:rFonts w:ascii="Calibri" w:cs="Calibri" w:eastAsia="Calibri" w:hAnsi="Calibri"/>
                <w:i/>
                <w:iCs/>
                <w:color w:val="212121"/>
                <w:sz w:val="20"/>
                <w:szCs w:val="20"/>
              </w:rPr>
              <w:t xml:space="preserve">keine TX verloren geht und das Audit-Log vollständig ist.</w:t>
            </w:r>
          </w:p>
          <w:p>
            <w:pPr>
              <w:spacing w:before="30" w:after="0"/>
            </w:pPr>
            <w:r>
              <w:rPr>
                <w:rFonts w:ascii="Calibri" w:cs="Calibri" w:eastAsia="Calibri" w:hAnsi="Calibri"/>
                <w:b/>
                <w:bCs/>
                <w:color w:val="546E7A"/>
                <w:sz w:val="19"/>
                <w:szCs w:val="19"/>
              </w:rPr>
              <w:t xml:space="preserve">Akzeptanzkriterien: </w:t>
            </w:r>
          </w:p>
          <w:p>
            <w:pPr>
              <w:pStyle w:val="ListParagraph"/>
              <w:numPr>
                <w:ilvl w:val="0"/>
                <w:numId w:val="9"/>
              </w:numPr>
              <w:spacing w:before="0" w:after="0"/>
            </w:pPr>
            <w:r>
              <w:rPr>
                <w:rFonts w:ascii="Calibri" w:cs="Calibri" w:eastAsia="Calibri" w:hAnsi="Calibri"/>
                <w:color w:val="212121"/>
                <w:sz w:val="18"/>
                <w:szCs w:val="18"/>
              </w:rPr>
              <w:t xml:space="preserve">UI-geführter Kategorisierungs-Workflow für unbekannte TX</w:t>
            </w:r>
          </w:p>
          <w:p>
            <w:pPr>
              <w:pStyle w:val="ListParagraph"/>
              <w:numPr>
                <w:ilvl w:val="0"/>
                <w:numId w:val="9"/>
              </w:numPr>
              <w:spacing w:before="0" w:after="0"/>
            </w:pPr>
            <w:r>
              <w:rPr>
                <w:rFonts w:ascii="Calibri" w:cs="Calibri" w:eastAsia="Calibri" w:hAnsi="Calibri"/>
                <w:color w:val="212121"/>
                <w:sz w:val="18"/>
                <w:szCs w:val="18"/>
              </w:rPr>
              <w:t xml:space="preserve">Alle CoinTracking-Typen als Dropdown verfügbar</w:t>
            </w:r>
          </w:p>
          <w:p>
            <w:pPr>
              <w:pStyle w:val="ListParagraph"/>
              <w:numPr>
                <w:ilvl w:val="0"/>
                <w:numId w:val="9"/>
              </w:numPr>
              <w:spacing w:before="0" w:after="0"/>
            </w:pPr>
            <w:r>
              <w:rPr>
                <w:rFonts w:ascii="Calibri" w:cs="Calibri" w:eastAsia="Calibri" w:hAnsi="Calibri"/>
                <w:color w:val="212121"/>
                <w:sz w:val="18"/>
                <w:szCs w:val="18"/>
              </w:rPr>
              <w:t xml:space="preserve">Manuelle Einträge als 'Manuell kategorisiert' markiert (Audit-Log)</w:t>
            </w:r>
          </w:p>
          <w:p>
            <w:pPr>
              <w:pStyle w:val="ListParagraph"/>
              <w:numPr>
                <w:ilvl w:val="0"/>
                <w:numId w:val="9"/>
              </w:numPr>
              <w:spacing w:before="0" w:after="0"/>
            </w:pPr>
            <w:r>
              <w:rPr>
                <w:rFonts w:ascii="Calibri" w:cs="Calibri" w:eastAsia="Calibri" w:hAnsi="Calibri"/>
                <w:color w:val="212121"/>
                <w:sz w:val="18"/>
                <w:szCs w:val="18"/>
              </w:rPr>
              <w:t xml:space="preserve">Bulk-Klassifikation für gleichartige unbekannte TX möglich</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48C" w:sz="8"/>
              <w:left w:val="thick" w:color="4A148C" w:sz="14"/>
              <w:bottom w:val="single" w:color="4A148C" w:sz="1"/>
              <w:right w:val="single" w:color="4A148C" w:sz="1"/>
            </w:tcBorders>
            <w:shd w:fill="F3E5F5" w:val="clear"/>
            <w:tcMar>
              <w:top w:type="dxa" w:w="100"/>
              <w:left w:type="dxa" w:w="200"/>
              <w:bottom w:type="dxa" w:w="100"/>
              <w:right w:type="dxa" w:w="140"/>
            </w:tcMar>
          </w:tcPr>
          <w:p>
            <w:pPr>
              <w:spacing w:before="0" w:after="40"/>
            </w:pPr>
            <w:r>
              <w:rPr>
                <w:rFonts w:ascii="Calibri" w:cs="Calibri" w:eastAsia="Calibri" w:hAnsi="Calibri"/>
                <w:b/>
                <w:bCs/>
                <w:color w:val="546E7A"/>
                <w:sz w:val="19"/>
                <w:szCs w:val="19"/>
              </w:rPr>
              <w:t xml:space="preserve">US-009  </w:t>
            </w:r>
            <w:r>
              <w:rPr>
                <w:rFonts w:ascii="Calibri" w:cs="Calibri" w:eastAsia="Calibri" w:hAnsi="Calibri"/>
                <w:color w:val="546E7A"/>
                <w:sz w:val="19"/>
                <w:szCs w:val="19"/>
              </w:rPr>
              <w:t xml:space="preserve">MoSCoW: </w:t>
            </w:r>
            <w:r>
              <w:rPr>
                <w:rFonts w:ascii="Calibri" w:cs="Calibri" w:eastAsia="Calibri" w:hAnsi="Calibri"/>
                <w:b/>
                <w:bCs/>
                <w:color w:val="E65100"/>
                <w:sz w:val="19"/>
                <w:szCs w:val="19"/>
              </w:rPr>
              <w:t xml:space="preserve">Should</w:t>
            </w:r>
            <w:r>
              <w:rPr>
                <w:rFonts w:ascii="Calibri" w:cs="Calibri" w:eastAsia="Calibri" w:hAnsi="Calibri"/>
                <w:color w:val="546E7A"/>
                <w:sz w:val="18"/>
                <w:szCs w:val="18"/>
              </w:rPr>
              <w:t xml:space="preserve">   Aufwand: 13 SP</w:t>
            </w:r>
          </w:p>
          <w:p>
            <w:pPr>
              <w:spacing w:before="0" w:after="30"/>
            </w:pPr>
            <w:r>
              <w:rPr>
                <w:rFonts w:ascii="Calibri" w:cs="Calibri" w:eastAsia="Calibri" w:hAnsi="Calibri"/>
                <w:color w:val="212121"/>
                <w:sz w:val="20"/>
                <w:szCs w:val="20"/>
              </w:rPr>
              <w:t xml:space="preserve">Als </w:t>
            </w:r>
            <w:r>
              <w:rPr>
                <w:rFonts w:ascii="Calibri" w:cs="Calibri" w:eastAsia="Calibri" w:hAnsi="Calibri"/>
                <w:b/>
                <w:bCs/>
                <w:color w:val="4A148C"/>
                <w:sz w:val="20"/>
                <w:szCs w:val="20"/>
              </w:rPr>
              <w:t xml:space="preserve">Steuerberater</w:t>
            </w:r>
            <w:r>
              <w:rPr>
                <w:rFonts w:ascii="Calibri" w:cs="Calibri" w:eastAsia="Calibri" w:hAnsi="Calibri"/>
                <w:color w:val="212121"/>
                <w:sz w:val="20"/>
                <w:szCs w:val="20"/>
              </w:rPr>
              <w:t xml:space="preserve"> möchte ich </w:t>
            </w:r>
            <w:r>
              <w:rPr>
                <w:rFonts w:ascii="Calibri" w:cs="Calibri" w:eastAsia="Calibri" w:hAnsi="Calibri"/>
                <w:b/>
                <w:bCs/>
                <w:color w:val="212121"/>
                <w:sz w:val="20"/>
                <w:szCs w:val="20"/>
              </w:rPr>
              <w:t xml:space="preserve">alle Transaktionen eines Mandanten auf Plausibilität prüfen und kommentieren</w:t>
            </w:r>
            <w:r>
              <w:rPr>
                <w:rFonts w:ascii="Calibri" w:cs="Calibri" w:eastAsia="Calibri" w:hAnsi="Calibri"/>
                <w:color w:val="212121"/>
                <w:sz w:val="20"/>
                <w:szCs w:val="20"/>
              </w:rPr>
              <w:t xml:space="preserve">, damit </w:t>
            </w:r>
            <w:r>
              <w:rPr>
                <w:rFonts w:ascii="Calibri" w:cs="Calibri" w:eastAsia="Calibri" w:hAnsi="Calibri"/>
                <w:i/>
                <w:iCs/>
                <w:color w:val="212121"/>
                <w:sz w:val="20"/>
                <w:szCs w:val="20"/>
              </w:rPr>
              <w:t xml:space="preserve">ich meinen Mandanten gezielt auf steuerliche Risiken hinweisen kann.</w:t>
            </w:r>
          </w:p>
          <w:p>
            <w:pPr>
              <w:spacing w:before="30" w:after="0"/>
            </w:pPr>
            <w:r>
              <w:rPr>
                <w:rFonts w:ascii="Calibri" w:cs="Calibri" w:eastAsia="Calibri" w:hAnsi="Calibri"/>
                <w:b/>
                <w:bCs/>
                <w:color w:val="546E7A"/>
                <w:sz w:val="19"/>
                <w:szCs w:val="19"/>
              </w:rPr>
              <w:t xml:space="preserve">Akzeptanzkriterien: </w:t>
            </w:r>
          </w:p>
          <w:p>
            <w:pPr>
              <w:pStyle w:val="ListParagraph"/>
              <w:numPr>
                <w:ilvl w:val="0"/>
                <w:numId w:val="9"/>
              </w:numPr>
              <w:spacing w:before="0" w:after="0"/>
            </w:pPr>
            <w:r>
              <w:rPr>
                <w:rFonts w:ascii="Calibri" w:cs="Calibri" w:eastAsia="Calibri" w:hAnsi="Calibri"/>
                <w:color w:val="212121"/>
                <w:sz w:val="18"/>
                <w:szCs w:val="18"/>
              </w:rPr>
              <w:t xml:space="preserve">Read-only Steuerberater-Zugang (Token-basiert, ohne eigene Anmeldung des Beraters)</w:t>
            </w:r>
          </w:p>
          <w:p>
            <w:pPr>
              <w:pStyle w:val="ListParagraph"/>
              <w:numPr>
                <w:ilvl w:val="0"/>
                <w:numId w:val="9"/>
              </w:numPr>
              <w:spacing w:before="0" w:after="0"/>
            </w:pPr>
            <w:r>
              <w:rPr>
                <w:rFonts w:ascii="Calibri" w:cs="Calibri" w:eastAsia="Calibri" w:hAnsi="Calibri"/>
                <w:color w:val="212121"/>
                <w:sz w:val="18"/>
                <w:szCs w:val="18"/>
              </w:rPr>
              <w:t xml:space="preserve">Kommentar-Funktion pro Transaktion</w:t>
            </w:r>
          </w:p>
          <w:p>
            <w:pPr>
              <w:pStyle w:val="ListParagraph"/>
              <w:numPr>
                <w:ilvl w:val="0"/>
                <w:numId w:val="9"/>
              </w:numPr>
              <w:spacing w:before="0" w:after="0"/>
            </w:pPr>
            <w:r>
              <w:rPr>
                <w:rFonts w:ascii="Calibri" w:cs="Calibri" w:eastAsia="Calibri" w:hAnsi="Calibri"/>
                <w:color w:val="212121"/>
                <w:sz w:val="18"/>
                <w:szCs w:val="18"/>
              </w:rPr>
              <w:t xml:space="preserve">Statusmarkierung: 'OK', 'Prüfen', 'Risiko'</w:t>
            </w:r>
          </w:p>
          <w:p>
            <w:pPr>
              <w:pStyle w:val="ListParagraph"/>
              <w:numPr>
                <w:ilvl w:val="0"/>
                <w:numId w:val="9"/>
              </w:numPr>
              <w:spacing w:before="0" w:after="0"/>
            </w:pPr>
            <w:r>
              <w:rPr>
                <w:rFonts w:ascii="Calibri" w:cs="Calibri" w:eastAsia="Calibri" w:hAnsi="Calibri"/>
                <w:color w:val="212121"/>
                <w:sz w:val="18"/>
                <w:szCs w:val="18"/>
              </w:rPr>
              <w:t xml:space="preserve">PDF-Report mit allen Kommentaren exportierbar</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P2.3 Could Have (Phase 4 – Erweiterung)</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8"/>
              <w:left w:val="thick" w:color="E65100" w:sz="14"/>
              <w:bottom w:val="single" w:color="E65100" w:sz="1"/>
              <w:right w:val="single" w:color="E65100" w:sz="1"/>
            </w:tcBorders>
            <w:shd w:fill="FFF8E1" w:val="clear"/>
            <w:tcMar>
              <w:top w:type="dxa" w:w="100"/>
              <w:left w:type="dxa" w:w="200"/>
              <w:bottom w:type="dxa" w:w="100"/>
              <w:right w:type="dxa" w:w="140"/>
            </w:tcMar>
          </w:tcPr>
          <w:p>
            <w:pPr>
              <w:spacing w:before="0" w:after="40"/>
            </w:pPr>
            <w:r>
              <w:rPr>
                <w:rFonts w:ascii="Calibri" w:cs="Calibri" w:eastAsia="Calibri" w:hAnsi="Calibri"/>
                <w:b/>
                <w:bCs/>
                <w:color w:val="546E7A"/>
                <w:sz w:val="19"/>
                <w:szCs w:val="19"/>
              </w:rPr>
              <w:t xml:space="preserve">US-010  </w:t>
            </w:r>
            <w:r>
              <w:rPr>
                <w:rFonts w:ascii="Calibri" w:cs="Calibri" w:eastAsia="Calibri" w:hAnsi="Calibri"/>
                <w:color w:val="546E7A"/>
                <w:sz w:val="19"/>
                <w:szCs w:val="19"/>
              </w:rPr>
              <w:t xml:space="preserve">MoSCoW: </w:t>
            </w:r>
            <w:r>
              <w:rPr>
                <w:rFonts w:ascii="Calibri" w:cs="Calibri" w:eastAsia="Calibri" w:hAnsi="Calibri"/>
                <w:b/>
                <w:bCs/>
                <w:color w:val="1B5E20"/>
                <w:sz w:val="19"/>
                <w:szCs w:val="19"/>
              </w:rPr>
              <w:t xml:space="preserve">Could</w:t>
            </w:r>
            <w:r>
              <w:rPr>
                <w:rFonts w:ascii="Calibri" w:cs="Calibri" w:eastAsia="Calibri" w:hAnsi="Calibri"/>
                <w:color w:val="546E7A"/>
                <w:sz w:val="18"/>
                <w:szCs w:val="18"/>
              </w:rPr>
              <w:t xml:space="preserve">   Aufwand: 34 SP</w:t>
            </w:r>
          </w:p>
          <w:p>
            <w:pPr>
              <w:spacing w:before="0" w:after="30"/>
            </w:pPr>
            <w:r>
              <w:rPr>
                <w:rFonts w:ascii="Calibri" w:cs="Calibri" w:eastAsia="Calibri" w:hAnsi="Calibri"/>
                <w:color w:val="212121"/>
                <w:sz w:val="20"/>
                <w:szCs w:val="20"/>
              </w:rPr>
              <w:t xml:space="preserve">Als </w:t>
            </w:r>
            <w:r>
              <w:rPr>
                <w:rFonts w:ascii="Calibri" w:cs="Calibri" w:eastAsia="Calibri" w:hAnsi="Calibri"/>
                <w:b/>
                <w:bCs/>
                <w:color w:val="E65100"/>
                <w:sz w:val="20"/>
                <w:szCs w:val="20"/>
              </w:rPr>
              <w:t xml:space="preserve">Power User</w:t>
            </w:r>
            <w:r>
              <w:rPr>
                <w:rFonts w:ascii="Calibri" w:cs="Calibri" w:eastAsia="Calibri" w:hAnsi="Calibri"/>
                <w:color w:val="212121"/>
                <w:sz w:val="20"/>
                <w:szCs w:val="20"/>
              </w:rPr>
              <w:t xml:space="preserve"> möchte ich </w:t>
            </w:r>
            <w:r>
              <w:rPr>
                <w:rFonts w:ascii="Calibri" w:cs="Calibri" w:eastAsia="Calibri" w:hAnsi="Calibri"/>
                <w:b/>
                <w:bCs/>
                <w:color w:val="212121"/>
                <w:sz w:val="20"/>
                <w:szCs w:val="20"/>
              </w:rPr>
              <w:t xml:space="preserve">Stargate-Bridge-Transaktionen korrekt chain-übergreifend verknüpfen</w:t>
            </w:r>
            <w:r>
              <w:rPr>
                <w:rFonts w:ascii="Calibri" w:cs="Calibri" w:eastAsia="Calibri" w:hAnsi="Calibri"/>
                <w:color w:val="212121"/>
                <w:sz w:val="20"/>
                <w:szCs w:val="20"/>
              </w:rPr>
              <w:t xml:space="preserve">, damit </w:t>
            </w:r>
            <w:r>
              <w:rPr>
                <w:rFonts w:ascii="Calibri" w:cs="Calibri" w:eastAsia="Calibri" w:hAnsi="Calibri"/>
                <w:i/>
                <w:iCs/>
                <w:color w:val="212121"/>
                <w:sz w:val="20"/>
                <w:szCs w:val="20"/>
              </w:rPr>
              <w:t xml:space="preserve">keine doppelten Einnahmen/Ausgaben in meiner Steuerrechnung entstehen.</w:t>
            </w:r>
          </w:p>
          <w:p>
            <w:pPr>
              <w:spacing w:before="30" w:after="0"/>
            </w:pPr>
            <w:r>
              <w:rPr>
                <w:rFonts w:ascii="Calibri" w:cs="Calibri" w:eastAsia="Calibri" w:hAnsi="Calibri"/>
                <w:b/>
                <w:bCs/>
                <w:color w:val="546E7A"/>
                <w:sz w:val="19"/>
                <w:szCs w:val="19"/>
              </w:rPr>
              <w:t xml:space="preserve">Akzeptanzkriterien: </w:t>
            </w:r>
          </w:p>
          <w:p>
            <w:pPr>
              <w:pStyle w:val="ListParagraph"/>
              <w:numPr>
                <w:ilvl w:val="0"/>
                <w:numId w:val="9"/>
              </w:numPr>
              <w:spacing w:before="0" w:after="0"/>
            </w:pPr>
            <w:r>
              <w:rPr>
                <w:rFonts w:ascii="Calibri" w:cs="Calibri" w:eastAsia="Calibri" w:hAnsi="Calibri"/>
                <w:color w:val="212121"/>
                <w:sz w:val="18"/>
                <w:szCs w:val="18"/>
              </w:rPr>
              <w:t xml:space="preserve">LayerZero Message-ID als Cross-Chain-Anker</w:t>
            </w:r>
          </w:p>
          <w:p>
            <w:pPr>
              <w:pStyle w:val="ListParagraph"/>
              <w:numPr>
                <w:ilvl w:val="0"/>
                <w:numId w:val="9"/>
              </w:numPr>
              <w:spacing w:before="0" w:after="0"/>
            </w:pPr>
            <w:r>
              <w:rPr>
                <w:rFonts w:ascii="Calibri" w:cs="Calibri" w:eastAsia="Calibri" w:hAnsi="Calibri"/>
                <w:color w:val="212121"/>
                <w:sz w:val="18"/>
                <w:szCs w:val="18"/>
              </w:rPr>
              <w:t xml:space="preserve">Beide TX-Seiten als ein zusammengehöriges Ereignis dargestellt</w:t>
            </w:r>
          </w:p>
          <w:p>
            <w:pPr>
              <w:pStyle w:val="ListParagraph"/>
              <w:numPr>
                <w:ilvl w:val="0"/>
                <w:numId w:val="9"/>
              </w:numPr>
              <w:spacing w:before="0" w:after="0"/>
            </w:pPr>
            <w:r>
              <w:rPr>
                <w:rFonts w:ascii="Calibri" w:cs="Calibri" w:eastAsia="Calibri" w:hAnsi="Calibri"/>
                <w:color w:val="212121"/>
                <w:sz w:val="18"/>
                <w:szCs w:val="18"/>
              </w:rPr>
              <w:t xml:space="preserve">Steuerneutrale Bridge-Transfers korrekt als 'Transfer intern' klassifiziert</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48C" w:sz="8"/>
              <w:left w:val="thick" w:color="4A148C" w:sz="14"/>
              <w:bottom w:val="single" w:color="4A148C" w:sz="1"/>
              <w:right w:val="single" w:color="4A148C" w:sz="1"/>
            </w:tcBorders>
            <w:shd w:fill="F3E5F5" w:val="clear"/>
            <w:tcMar>
              <w:top w:type="dxa" w:w="100"/>
              <w:left w:type="dxa" w:w="200"/>
              <w:bottom w:type="dxa" w:w="100"/>
              <w:right w:type="dxa" w:w="140"/>
            </w:tcMar>
          </w:tcPr>
          <w:p>
            <w:pPr>
              <w:spacing w:before="0" w:after="40"/>
            </w:pPr>
            <w:r>
              <w:rPr>
                <w:rFonts w:ascii="Calibri" w:cs="Calibri" w:eastAsia="Calibri" w:hAnsi="Calibri"/>
                <w:b/>
                <w:bCs/>
                <w:color w:val="546E7A"/>
                <w:sz w:val="19"/>
                <w:szCs w:val="19"/>
              </w:rPr>
              <w:t xml:space="preserve">US-011  </w:t>
            </w:r>
            <w:r>
              <w:rPr>
                <w:rFonts w:ascii="Calibri" w:cs="Calibri" w:eastAsia="Calibri" w:hAnsi="Calibri"/>
                <w:color w:val="546E7A"/>
                <w:sz w:val="19"/>
                <w:szCs w:val="19"/>
              </w:rPr>
              <w:t xml:space="preserve">MoSCoW: </w:t>
            </w:r>
            <w:r>
              <w:rPr>
                <w:rFonts w:ascii="Calibri" w:cs="Calibri" w:eastAsia="Calibri" w:hAnsi="Calibri"/>
                <w:b/>
                <w:bCs/>
                <w:color w:val="1B5E20"/>
                <w:sz w:val="19"/>
                <w:szCs w:val="19"/>
              </w:rPr>
              <w:t xml:space="preserve">Could</w:t>
            </w:r>
            <w:r>
              <w:rPr>
                <w:rFonts w:ascii="Calibri" w:cs="Calibri" w:eastAsia="Calibri" w:hAnsi="Calibri"/>
                <w:color w:val="546E7A"/>
                <w:sz w:val="18"/>
                <w:szCs w:val="18"/>
              </w:rPr>
              <w:t xml:space="preserve">   Aufwand: 21 SP</w:t>
            </w:r>
          </w:p>
          <w:p>
            <w:pPr>
              <w:spacing w:before="0" w:after="30"/>
            </w:pPr>
            <w:r>
              <w:rPr>
                <w:rFonts w:ascii="Calibri" w:cs="Calibri" w:eastAsia="Calibri" w:hAnsi="Calibri"/>
                <w:color w:val="212121"/>
                <w:sz w:val="20"/>
                <w:szCs w:val="20"/>
              </w:rPr>
              <w:t xml:space="preserve">Als </w:t>
            </w:r>
            <w:r>
              <w:rPr>
                <w:rFonts w:ascii="Calibri" w:cs="Calibri" w:eastAsia="Calibri" w:hAnsi="Calibri"/>
                <w:b/>
                <w:bCs/>
                <w:color w:val="4A148C"/>
                <w:sz w:val="20"/>
                <w:szCs w:val="20"/>
              </w:rPr>
              <w:t xml:space="preserve">Power User</w:t>
            </w:r>
            <w:r>
              <w:rPr>
                <w:rFonts w:ascii="Calibri" w:cs="Calibri" w:eastAsia="Calibri" w:hAnsi="Calibri"/>
                <w:color w:val="212121"/>
                <w:sz w:val="20"/>
                <w:szCs w:val="20"/>
              </w:rPr>
              <w:t xml:space="preserve"> möchte ich </w:t>
            </w:r>
            <w:r>
              <w:rPr>
                <w:rFonts w:ascii="Calibri" w:cs="Calibri" w:eastAsia="Calibri" w:hAnsi="Calibri"/>
                <w:b/>
                <w:bCs/>
                <w:color w:val="212121"/>
                <w:sz w:val="20"/>
                <w:szCs w:val="20"/>
              </w:rPr>
              <w:t xml:space="preserve">ELSTER-XML-Export direkt aus dem Tool generieren</w:t>
            </w:r>
            <w:r>
              <w:rPr>
                <w:rFonts w:ascii="Calibri" w:cs="Calibri" w:eastAsia="Calibri" w:hAnsi="Calibri"/>
                <w:color w:val="212121"/>
                <w:sz w:val="20"/>
                <w:szCs w:val="20"/>
              </w:rPr>
              <w:t xml:space="preserve">, damit </w:t>
            </w:r>
            <w:r>
              <w:rPr>
                <w:rFonts w:ascii="Calibri" w:cs="Calibri" w:eastAsia="Calibri" w:hAnsi="Calibri"/>
                <w:i/>
                <w:iCs/>
                <w:color w:val="212121"/>
                <w:sz w:val="20"/>
                <w:szCs w:val="20"/>
              </w:rPr>
              <w:t xml:space="preserve">ich meine Steuererklärung direkt einreichen kann ohne CoinTracking als Zwischenstufe.</w:t>
            </w:r>
          </w:p>
          <w:p>
            <w:pPr>
              <w:spacing w:before="30" w:after="0"/>
            </w:pPr>
            <w:r>
              <w:rPr>
                <w:rFonts w:ascii="Calibri" w:cs="Calibri" w:eastAsia="Calibri" w:hAnsi="Calibri"/>
                <w:b/>
                <w:bCs/>
                <w:color w:val="546E7A"/>
                <w:sz w:val="19"/>
                <w:szCs w:val="19"/>
              </w:rPr>
              <w:t xml:space="preserve">Akzeptanzkriterien: </w:t>
            </w:r>
          </w:p>
          <w:p>
            <w:pPr>
              <w:pStyle w:val="ListParagraph"/>
              <w:numPr>
                <w:ilvl w:val="0"/>
                <w:numId w:val="9"/>
              </w:numPr>
              <w:spacing w:before="0" w:after="0"/>
            </w:pPr>
            <w:r>
              <w:rPr>
                <w:rFonts w:ascii="Calibri" w:cs="Calibri" w:eastAsia="Calibri" w:hAnsi="Calibri"/>
                <w:color w:val="212121"/>
                <w:sz w:val="18"/>
                <w:szCs w:val="18"/>
              </w:rPr>
              <w:t xml:space="preserve">ELSTER-kompatibles XML-Format (ElsterFormular)</w:t>
            </w:r>
          </w:p>
          <w:p>
            <w:pPr>
              <w:pStyle w:val="ListParagraph"/>
              <w:numPr>
                <w:ilvl w:val="0"/>
                <w:numId w:val="9"/>
              </w:numPr>
              <w:spacing w:before="0" w:after="0"/>
            </w:pPr>
            <w:r>
              <w:rPr>
                <w:rFonts w:ascii="Calibri" w:cs="Calibri" w:eastAsia="Calibri" w:hAnsi="Calibri"/>
                <w:color w:val="212121"/>
                <w:sz w:val="18"/>
                <w:szCs w:val="18"/>
              </w:rPr>
              <w:t xml:space="preserve">Anlage SO vorausgefüllt mit allen § 22 und § 23 Positionen</w:t>
            </w:r>
          </w:p>
          <w:p>
            <w:pPr>
              <w:pStyle w:val="ListParagraph"/>
              <w:numPr>
                <w:ilvl w:val="0"/>
                <w:numId w:val="9"/>
              </w:numPr>
              <w:spacing w:before="0" w:after="0"/>
            </w:pPr>
            <w:r>
              <w:rPr>
                <w:rFonts w:ascii="Calibri" w:cs="Calibri" w:eastAsia="Calibri" w:hAnsi="Calibri"/>
                <w:color w:val="212121"/>
                <w:sz w:val="18"/>
                <w:szCs w:val="18"/>
              </w:rPr>
              <w:t xml:space="preserve">Validierung gegen ELSTER-Schema vor Download</w:t>
            </w:r>
          </w:p>
          <w:p>
            <w:pPr>
              <w:pStyle w:val="ListParagraph"/>
              <w:numPr>
                <w:ilvl w:val="0"/>
                <w:numId w:val="9"/>
              </w:numPr>
              <w:spacing w:before="0" w:after="0"/>
            </w:pPr>
            <w:r>
              <w:rPr>
                <w:rFonts w:ascii="Calibri" w:cs="Calibri" w:eastAsia="Calibri" w:hAnsi="Calibri"/>
                <w:color w:val="212121"/>
                <w:sz w:val="18"/>
                <w:szCs w:val="18"/>
              </w:rPr>
              <w:t xml:space="preserve">Hinweis: XML ersetzt keine Steuerberatung</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48C" w:sz="8"/>
              <w:left w:val="thick" w:color="4A148C" w:sz="14"/>
              <w:bottom w:val="single" w:color="4A148C" w:sz="1"/>
              <w:right w:val="single" w:color="4A148C" w:sz="1"/>
            </w:tcBorders>
            <w:shd w:fill="F3E5F5" w:val="clear"/>
            <w:tcMar>
              <w:top w:type="dxa" w:w="100"/>
              <w:left w:type="dxa" w:w="200"/>
              <w:bottom w:type="dxa" w:w="100"/>
              <w:right w:type="dxa" w:w="140"/>
            </w:tcMar>
          </w:tcPr>
          <w:p>
            <w:pPr>
              <w:spacing w:before="0" w:after="40"/>
            </w:pPr>
            <w:r>
              <w:rPr>
                <w:rFonts w:ascii="Calibri" w:cs="Calibri" w:eastAsia="Calibri" w:hAnsi="Calibri"/>
                <w:b/>
                <w:bCs/>
                <w:color w:val="546E7A"/>
                <w:sz w:val="19"/>
                <w:szCs w:val="19"/>
              </w:rPr>
              <w:t xml:space="preserve">US-012  </w:t>
            </w:r>
            <w:r>
              <w:rPr>
                <w:rFonts w:ascii="Calibri" w:cs="Calibri" w:eastAsia="Calibri" w:hAnsi="Calibri"/>
                <w:color w:val="546E7A"/>
                <w:sz w:val="19"/>
                <w:szCs w:val="19"/>
              </w:rPr>
              <w:t xml:space="preserve">MoSCoW: </w:t>
            </w:r>
            <w:r>
              <w:rPr>
                <w:rFonts w:ascii="Calibri" w:cs="Calibri" w:eastAsia="Calibri" w:hAnsi="Calibri"/>
                <w:b/>
                <w:bCs/>
                <w:color w:val="1B5E20"/>
                <w:sz w:val="19"/>
                <w:szCs w:val="19"/>
              </w:rPr>
              <w:t xml:space="preserve">Could</w:t>
            </w:r>
            <w:r>
              <w:rPr>
                <w:rFonts w:ascii="Calibri" w:cs="Calibri" w:eastAsia="Calibri" w:hAnsi="Calibri"/>
                <w:color w:val="546E7A"/>
                <w:sz w:val="18"/>
                <w:szCs w:val="18"/>
              </w:rPr>
              <w:t xml:space="preserve">   Aufwand: 13 SP</w:t>
            </w:r>
          </w:p>
          <w:p>
            <w:pPr>
              <w:spacing w:before="0" w:after="30"/>
            </w:pPr>
            <w:r>
              <w:rPr>
                <w:rFonts w:ascii="Calibri" w:cs="Calibri" w:eastAsia="Calibri" w:hAnsi="Calibri"/>
                <w:color w:val="212121"/>
                <w:sz w:val="20"/>
                <w:szCs w:val="20"/>
              </w:rPr>
              <w:t xml:space="preserve">Als </w:t>
            </w:r>
            <w:r>
              <w:rPr>
                <w:rFonts w:ascii="Calibri" w:cs="Calibri" w:eastAsia="Calibri" w:hAnsi="Calibri"/>
                <w:b/>
                <w:bCs/>
                <w:color w:val="4A148C"/>
                <w:sz w:val="20"/>
                <w:szCs w:val="20"/>
              </w:rPr>
              <w:t xml:space="preserve">Steuerberater</w:t>
            </w:r>
            <w:r>
              <w:rPr>
                <w:rFonts w:ascii="Calibri" w:cs="Calibri" w:eastAsia="Calibri" w:hAnsi="Calibri"/>
                <w:color w:val="212121"/>
                <w:sz w:val="20"/>
                <w:szCs w:val="20"/>
              </w:rPr>
              <w:t xml:space="preserve"> möchte ich </w:t>
            </w:r>
            <w:r>
              <w:rPr>
                <w:rFonts w:ascii="Calibri" w:cs="Calibri" w:eastAsia="Calibri" w:hAnsi="Calibri"/>
                <w:b/>
                <w:bCs/>
                <w:color w:val="212121"/>
                <w:sz w:val="20"/>
                <w:szCs w:val="20"/>
              </w:rPr>
              <w:t xml:space="preserve">das Tool als White-Label für meine Kanzlei mit eigenem Branding einsetzen</w:t>
            </w:r>
            <w:r>
              <w:rPr>
                <w:rFonts w:ascii="Calibri" w:cs="Calibri" w:eastAsia="Calibri" w:hAnsi="Calibri"/>
                <w:color w:val="212121"/>
                <w:sz w:val="20"/>
                <w:szCs w:val="20"/>
              </w:rPr>
              <w:t xml:space="preserve">, damit </w:t>
            </w:r>
            <w:r>
              <w:rPr>
                <w:rFonts w:ascii="Calibri" w:cs="Calibri" w:eastAsia="Calibri" w:hAnsi="Calibri"/>
                <w:i/>
                <w:iCs/>
                <w:color w:val="212121"/>
                <w:sz w:val="20"/>
                <w:szCs w:val="20"/>
              </w:rPr>
              <w:t xml:space="preserve">meine Mandanten eine einheitliche Kanzlei-Experience erhalten.</w:t>
            </w:r>
          </w:p>
          <w:p>
            <w:pPr>
              <w:spacing w:before="30" w:after="0"/>
            </w:pPr>
            <w:r>
              <w:rPr>
                <w:rFonts w:ascii="Calibri" w:cs="Calibri" w:eastAsia="Calibri" w:hAnsi="Calibri"/>
                <w:b/>
                <w:bCs/>
                <w:color w:val="546E7A"/>
                <w:sz w:val="19"/>
                <w:szCs w:val="19"/>
              </w:rPr>
              <w:t xml:space="preserve">Akzeptanzkriterien: </w:t>
            </w:r>
          </w:p>
          <w:p>
            <w:pPr>
              <w:pStyle w:val="ListParagraph"/>
              <w:numPr>
                <w:ilvl w:val="0"/>
                <w:numId w:val="9"/>
              </w:numPr>
              <w:spacing w:before="0" w:after="0"/>
            </w:pPr>
            <w:r>
              <w:rPr>
                <w:rFonts w:ascii="Calibri" w:cs="Calibri" w:eastAsia="Calibri" w:hAnsi="Calibri"/>
                <w:color w:val="212121"/>
                <w:sz w:val="18"/>
                <w:szCs w:val="18"/>
              </w:rPr>
              <w:t xml:space="preserve">Logo, Farben, Domain konfigurierbar</w:t>
            </w:r>
          </w:p>
          <w:p>
            <w:pPr>
              <w:pStyle w:val="ListParagraph"/>
              <w:numPr>
                <w:ilvl w:val="0"/>
                <w:numId w:val="9"/>
              </w:numPr>
              <w:spacing w:before="0" w:after="0"/>
            </w:pPr>
            <w:r>
              <w:rPr>
                <w:rFonts w:ascii="Calibri" w:cs="Calibri" w:eastAsia="Calibri" w:hAnsi="Calibri"/>
                <w:color w:val="212121"/>
                <w:sz w:val="18"/>
                <w:szCs w:val="18"/>
              </w:rPr>
              <w:t xml:space="preserve">Kanzlei-Datenschutzerklärung integrierbar</w:t>
            </w:r>
          </w:p>
          <w:p>
            <w:pPr>
              <w:pStyle w:val="ListParagraph"/>
              <w:numPr>
                <w:ilvl w:val="0"/>
                <w:numId w:val="9"/>
              </w:numPr>
              <w:spacing w:before="0" w:after="0"/>
            </w:pPr>
            <w:r>
              <w:rPr>
                <w:rFonts w:ascii="Calibri" w:cs="Calibri" w:eastAsia="Calibri" w:hAnsi="Calibri"/>
                <w:color w:val="212121"/>
                <w:sz w:val="18"/>
                <w:szCs w:val="18"/>
              </w:rPr>
              <w:t xml:space="preserve">Multi-Mandanten-Dashboard mit separaten Portfolios</w:t>
            </w:r>
          </w:p>
          <w:p>
            <w:pPr>
              <w:pStyle w:val="ListParagraph"/>
              <w:numPr>
                <w:ilvl w:val="0"/>
                <w:numId w:val="9"/>
              </w:numPr>
              <w:spacing w:before="0" w:after="0"/>
            </w:pPr>
            <w:r>
              <w:rPr>
                <w:rFonts w:ascii="Calibri" w:cs="Calibri" w:eastAsia="Calibri" w:hAnsi="Calibri"/>
                <w:color w:val="212121"/>
                <w:sz w:val="18"/>
                <w:szCs w:val="18"/>
              </w:rPr>
              <w:t xml:space="preserve">White-Label ohne NextGen-Branding im UI</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P3. Detaillierte Feature-Spezifikationen</w:t>
      </w:r>
    </w:p>
    <w:p>
      <w:pPr>
        <w:pStyle w:val="Heading2"/>
        <w:spacing w:before="280" w:after="120"/>
      </w:pPr>
      <w:r>
        <w:rPr>
          <w:rFonts w:ascii="Calibri" w:cs="Calibri" w:eastAsia="Calibri" w:hAnsi="Calibri"/>
          <w:b/>
          <w:bCs/>
          <w:color w:val="0D47A1"/>
          <w:sz w:val="26"/>
          <w:szCs w:val="26"/>
        </w:rPr>
        <w:t xml:space="preserve">P3.1 Wallet-Connect &amp; Synchronisation</w:t>
      </w:r>
    </w:p>
    <w:p>
      <w:pPr>
        <w:spacing w:before="60" w:after="90"/>
      </w:pPr>
      <w:r>
        <w:rPr>
          <w:rFonts w:ascii="Calibri" w:cs="Calibri" w:eastAsia="Calibri" w:hAnsi="Calibri"/>
          <w:color w:val="212121"/>
          <w:sz w:val="21"/>
          <w:szCs w:val="21"/>
        </w:rPr>
        <w:t xml:space="preserve">Das Wallet-Connect-Modul ist der Einstiegspunkt des Tools. Es muss reibungslos, schnell und sicher funktionieren – eine fehlerhafte Synchronisation zerstört das Vertrauen des Nutzers sofort.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00"/>
        <w:gridCol w:w="2126"/>
      </w:tblGrid>
      <w:tr>
        <w:trPr>
          <w:tblHeader/>
        </w:trPr>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Feature-Komponente</w:t>
            </w:r>
          </w:p>
        </w:tc>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Beschreibung</w:t>
            </w:r>
          </w:p>
        </w:tc>
        <w:tc>
          <w:tcPr>
            <w:tcW w:type="dxa" w:w="2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Technische Anforderung</w:t>
            </w:r>
          </w:p>
        </w:tc>
        <w:tc>
          <w:tcPr>
            <w:tcW w:type="dxa" w:w="21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Akzeptanzkriterium</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Multi-Wallet-Connect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EVM-Wallet via öffentlicher Adresse hinzufügen (read-only)</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MetaMask, WalletConnect v2, manuelle Adresseingabe</w:t>
            </w:r>
          </w:p>
        </w:tc>
        <w:tc>
          <w:tcPr>
            <w:tcW w:type="dxa" w:w="2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Max. 20 Wallets pro Account; keine Private Keys gespeichert</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Historischer Import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TX seit Wallet-Erstellung rückwirkend indexieren</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eth_getLogs für alle relevanten Event-Signaturen; max. 100k Blöcke/Batch</w:t>
            </w:r>
          </w:p>
        </w:tc>
        <w:tc>
          <w:tcPr>
            <w:tcW w:type="dxa" w:w="2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Import &lt; 5 Minuten für Wallets mit &lt; 1.000 TX</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Echtzeit-Sync</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Neue TX automatisch innerhalb &lt; 30s erkennen</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WebSocket-Subscription auf neue Blöcke; Flare RPC + Subgraph Polling</w:t>
            </w:r>
          </w:p>
        </w:tc>
        <w:tc>
          <w:tcPr>
            <w:tcW w:type="dxa" w:w="2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Benachrichtigung bei neuer TX innerhalb 30 Sekunden</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Wallet-Labeling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Wallet-Adressen mit Freitext-Labels versehen</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Lokale Label-Datenbank; Standard-Labels für bekannte DEX-Contracts</w:t>
            </w:r>
          </w:p>
        </w:tc>
        <w:tc>
          <w:tcPr>
            <w:tcW w:type="dxa" w:w="2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Labels erscheinen im Export als 'Exchange'-Feld in CoinTracking CSV</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Import-Status-Dashboard</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Fortschritt, Lücken und Fehler bei der Synchronisation anzeigen</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Async-Job-Queue (BullMQ); Fortschrittsdaten in Redis</w:t>
            </w:r>
          </w:p>
        </w:tc>
        <w:tc>
          <w:tcPr>
            <w:tcW w:type="dxa" w:w="2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Fehlgeschlagene TX mit Fehlercode und Retry-Button</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Lücken-Detektion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Automatisch fehlende TX-Blöcke identifizieren</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Blockrange-Vollständigkeitsprüfung; Alert bei &gt; 0,1% Lücke</w:t>
            </w:r>
          </w:p>
        </w:tc>
        <w:tc>
          <w:tcPr>
            <w:tcW w:type="dxa" w:w="2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GoBD: Lückenwarnungen persistent im Audit-Log gespeichert</w:t>
            </w:r>
          </w:p>
        </w:tc>
      </w:tr>
    </w:tbl>
    <w:p>
      <w:pPr>
        <w:spacing w:before="120" w:after="0"/>
      </w:pPr>
      <w:r>
        <w:t xml:space="preserve"/>
      </w:r>
    </w:p>
    <w:p>
      <w:pPr>
        <w:pStyle w:val="Heading2"/>
        <w:spacing w:before="280" w:after="120"/>
      </w:pPr>
      <w:r>
        <w:rPr>
          <w:rFonts w:ascii="Calibri" w:cs="Calibri" w:eastAsia="Calibri" w:hAnsi="Calibri"/>
          <w:b/>
          <w:bCs/>
          <w:color w:val="0D47A1"/>
          <w:sz w:val="26"/>
          <w:szCs w:val="26"/>
        </w:rPr>
        <w:t xml:space="preserve">P3.2 Transaktions-Klassifikations-Engine</w:t>
      </w:r>
    </w:p>
    <w:p>
      <w:pPr>
        <w:spacing w:before="60" w:after="90"/>
      </w:pPr>
      <w:r>
        <w:rPr>
          <w:rFonts w:ascii="Calibri" w:cs="Calibri" w:eastAsia="Calibri" w:hAnsi="Calibri"/>
          <w:color w:val="212121"/>
          <w:sz w:val="21"/>
          <w:szCs w:val="21"/>
        </w:rPr>
        <w:t xml:space="preserve">Die Klassifikations-Engine ist das Herzstück des Tools. Sie ordnet jeder on-chain Transaktion automatisch den korrekten CoinTracking-Typ und die steuerliche Behandlung zu.</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14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Klassifikations-Layer</w:t>
            </w:r>
          </w:p>
        </w:tc>
        <w:tc>
          <w:tcPr>
            <w:tcW w:type="dxa" w:w="3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Mechanismus</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Protokoll-Abdeckung</w:t>
            </w:r>
          </w:p>
        </w:tc>
        <w:tc>
          <w:tcPr>
            <w:tcW w:type="dxa" w:w="14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Fallback</w:t>
            </w:r>
          </w:p>
        </w:tc>
      </w:tr>
      <w:tr>
        <w:tc>
          <w:tcPr>
            <w:tcW w:type="dxa" w:w="24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Layer 1: Contract-Matching</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Transaktionen werden anhand der Ziel-Contract-Adresse einem bekannten Protokoll zugeordnet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SparkDEX, Ēnosys, Kinetic, Stargate, Aave: vollständig</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Unbekannter Contract → Layer 2</w:t>
            </w:r>
          </w:p>
        </w:tc>
      </w:tr>
      <w:tr>
        <w:tc>
          <w:tcPr>
            <w:tcW w:type="dxa" w:w="24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Layer 2: Event-Signatur-Matching</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Event-Logs werden anhand der ABI-Event-Signatur (Topic0) klassifiziert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Swap, Mint, Burn, Supply, Borrow, Liquidate, Transfer: vollständig</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Unbekanntes Event → Layer 3</w:t>
            </w:r>
          </w:p>
        </w:tc>
      </w:tr>
      <w:tr>
        <w:tc>
          <w:tcPr>
            <w:tcW w:type="dxa" w:w="24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Layer 3: Input-Data-Decoding</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TX-Input-Data wird via ABI-Decoder analysiert (Funktionsname + Parameter)</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integrierten Protokolle mit vollem ABI</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Unbekannte Funktion → Layer 4</w:t>
            </w:r>
          </w:p>
        </w:tc>
      </w:tr>
      <w:tr>
        <w:tc>
          <w:tcPr>
            <w:tcW w:type="dxa" w:w="24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Layer 4: Heuristische Klassifikation</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Token-Transfer-Muster: Eingehend/Ausgehend/Swap anhand Transfer-Events inferieren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Generische ERC-20 Transfers; unbekannte DEXe</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Manuelle Klassifikation nötig → Layer 5</w:t>
            </w:r>
          </w:p>
        </w:tc>
      </w:tr>
      <w:tr>
        <w:tc>
          <w:tcPr>
            <w:tcW w:type="dxa" w:w="24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Layer 5: Manuell</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Nutzer wählt Typ aus Dropdown (alle CoinTracking-Typen verfügbar)</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nicht automatisch erkennbaren TX</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Pflicht-Abschluss vor Export</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thick" w:color="1B5E20" w:sz="18"/>
              <w:bottom w:val="single" w:color="1B5E20" w:sz="1"/>
              <w:right w:val="single" w:color="1B5E20" w:sz="1"/>
            </w:tcBorders>
            <w:shd w:fill="E8F5E9" w:val="clear"/>
            <w:tcMar>
              <w:top w:type="dxa" w:w="110"/>
              <w:left w:type="dxa" w:w="200"/>
              <w:bottom w:type="dxa" w:w="110"/>
              <w:right w:type="dxa" w:w="140"/>
            </w:tcMar>
          </w:tcPr>
          <w:p>
            <w:pPr>
              <w:spacing w:before="0" w:after="40"/>
            </w:pPr>
            <w:r>
              <w:rPr>
                <w:rFonts w:ascii="Calibri" w:cs="Calibri" w:eastAsia="Calibri" w:hAnsi="Calibri"/>
                <w:b/>
                <w:bCs/>
                <w:color w:val="1B5E20"/>
                <w:sz w:val="21"/>
                <w:szCs w:val="21"/>
              </w:rPr>
              <w:t xml:space="preserve">Klassifikationsrate-Ziel</w:t>
            </w:r>
          </w:p>
          <w:p>
            <w:pPr>
              <w:spacing w:before="0" w:after="0"/>
            </w:pPr>
            <w:r>
              <w:rPr>
                <w:rFonts w:ascii="Calibri" w:cs="Calibri" w:eastAsia="Calibri" w:hAnsi="Calibri"/>
                <w:color w:val="212121"/>
                <w:sz w:val="20"/>
                <w:szCs w:val="20"/>
              </w:rPr>
              <w:t xml:space="preserve">Das Tool soll ≥ 95% aller Flare-DeFi-Transaktionen automatisch korrekt klassifizieren (Layer 1–3). Die verbleibenden ≤ 5% werden via Layer 4 (Heuristik) oder Layer 5 (Manuell) behandelt. Die Klassifikationsrate wird im Admin-Dashboard überwacht und dient als KPI für die Qualität der Protocol-Integrationen.</w:t>
            </w:r>
          </w:p>
        </w:tc>
      </w:tr>
    </w:tbl>
    <w:p>
      <w:pPr>
        <w:spacing w:before="120" w:after="0"/>
      </w:pPr>
      <w:r>
        <w:t xml:space="preserve"/>
      </w:r>
    </w:p>
    <w:p>
      <w:pPr>
        <w:pStyle w:val="Heading2"/>
        <w:spacing w:before="280" w:after="120"/>
      </w:pPr>
      <w:r>
        <w:rPr>
          <w:rFonts w:ascii="Calibri" w:cs="Calibri" w:eastAsia="Calibri" w:hAnsi="Calibri"/>
          <w:b/>
          <w:bCs/>
          <w:color w:val="0D47A1"/>
          <w:sz w:val="26"/>
          <w:szCs w:val="26"/>
        </w:rPr>
        <w:t xml:space="preserve">P3.3 EUR-Kursbewertungs-Modul</w:t>
      </w:r>
    </w:p>
    <w:p>
      <w:pPr>
        <w:spacing w:before="60" w:after="90"/>
      </w:pPr>
      <w:r>
        <w:rPr>
          <w:rFonts w:ascii="Calibri" w:cs="Calibri" w:eastAsia="Calibri" w:hAnsi="Calibri"/>
          <w:color w:val="212121"/>
          <w:sz w:val="21"/>
          <w:szCs w:val="21"/>
        </w:rPr>
        <w:t xml:space="preserve">Das Bewertungsmodul ist direkt relevant für die steuerliche Korrektheit. Das BMF-Schreiben 2025 (Rz. 43) verlangt dokumentierte Tageskurse aus anerkannten Quellen.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700"/>
        <w:gridCol w:w="1126"/>
      </w:tblGrid>
      <w:tr>
        <w:trPr>
          <w:tblHeader/>
        </w:trPr>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Quellen-Hierarchie</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Quelle</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Anwendungsfall</w:t>
            </w:r>
          </w:p>
        </w:tc>
        <w:tc>
          <w:tcPr>
            <w:tcW w:type="dxa" w:w="1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BMF-Anerkennung</w:t>
            </w:r>
          </w:p>
        </w:tc>
        <w:tc>
          <w:tcPr>
            <w:tcW w:type="dxa" w:w="11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Fallback-Trigger</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 Priorität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Flare FTSO (On-Chain)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FLR-nativen Token</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 (dezentrale On-Chain-Quelle)</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 – immer verfügbar wenn On-Chain</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 Priorität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CoinGecko API (historisch)</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gelisteten Token; historische Preise</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 (anerkannte Marktdaten-Plattform)</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FTSO nicht verfügbar / Token nicht gelistet</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 Priorität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CoinMarketCap API</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gelisteten Token</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 (explizit in BMF 2025 Rz. 43 genannt)</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CoinGecko Rate-Limit oder Ausfall</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4. Priorität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Manuelle EUR-Eingabe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Unbekannte / illiquide Token</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Bedingt (Nutzer muss Quelle dokumentieren)</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Token auf keiner API gelistet</w:t>
            </w:r>
          </w:p>
        </w:tc>
      </w:tr>
    </w:tbl>
    <w:p>
      <w:pPr>
        <w:spacing w:before="80" w:after="0"/>
      </w:pPr>
      <w:r>
        <w:t xml:space="preserve"/>
      </w:r>
    </w:p>
    <w:p>
      <w:pPr>
        <w:pStyle w:val="ListParagraph"/>
        <w:numPr>
          <w:ilvl w:val="0"/>
          <w:numId w:val="10"/>
        </w:numPr>
        <w:spacing w:before="40" w:after="40"/>
      </w:pPr>
      <w:r>
        <w:rPr>
          <w:rFonts w:ascii="Calibri" w:cs="Calibri" w:eastAsia="Calibri" w:hAnsi="Calibri"/>
          <w:b w:val="false"/>
          <w:bCs w:val="false"/>
          <w:color w:val="212121"/>
          <w:sz w:val="21"/>
          <w:szCs w:val="21"/>
        </w:rPr>
        <w:t xml:space="preserve">Audit-Log: Jeder EUR-Kurs wird unveränderlich mit Quelle, Zeitstempel und Wert gespeichert (GoBD)</w:t>
      </w:r>
    </w:p>
    <w:p>
      <w:pPr>
        <w:pStyle w:val="ListParagraph"/>
        <w:numPr>
          <w:ilvl w:val="0"/>
          <w:numId w:val="10"/>
        </w:numPr>
        <w:spacing w:before="40" w:after="40"/>
      </w:pPr>
      <w:r>
        <w:rPr>
          <w:rFonts w:ascii="Calibri" w:cs="Calibri" w:eastAsia="Calibri" w:hAnsi="Calibri"/>
          <w:b w:val="false"/>
          <w:bCs w:val="false"/>
          <w:color w:val="212121"/>
          <w:sz w:val="21"/>
          <w:szCs w:val="21"/>
        </w:rPr>
        <w:t xml:space="preserve">Tageskurs vs. Sekundenkurs: Bei bekanntem Transaktions-Timestamp immer Sekundenkurs verwenden (BMF: 'Kurs im Zeitpunkt des Erwerbs/der Veräußerung')</w:t>
      </w:r>
    </w:p>
    <w:p>
      <w:pPr>
        <w:pStyle w:val="ListParagraph"/>
        <w:numPr>
          <w:ilvl w:val="0"/>
          <w:numId w:val="10"/>
        </w:numPr>
        <w:spacing w:before="40" w:after="40"/>
      </w:pPr>
      <w:r>
        <w:rPr>
          <w:rFonts w:ascii="Calibri" w:cs="Calibri" w:eastAsia="Calibri" w:hAnsi="Calibri"/>
          <w:b w:val="false"/>
          <w:bCs w:val="false"/>
          <w:color w:val="212121"/>
          <w:sz w:val="21"/>
          <w:szCs w:val="21"/>
        </w:rPr>
        <w:t xml:space="preserve">Toleranzfenster: Wenn kein Sekundenkurs verfügbar, Tagesdurchschnitt ±1% akzeptiert – Tool wählt automatisch, Nutzer kann übersteuern</w:t>
      </w:r>
    </w:p>
    <w:p>
      <w:pPr>
        <w:pStyle w:val="ListParagraph"/>
        <w:numPr>
          <w:ilvl w:val="0"/>
          <w:numId w:val="10"/>
        </w:numPr>
        <w:spacing w:before="40" w:after="40"/>
      </w:pPr>
      <w:r>
        <w:rPr>
          <w:rFonts w:ascii="Calibri" w:cs="Calibri" w:eastAsia="Calibri" w:hAnsi="Calibri"/>
          <w:b w:val="false"/>
          <w:bCs w:val="false"/>
          <w:color w:val="212121"/>
          <w:sz w:val="21"/>
          <w:szCs w:val="21"/>
        </w:rPr>
        <w:t xml:space="preserve">Währungsformatierung: Alle EUR-Werte mit Komma als Dezimaltrenner im deutschen Format; CSV-Export mit Punkt (CoinTracking erfordert Punkt)</w:t>
      </w:r>
    </w:p>
    <w:p>
      <w:pPr>
        <w:spacing w:before="120" w:after="0"/>
      </w:pPr>
      <w:r>
        <w:t xml:space="preserve"/>
      </w:r>
    </w:p>
    <w:p>
      <w:pPr>
        <w:pStyle w:val="Heading2"/>
        <w:spacing w:before="280" w:after="120"/>
      </w:pPr>
      <w:r>
        <w:rPr>
          <w:rFonts w:ascii="Calibri" w:cs="Calibri" w:eastAsia="Calibri" w:hAnsi="Calibri"/>
          <w:b/>
          <w:bCs/>
          <w:color w:val="0D47A1"/>
          <w:sz w:val="26"/>
          <w:szCs w:val="26"/>
        </w:rPr>
        <w:t xml:space="preserve">P3.4 Steuerberechnungs-Engine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300"/>
        <w:gridCol w:w="1926"/>
      </w:tblGrid>
      <w:tr>
        <w:trPr>
          <w:tblHeader/>
        </w:trPr>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Steuer-Feature</w:t>
            </w:r>
          </w:p>
        </w:tc>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Beschreibung</w:t>
            </w:r>
          </w:p>
        </w:tc>
        <w:tc>
          <w:tcPr>
            <w:tcW w:type="dxa" w:w="2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Methode</w:t>
            </w:r>
          </w:p>
        </w:tc>
        <w:tc>
          <w:tcPr>
            <w:tcW w:type="dxa" w:w="19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Nutzer-Kontrolle</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FIFO-Berechnung</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Älteste Anschaffungen werden zuerst ververäußert</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Chronologische Lot-Zuordnung per Token-Typ</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Default; kann zu LIFO/HIFO gewechselt werden</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LIFO-Berechnung</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Neueste Käufe zuerst veräußert – steueroptimiert</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Umgekehrt-chronologische Lot-Zuordnung</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Opt-in mit Warnung; nur bei Jahreswechsel wechselbar</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HIFO-Berechnung</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Teuerste Lots zuerst verkauft</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Preis-absteigende Lot-Zuordnung</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Opt-in mit Disclaimer: FA-Risiko hoch</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Haltefrist-Tracking</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Jedes Asset-Lot mit individuellem Anschaffungsdatum</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Lot-basierte Zeitstempel-Verwaltung</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Automatisch; manuelle Korrektur möglich</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Freigrenze-Überwachung</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23 (€ 1.000) und § 22 Nr. 3 (€ 256) Tracker</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Laufende Summenbildung je Steuerjahr</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Echtzeit-Dashboard-Anzeige; Warnung bei Annäherung</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LP-Dual-Szenario</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 nach Modell A (Tausch) vs. B (Nutzungsüberlassung)</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Zwei parallele Berechnungspfade</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Nutzer wählt Default; beide Werte im Report sichtbar</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Verlust-Verrechnung</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23-Verluste mit § 23-Gewinnen verrechnen</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Jahresbezogene Netto-Berechnung</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Automatisch; manueller Override möglich</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Verlusttopf-Vortrag</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Nicht verrechnete Verluste in Folgejahr vortragen</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Jahres-übergreifende Verlusttopf-Datenbank</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Dashboard-Anzeige; automatisch im Report</w:t>
            </w:r>
          </w:p>
        </w:tc>
      </w:tr>
    </w:tbl>
    <w:p>
      <w:pPr>
        <w:spacing w:before="120" w:after="0"/>
      </w:pPr>
      <w:r>
        <w:t xml:space="preserve"/>
      </w:r>
    </w:p>
    <w:p>
      <w:pPr>
        <w:pStyle w:val="Heading2"/>
        <w:spacing w:before="280" w:after="120"/>
      </w:pPr>
      <w:r>
        <w:rPr>
          <w:rFonts w:ascii="Calibri" w:cs="Calibri" w:eastAsia="Calibri" w:hAnsi="Calibri"/>
          <w:b/>
          <w:bCs/>
          <w:color w:val="0D47A1"/>
          <w:sz w:val="26"/>
          <w:szCs w:val="26"/>
        </w:rPr>
        <w:t xml:space="preserve">P3.5 Export-Module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200"/>
        <w:gridCol w:w="1300"/>
        <w:gridCol w:w="1026"/>
      </w:tblGrid>
      <w:tr>
        <w:trPr>
          <w:tblHeader/>
        </w:trPr>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Export-Typ</w:t>
            </w:r>
          </w:p>
        </w:tc>
        <w:tc>
          <w:tcPr>
            <w:tcW w:type="dxa" w:w="1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Format</w:t>
            </w:r>
          </w:p>
        </w:tc>
        <w:tc>
          <w:tcPr>
            <w:tcW w:type="dxa" w:w="3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Inhalt</w:t>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Phase</w:t>
            </w:r>
          </w:p>
        </w:tc>
        <w:tc>
          <w:tcPr>
            <w:tcW w:type="dxa" w:w="10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Nutzer-Segment</w:t>
            </w:r>
          </w:p>
        </w:tc>
      </w:tr>
      <w:tr>
        <w:tc>
          <w:tcPr>
            <w:tcW w:type="dxa" w:w="20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CoinTracking CSV</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CSV (UTF-8, Semikolon)</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15-Spalten-Standard; alle DeFi-TX; EUR-Werte; TX-Hash</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P1 MVP</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Alle</w:t>
            </w:r>
          </w:p>
        </w:tc>
      </w:tr>
      <w:tr>
        <w:tc>
          <w:tcPr>
            <w:tcW w:type="dxa" w:w="20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Steuerreport DE</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PDF (DIN A4)</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Zusammenfassung: § 22/§23 Einkünfte, Freigrenze-Status, Haltefrist-Übersicht, Empfehlungen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P1 MVP</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Privatanleger</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CoinTracking XLSX</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Excel (.xlsx)</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Erweitertes CoinTracking-Format mit zusätzlichen Berechnungsspalten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P2 Beta</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Power User</w:t>
            </w:r>
          </w:p>
        </w:tc>
      </w:tr>
      <w:tr>
        <w:tc>
          <w:tcPr>
            <w:tcW w:type="dxa" w:w="20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Audit-Log Export</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PDF + CSV</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GoBD-konformes unveränderliches Log aller TX mit Quelldaten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P1 MVP</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Geschäftskunden, FA-Vorlage</w:t>
            </w:r>
          </w:p>
        </w:tc>
      </w:tr>
      <w:tr>
        <w:tc>
          <w:tcPr>
            <w:tcW w:type="dxa" w:w="20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ELSTER XML</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XML (ElsterFormular)</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Anlage SO vorausgefüllt; § 22/§23 Positionen; direkt einreichbar</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P4 Skalierung</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Steuerberater, Power User</w:t>
            </w:r>
          </w:p>
        </w:tc>
      </w:tr>
      <w:tr>
        <w:tc>
          <w:tcPr>
            <w:tcW w:type="dxa" w:w="20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Portfolio-Report</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PDF</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P&amp;L-Übersicht, Asset-Allokation, Rendite-Kennzahlen, Risiko-Analyse</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P4 Skalierung</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Institutionelle Anleger</w:t>
            </w:r>
          </w:p>
        </w:tc>
      </w:tr>
      <w:tr>
        <w:tc>
          <w:tcPr>
            <w:tcW w:type="dxa" w:w="2000"/>
            <w:tcBorders>
              <w:top w:val="single" w:color="CFD8DC" w:sz="1"/>
              <w:left w:val="single" w:color="CFD8DC" w:sz="1"/>
              <w:bottom w:val="single" w:color="CFD8DC" w:sz="1"/>
              <w:right w:val="single" w:color="CFD8DC" w:sz="1"/>
            </w:tcBorders>
            <w:shd w:fill="E8EAF6" w:val="clear"/>
            <w:tcMar>
              <w:top w:type="dxa" w:w="80"/>
              <w:left w:type="dxa" w:w="130"/>
              <w:bottom w:type="dxa" w:w="80"/>
              <w:right w:type="dxa" w:w="80"/>
            </w:tcMar>
          </w:tcPr>
          <w:p>
            <w:pPr>
              <w:jc w:val="left"/>
            </w:pPr>
            <w:r>
              <w:rPr>
                <w:rFonts w:ascii="Calibri" w:cs="Calibri" w:eastAsia="Calibri" w:hAnsi="Calibri"/>
                <w:b/>
                <w:bCs/>
                <w:color w:val="283593"/>
                <w:sz w:val="20"/>
                <w:szCs w:val="20"/>
              </w:rPr>
              <w:t xml:space="preserve">API-JSON</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REST JSON (OpenAPI)</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TX-Daten maschinenlesbar; Paginierung; Filterung nach Datum/Protokoll</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P4 Skalierung</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Entwickler, B2B-Integration</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P4. UX-Flows &amp; User Journeys</w:t>
      </w:r>
    </w:p>
    <w:p>
      <w:pPr>
        <w:pStyle w:val="Heading2"/>
        <w:spacing w:before="280" w:after="120"/>
      </w:pPr>
      <w:r>
        <w:rPr>
          <w:rFonts w:ascii="Calibri" w:cs="Calibri" w:eastAsia="Calibri" w:hAnsi="Calibri"/>
          <w:b/>
          <w:bCs/>
          <w:color w:val="0D47A1"/>
          <w:sz w:val="26"/>
          <w:szCs w:val="26"/>
        </w:rPr>
        <w:t xml:space="preserve">P4.1 Onboarding-Flow – Ziel: &lt; 5 Minuten bis zum ersten Export</w:t>
      </w:r>
    </w:p>
    <w:p>
      <w:pPr>
        <w:spacing w:before="60" w:after="90"/>
      </w:pPr>
      <w:r>
        <w:rPr>
          <w:rFonts w:ascii="Calibri" w:cs="Calibri" w:eastAsia="Calibri" w:hAnsi="Calibri"/>
          <w:color w:val="212121"/>
          <w:sz w:val="21"/>
          <w:szCs w:val="21"/>
        </w:rPr>
        <w:t xml:space="preserve">Das Onboarding ist der kritischste Touchpoint. Nutzer müssen innerhalb von 5 Minuten einen verwertbaren CoinTracking-Export erzeugen – ohne DeFi-Steuer-Vorkenntnisse.</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color="FFFFFF" w:sz="0"/>
              <w:left w:val="none" w:color="FFFFFF" w:sz="0"/>
              <w:bottom w:val="none" w:color="FFFFFF" w:sz="0"/>
              <w:right w:val="none" w:color="FFFFFF" w:sz="0"/>
            </w:tcBorders>
            <w:shd w:fill="0D47A1" w:val="clear"/>
            <w:tcMar>
              <w:top w:type="dxa" w:w="80"/>
              <w:left w:type="dxa" w:w="100"/>
              <w:bottom w:type="dxa" w:w="80"/>
              <w:right w:type="dxa" w:w="80"/>
            </w:tcMar>
            <w:vAlign w:val="center"/>
          </w:tcPr>
          <w:p>
            <w:pPr>
              <w:jc w:val="center"/>
            </w:pPr>
            <w:r>
              <w:rPr>
                <w:rFonts w:ascii="Calibri" w:cs="Calibri" w:eastAsia="Calibri" w:hAnsi="Calibri"/>
                <w:b/>
                <w:bCs/>
                <w:color w:val="FFFFFF"/>
                <w:sz w:val="32"/>
                <w:szCs w:val="32"/>
              </w:rPr>
              <w:t xml:space="preserve">01</w:t>
            </w:r>
          </w:p>
          <w:p>
            <w:pPr>
              <w:jc w:val="center"/>
            </w:pPr>
            <w:r>
              <w:rPr>
                <w:rFonts w:ascii="Calibri" w:cs="Calibri" w:eastAsia="Calibri" w:hAnsi="Calibri"/>
                <w:sz w:val="26"/>
                <w:szCs w:val="26"/>
              </w:rPr>
              <w:t xml:space="preserve">📧</w:t>
            </w:r>
          </w:p>
        </w:tc>
        <w:tc>
          <w:tcPr>
            <w:tcW w:type="dxa" w:w="8466"/>
            <w:tcBorders>
              <w:top w:val="none" w:color="FFFFFF" w:sz="0"/>
              <w:left w:val="single" w:color="CFD8DC" w:sz="1"/>
              <w:bottom w:val="single" w:color="CFD8DC" w:sz="1"/>
              <w:right w:val="none" w:color="FFFFFF" w:sz="0"/>
            </w:tcBorders>
            <w:shd w:fill="FFFFFF" w:val="clear"/>
            <w:tcMar>
              <w:top w:type="dxa" w:w="80"/>
              <w:left w:type="dxa" w:w="180"/>
              <w:bottom w:type="dxa" w:w="80"/>
              <w:right w:type="dxa" w:w="100"/>
            </w:tcMar>
          </w:tcPr>
          <w:p>
            <w:pPr>
              <w:spacing w:before="0" w:after="30"/>
            </w:pPr>
            <w:r>
              <w:rPr>
                <w:rFonts w:ascii="Calibri" w:cs="Calibri" w:eastAsia="Calibri" w:hAnsi="Calibri"/>
                <w:b/>
                <w:bCs/>
                <w:color w:val="0D47A1"/>
                <w:sz w:val="21"/>
                <w:szCs w:val="21"/>
              </w:rPr>
              <w:t xml:space="preserve">Registrierung</w:t>
            </w:r>
          </w:p>
          <w:p>
            <w:pPr>
              <w:spacing w:before="0" w:after="0"/>
            </w:pPr>
            <w:r>
              <w:rPr>
                <w:rFonts w:ascii="Calibri" w:cs="Calibri" w:eastAsia="Calibri" w:hAnsi="Calibri"/>
                <w:color w:val="212121"/>
                <w:sz w:val="19"/>
                <w:szCs w:val="19"/>
              </w:rPr>
              <w:t xml:space="preserve">E-Mail + Passwort (Argon2) oder Google OAuth2 – kein KYC, keine persönlichen Daten außer E-Mail</w:t>
            </w:r>
          </w:p>
        </w:tc>
      </w:tr>
    </w:tbl>
    <w:p>
      <w:pPr>
        <w:spacing w:before="3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color="FFFFFF" w:sz="0"/>
              <w:left w:val="none" w:color="FFFFFF" w:sz="0"/>
              <w:bottom w:val="none" w:color="FFFFFF" w:sz="0"/>
              <w:right w:val="none" w:color="FFFFFF" w:sz="0"/>
            </w:tcBorders>
            <w:shd w:fill="004D40" w:val="clear"/>
            <w:tcMar>
              <w:top w:type="dxa" w:w="80"/>
              <w:left w:type="dxa" w:w="100"/>
              <w:bottom w:type="dxa" w:w="80"/>
              <w:right w:type="dxa" w:w="80"/>
            </w:tcMar>
            <w:vAlign w:val="center"/>
          </w:tcPr>
          <w:p>
            <w:pPr>
              <w:jc w:val="center"/>
            </w:pPr>
            <w:r>
              <w:rPr>
                <w:rFonts w:ascii="Calibri" w:cs="Calibri" w:eastAsia="Calibri" w:hAnsi="Calibri"/>
                <w:b/>
                <w:bCs/>
                <w:color w:val="FFFFFF"/>
                <w:sz w:val="32"/>
                <w:szCs w:val="32"/>
              </w:rPr>
              <w:t xml:space="preserve">02</w:t>
            </w:r>
          </w:p>
          <w:p>
            <w:pPr>
              <w:jc w:val="center"/>
            </w:pPr>
            <w:r>
              <w:rPr>
                <w:rFonts w:ascii="Calibri" w:cs="Calibri" w:eastAsia="Calibri" w:hAnsi="Calibri"/>
                <w:sz w:val="26"/>
                <w:szCs w:val="26"/>
              </w:rPr>
              <w:t xml:space="preserve">🔗</w:t>
            </w:r>
          </w:p>
        </w:tc>
        <w:tc>
          <w:tcPr>
            <w:tcW w:type="dxa" w:w="8466"/>
            <w:tcBorders>
              <w:top w:val="none" w:color="FFFFFF" w:sz="0"/>
              <w:left w:val="single" w:color="CFD8DC" w:sz="1"/>
              <w:bottom w:val="single" w:color="CFD8DC" w:sz="1"/>
              <w:right w:val="none" w:color="FFFFFF" w:sz="0"/>
            </w:tcBorders>
            <w:shd w:fill="FFFFFF" w:val="clear"/>
            <w:tcMar>
              <w:top w:type="dxa" w:w="80"/>
              <w:left w:type="dxa" w:w="180"/>
              <w:bottom w:type="dxa" w:w="80"/>
              <w:right w:type="dxa" w:w="100"/>
            </w:tcMar>
          </w:tcPr>
          <w:p>
            <w:pPr>
              <w:spacing w:before="0" w:after="30"/>
            </w:pPr>
            <w:r>
              <w:rPr>
                <w:rFonts w:ascii="Calibri" w:cs="Calibri" w:eastAsia="Calibri" w:hAnsi="Calibri"/>
                <w:b/>
                <w:bCs/>
                <w:color w:val="004D40"/>
                <w:sz w:val="21"/>
                <w:szCs w:val="21"/>
              </w:rPr>
              <w:t xml:space="preserve">Wallet verbinden</w:t>
            </w:r>
          </w:p>
          <w:p>
            <w:pPr>
              <w:spacing w:before="0" w:after="0"/>
            </w:pPr>
            <w:r>
              <w:rPr>
                <w:rFonts w:ascii="Calibri" w:cs="Calibri" w:eastAsia="Calibri" w:hAnsi="Calibri"/>
                <w:color w:val="212121"/>
                <w:sz w:val="19"/>
                <w:szCs w:val="19"/>
              </w:rPr>
              <w:t xml:space="preserve">EVM-Wallet-Adresse eingeben oder MetaMask/WalletConnect verbinden – nur public key, nie private key</w:t>
            </w:r>
          </w:p>
        </w:tc>
      </w:tr>
    </w:tbl>
    <w:p>
      <w:pPr>
        <w:spacing w:before="3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color="FFFFFF" w:sz="0"/>
              <w:left w:val="none" w:color="FFFFFF" w:sz="0"/>
              <w:bottom w:val="none" w:color="FFFFFF" w:sz="0"/>
              <w:right w:val="none" w:color="FFFFFF" w:sz="0"/>
            </w:tcBorders>
            <w:shd w:fill="1B5E20" w:val="clear"/>
            <w:tcMar>
              <w:top w:type="dxa" w:w="80"/>
              <w:left w:type="dxa" w:w="100"/>
              <w:bottom w:type="dxa" w:w="80"/>
              <w:right w:type="dxa" w:w="80"/>
            </w:tcMar>
            <w:vAlign w:val="center"/>
          </w:tcPr>
          <w:p>
            <w:pPr>
              <w:jc w:val="center"/>
            </w:pPr>
            <w:r>
              <w:rPr>
                <w:rFonts w:ascii="Calibri" w:cs="Calibri" w:eastAsia="Calibri" w:hAnsi="Calibri"/>
                <w:b/>
                <w:bCs/>
                <w:color w:val="FFFFFF"/>
                <w:sz w:val="32"/>
                <w:szCs w:val="32"/>
              </w:rPr>
              <w:t xml:space="preserve">03</w:t>
            </w:r>
          </w:p>
          <w:p>
            <w:pPr>
              <w:jc w:val="center"/>
            </w:pPr>
            <w:r>
              <w:rPr>
                <w:rFonts w:ascii="Calibri" w:cs="Calibri" w:eastAsia="Calibri" w:hAnsi="Calibri"/>
                <w:sz w:val="26"/>
                <w:szCs w:val="26"/>
              </w:rPr>
              <w:t xml:space="preserve">⚙️</w:t>
            </w:r>
          </w:p>
        </w:tc>
        <w:tc>
          <w:tcPr>
            <w:tcW w:type="dxa" w:w="8466"/>
            <w:tcBorders>
              <w:top w:val="none" w:color="FFFFFF" w:sz="0"/>
              <w:left w:val="single" w:color="CFD8DC" w:sz="1"/>
              <w:bottom w:val="single" w:color="CFD8DC" w:sz="1"/>
              <w:right w:val="none" w:color="FFFFFF" w:sz="0"/>
            </w:tcBorders>
            <w:shd w:fill="FFFFFF" w:val="clear"/>
            <w:tcMar>
              <w:top w:type="dxa" w:w="80"/>
              <w:left w:type="dxa" w:w="180"/>
              <w:bottom w:type="dxa" w:w="80"/>
              <w:right w:type="dxa" w:w="100"/>
            </w:tcMar>
          </w:tcPr>
          <w:p>
            <w:pPr>
              <w:spacing w:before="0" w:after="30"/>
            </w:pPr>
            <w:r>
              <w:rPr>
                <w:rFonts w:ascii="Calibri" w:cs="Calibri" w:eastAsia="Calibri" w:hAnsi="Calibri"/>
                <w:b/>
                <w:bCs/>
                <w:color w:val="1B5E20"/>
                <w:sz w:val="21"/>
                <w:szCs w:val="21"/>
              </w:rPr>
              <w:t xml:space="preserve">Import starten</w:t>
            </w:r>
          </w:p>
          <w:p>
            <w:pPr>
              <w:spacing w:before="0" w:after="0"/>
            </w:pPr>
            <w:r>
              <w:rPr>
                <w:rFonts w:ascii="Calibri" w:cs="Calibri" w:eastAsia="Calibri" w:hAnsi="Calibri"/>
                <w:color w:val="212121"/>
                <w:sz w:val="19"/>
                <w:szCs w:val="19"/>
              </w:rPr>
              <w:t xml:space="preserve">Historischer TX-Import startet im Hintergrund – Fortschrittsanzeige; Nutzer kann während Import weiterarbeiten</w:t>
            </w:r>
          </w:p>
        </w:tc>
      </w:tr>
    </w:tbl>
    <w:p>
      <w:pPr>
        <w:spacing w:before="3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color="FFFFFF" w:sz="0"/>
              <w:left w:val="none" w:color="FFFFFF" w:sz="0"/>
              <w:bottom w:val="none" w:color="FFFFFF" w:sz="0"/>
              <w:right w:val="none" w:color="FFFFFF" w:sz="0"/>
            </w:tcBorders>
            <w:shd w:fill="E65100" w:val="clear"/>
            <w:tcMar>
              <w:top w:type="dxa" w:w="80"/>
              <w:left w:type="dxa" w:w="100"/>
              <w:bottom w:type="dxa" w:w="80"/>
              <w:right w:type="dxa" w:w="80"/>
            </w:tcMar>
            <w:vAlign w:val="center"/>
          </w:tcPr>
          <w:p>
            <w:pPr>
              <w:jc w:val="center"/>
            </w:pPr>
            <w:r>
              <w:rPr>
                <w:rFonts w:ascii="Calibri" w:cs="Calibri" w:eastAsia="Calibri" w:hAnsi="Calibri"/>
                <w:b/>
                <w:bCs/>
                <w:color w:val="FFFFFF"/>
                <w:sz w:val="32"/>
                <w:szCs w:val="32"/>
              </w:rPr>
              <w:t xml:space="preserve">04</w:t>
            </w:r>
          </w:p>
          <w:p>
            <w:pPr>
              <w:jc w:val="center"/>
            </w:pPr>
            <w:r>
              <w:rPr>
                <w:rFonts w:ascii="Calibri" w:cs="Calibri" w:eastAsia="Calibri" w:hAnsi="Calibri"/>
                <w:sz w:val="26"/>
                <w:szCs w:val="26"/>
              </w:rPr>
              <w:t xml:space="preserve">🔍</w:t>
            </w:r>
          </w:p>
        </w:tc>
        <w:tc>
          <w:tcPr>
            <w:tcW w:type="dxa" w:w="8466"/>
            <w:tcBorders>
              <w:top w:val="none" w:color="FFFFFF" w:sz="0"/>
              <w:left w:val="single" w:color="CFD8DC" w:sz="1"/>
              <w:bottom w:val="single" w:color="CFD8DC" w:sz="1"/>
              <w:right w:val="none" w:color="FFFFFF" w:sz="0"/>
            </w:tcBorders>
            <w:shd w:fill="FFFFFF" w:val="clear"/>
            <w:tcMar>
              <w:top w:type="dxa" w:w="80"/>
              <w:left w:type="dxa" w:w="180"/>
              <w:bottom w:type="dxa" w:w="80"/>
              <w:right w:type="dxa" w:w="100"/>
            </w:tcMar>
          </w:tcPr>
          <w:p>
            <w:pPr>
              <w:spacing w:before="0" w:after="30"/>
            </w:pPr>
            <w:r>
              <w:rPr>
                <w:rFonts w:ascii="Calibri" w:cs="Calibri" w:eastAsia="Calibri" w:hAnsi="Calibri"/>
                <w:b/>
                <w:bCs/>
                <w:color w:val="E65100"/>
                <w:sz w:val="21"/>
                <w:szCs w:val="21"/>
              </w:rPr>
              <w:t xml:space="preserve">TX-Review</w:t>
            </w:r>
          </w:p>
          <w:p>
            <w:pPr>
              <w:spacing w:before="0" w:after="0"/>
            </w:pPr>
            <w:r>
              <w:rPr>
                <w:rFonts w:ascii="Calibri" w:cs="Calibri" w:eastAsia="Calibri" w:hAnsi="Calibri"/>
                <w:color w:val="212121"/>
                <w:sz w:val="19"/>
                <w:szCs w:val="19"/>
              </w:rPr>
              <w:t xml:space="preserve">Automatisch klassifizierte TX werden angezeigt; unbekannte TX mit Ampel-System markiert (grün/gelb/rot)</w:t>
            </w:r>
          </w:p>
        </w:tc>
      </w:tr>
    </w:tbl>
    <w:p>
      <w:pPr>
        <w:spacing w:before="3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color="FFFFFF" w:sz="0"/>
              <w:left w:val="none" w:color="FFFFFF" w:sz="0"/>
              <w:bottom w:val="none" w:color="FFFFFF" w:sz="0"/>
              <w:right w:val="none" w:color="FFFFFF" w:sz="0"/>
            </w:tcBorders>
            <w:shd w:fill="4A148C" w:val="clear"/>
            <w:tcMar>
              <w:top w:type="dxa" w:w="80"/>
              <w:left w:type="dxa" w:w="100"/>
              <w:bottom w:type="dxa" w:w="80"/>
              <w:right w:type="dxa" w:w="80"/>
            </w:tcMar>
            <w:vAlign w:val="center"/>
          </w:tcPr>
          <w:p>
            <w:pPr>
              <w:jc w:val="center"/>
            </w:pPr>
            <w:r>
              <w:rPr>
                <w:rFonts w:ascii="Calibri" w:cs="Calibri" w:eastAsia="Calibri" w:hAnsi="Calibri"/>
                <w:b/>
                <w:bCs/>
                <w:color w:val="FFFFFF"/>
                <w:sz w:val="32"/>
                <w:szCs w:val="32"/>
              </w:rPr>
              <w:t xml:space="preserve">05</w:t>
            </w:r>
          </w:p>
          <w:p>
            <w:pPr>
              <w:jc w:val="center"/>
            </w:pPr>
            <w:r>
              <w:rPr>
                <w:rFonts w:ascii="Calibri" w:cs="Calibri" w:eastAsia="Calibri" w:hAnsi="Calibri"/>
                <w:sz w:val="26"/>
                <w:szCs w:val="26"/>
              </w:rPr>
              <w:t xml:space="preserve">⚖️</w:t>
            </w:r>
          </w:p>
        </w:tc>
        <w:tc>
          <w:tcPr>
            <w:tcW w:type="dxa" w:w="8466"/>
            <w:tcBorders>
              <w:top w:val="none" w:color="FFFFFF" w:sz="0"/>
              <w:left w:val="single" w:color="CFD8DC" w:sz="1"/>
              <w:bottom w:val="single" w:color="CFD8DC" w:sz="1"/>
              <w:right w:val="none" w:color="FFFFFF" w:sz="0"/>
            </w:tcBorders>
            <w:shd w:fill="FFFFFF" w:val="clear"/>
            <w:tcMar>
              <w:top w:type="dxa" w:w="80"/>
              <w:left w:type="dxa" w:w="180"/>
              <w:bottom w:type="dxa" w:w="80"/>
              <w:right w:type="dxa" w:w="100"/>
            </w:tcMar>
          </w:tcPr>
          <w:p>
            <w:pPr>
              <w:spacing w:before="0" w:after="30"/>
            </w:pPr>
            <w:r>
              <w:rPr>
                <w:rFonts w:ascii="Calibri" w:cs="Calibri" w:eastAsia="Calibri" w:hAnsi="Calibri"/>
                <w:b/>
                <w:bCs/>
                <w:color w:val="4A148C"/>
                <w:sz w:val="21"/>
                <w:szCs w:val="21"/>
              </w:rPr>
              <w:t xml:space="preserve">Graubereich-Wahl</w:t>
            </w:r>
          </w:p>
          <w:p>
            <w:pPr>
              <w:spacing w:before="0" w:after="0"/>
            </w:pPr>
            <w:r>
              <w:rPr>
                <w:rFonts w:ascii="Calibri" w:cs="Calibri" w:eastAsia="Calibri" w:hAnsi="Calibri"/>
                <w:color w:val="212121"/>
                <w:sz w:val="19"/>
                <w:szCs w:val="19"/>
              </w:rPr>
              <w:t xml:space="preserve">Bei LP/CDP-TX: Nutzer wählt Steuermodell (konservativ/liberal); Erklärung in einfacher Sprache mit Steuerberater-Hinweis</w:t>
            </w:r>
          </w:p>
        </w:tc>
      </w:tr>
    </w:tbl>
    <w:p>
      <w:pPr>
        <w:spacing w:before="3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color="FFFFFF" w:sz="0"/>
              <w:left w:val="none" w:color="FFFFFF" w:sz="0"/>
              <w:bottom w:val="none" w:color="FFFFFF" w:sz="0"/>
              <w:right w:val="none" w:color="FFFFFF" w:sz="0"/>
            </w:tcBorders>
            <w:shd w:fill="004D40" w:val="clear"/>
            <w:tcMar>
              <w:top w:type="dxa" w:w="80"/>
              <w:left w:type="dxa" w:w="100"/>
              <w:bottom w:type="dxa" w:w="80"/>
              <w:right w:type="dxa" w:w="80"/>
            </w:tcMar>
            <w:vAlign w:val="center"/>
          </w:tcPr>
          <w:p>
            <w:pPr>
              <w:jc w:val="center"/>
            </w:pPr>
            <w:r>
              <w:rPr>
                <w:rFonts w:ascii="Calibri" w:cs="Calibri" w:eastAsia="Calibri" w:hAnsi="Calibri"/>
                <w:b/>
                <w:bCs/>
                <w:color w:val="FFFFFF"/>
                <w:sz w:val="32"/>
                <w:szCs w:val="32"/>
              </w:rPr>
              <w:t xml:space="preserve">06</w:t>
            </w:r>
          </w:p>
          <w:p>
            <w:pPr>
              <w:jc w:val="center"/>
            </w:pPr>
            <w:r>
              <w:rPr>
                <w:rFonts w:ascii="Calibri" w:cs="Calibri" w:eastAsia="Calibri" w:hAnsi="Calibri"/>
                <w:sz w:val="26"/>
                <w:szCs w:val="26"/>
              </w:rPr>
              <w:t xml:space="preserve">📤</w:t>
            </w:r>
          </w:p>
        </w:tc>
        <w:tc>
          <w:tcPr>
            <w:tcW w:type="dxa" w:w="8466"/>
            <w:tcBorders>
              <w:top w:val="none" w:color="FFFFFF" w:sz="0"/>
              <w:left w:val="single" w:color="CFD8DC" w:sz="1"/>
              <w:bottom w:val="single" w:color="CFD8DC" w:sz="1"/>
              <w:right w:val="none" w:color="FFFFFF" w:sz="0"/>
            </w:tcBorders>
            <w:shd w:fill="FFFFFF" w:val="clear"/>
            <w:tcMar>
              <w:top w:type="dxa" w:w="80"/>
              <w:left w:type="dxa" w:w="180"/>
              <w:bottom w:type="dxa" w:w="80"/>
              <w:right w:type="dxa" w:w="100"/>
            </w:tcMar>
          </w:tcPr>
          <w:p>
            <w:pPr>
              <w:spacing w:before="0" w:after="30"/>
            </w:pPr>
            <w:r>
              <w:rPr>
                <w:rFonts w:ascii="Calibri" w:cs="Calibri" w:eastAsia="Calibri" w:hAnsi="Calibri"/>
                <w:b/>
                <w:bCs/>
                <w:color w:val="004D40"/>
                <w:sz w:val="21"/>
                <w:szCs w:val="21"/>
              </w:rPr>
              <w:t xml:space="preserve">Export</w:t>
            </w:r>
          </w:p>
          <w:p>
            <w:pPr>
              <w:spacing w:before="0" w:after="0"/>
            </w:pPr>
            <w:r>
              <w:rPr>
                <w:rFonts w:ascii="Calibri" w:cs="Calibri" w:eastAsia="Calibri" w:hAnsi="Calibri"/>
                <w:color w:val="212121"/>
                <w:sz w:val="19"/>
                <w:szCs w:val="19"/>
              </w:rPr>
              <w:t xml:space="preserve">Steuerjahr wählen → Bewertungsmethode wählen → Export-Format wählen → Download / CoinTracking-Import</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
              <w:left w:val="thick" w:color="0D47A1" w:sz="18"/>
              <w:bottom w:val="single" w:color="0D47A1" w:sz="1"/>
              <w:right w:val="single" w:color="0D47A1" w:sz="1"/>
            </w:tcBorders>
            <w:shd w:fill="E3F2FD" w:val="clear"/>
            <w:tcMar>
              <w:top w:type="dxa" w:w="110"/>
              <w:left w:type="dxa" w:w="200"/>
              <w:bottom w:type="dxa" w:w="110"/>
              <w:right w:type="dxa" w:w="140"/>
            </w:tcMar>
          </w:tcPr>
          <w:p>
            <w:pPr>
              <w:spacing w:before="0" w:after="40"/>
            </w:pPr>
            <w:r>
              <w:rPr>
                <w:rFonts w:ascii="Calibri" w:cs="Calibri" w:eastAsia="Calibri" w:hAnsi="Calibri"/>
                <w:b/>
                <w:bCs/>
                <w:color w:val="0D47A1"/>
                <w:sz w:val="21"/>
                <w:szCs w:val="21"/>
              </w:rPr>
              <w:t xml:space="preserve">UX-Prinzip: Progressive Disclosure</w:t>
            </w:r>
          </w:p>
          <w:p>
            <w:pPr>
              <w:spacing w:before="0" w:after="0"/>
            </w:pPr>
            <w:r>
              <w:rPr>
                <w:rFonts w:ascii="Calibri" w:cs="Calibri" w:eastAsia="Calibri" w:hAnsi="Calibri"/>
                <w:color w:val="212121"/>
                <w:sz w:val="20"/>
                <w:szCs w:val="20"/>
              </w:rPr>
              <w:t xml:space="preserve">Komplexe steuerrechtliche Details werden dem Nutzer schrittweise angezeigt – nicht alles auf einmal. Kai (Experte) bekommt alle Details sofort. Lena (Einsteiger) sieht vereinfachte Sprache mit Tooltip-Erklärungen. Das System erkennt Tech-Level anhand des Onboardings und passt die UX-Komplexität dynamisch an.</w:t>
            </w:r>
          </w:p>
        </w:tc>
      </w:tr>
    </w:tbl>
    <w:p>
      <w:pPr>
        <w:spacing w:before="120" w:after="0"/>
      </w:pPr>
      <w:r>
        <w:t xml:space="preserve"/>
      </w:r>
    </w:p>
    <w:p>
      <w:pPr>
        <w:pStyle w:val="Heading2"/>
        <w:spacing w:before="280" w:after="120"/>
      </w:pPr>
      <w:r>
        <w:rPr>
          <w:rFonts w:ascii="Calibri" w:cs="Calibri" w:eastAsia="Calibri" w:hAnsi="Calibri"/>
          <w:b/>
          <w:bCs/>
          <w:color w:val="0D47A1"/>
          <w:sz w:val="26"/>
          <w:szCs w:val="26"/>
        </w:rPr>
        <w:t xml:space="preserve">P4.2 Transaction-Review-Flow – Ampel-System</w:t>
      </w:r>
    </w:p>
    <w:p>
      <w:pPr>
        <w:spacing w:before="60" w:after="90"/>
      </w:pPr>
      <w:r>
        <w:rPr>
          <w:rFonts w:ascii="Calibri" w:cs="Calibri" w:eastAsia="Calibri" w:hAnsi="Calibri"/>
          <w:color w:val="212121"/>
          <w:sz w:val="21"/>
          <w:szCs w:val="21"/>
        </w:rPr>
        <w:t xml:space="preserve">Das Ampel-System priorisiert den manuellen Review-Aufwand für den Nutzer. Nur rote und gelbe Transaktionen erfordern aktives Eingreifen.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200"/>
        <w:gridCol w:w="1800"/>
        <w:gridCol w:w="1126"/>
      </w:tblGrid>
      <w:tr>
        <w:trPr>
          <w:tblHeader/>
        </w:trPr>
        <w:tc>
          <w:tcPr>
            <w:tcW w:type="dxa" w:w="1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Status</w:t>
            </w:r>
          </w:p>
        </w:tc>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Bedeutung</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Typische TX</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Nutzer-Aktion</w:t>
            </w:r>
          </w:p>
        </w:tc>
        <w:tc>
          <w:tcPr>
            <w:tcW w:type="dxa" w:w="11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Exportierbar?</w:t>
            </w:r>
          </w:p>
        </w:tc>
      </w:tr>
      <w:tr>
        <w:tc>
          <w:tcPr>
            <w:tcW w:type="dxa" w:w="15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 Grün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Automatisch klassifiziert, steuerlich klar</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Swaps, Staking Rewards, Lending-Zinsen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Keine – direkt im Export</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w:t>
            </w:r>
          </w:p>
        </w:tc>
      </w:tr>
      <w:tr>
        <w:tc>
          <w:tcPr>
            <w:tcW w:type="dxa" w:w="15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 Gelb</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Graubereich erkannt – Modell-Wahl empfohlen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LP Provide/Remove, CDP-Minting, Bridge-Transfers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Modell-Wahl: konservativ / liberal</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 nach Wahl</w:t>
            </w:r>
          </w:p>
        </w:tc>
      </w:tr>
      <w:tr>
        <w:tc>
          <w:tcPr>
            <w:tcW w:type="dxa" w:w="15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 Rot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Unbekannte TX – manuelle Klassifikation nötig</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Unbekannte Contract-Calls, neue Protokolle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Typ aus Dropdown wählen + bestätigen</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Erst nach Klassifikation</w:t>
            </w:r>
          </w:p>
        </w:tc>
      </w:tr>
      <w:tr>
        <w:tc>
          <w:tcPr>
            <w:tcW w:type="dxa" w:w="15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 Grau</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Technisch erfasst, steuerlich irrelevant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Interne Wallet-Transfers, Approve-Calls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Keine – automatisch aus Export ausgeschlossen</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N/A – ausgeschlossen</w:t>
            </w:r>
          </w:p>
        </w:tc>
      </w:tr>
    </w:tbl>
    <w:p>
      <w:pPr>
        <w:spacing w:before="120" w:after="0"/>
      </w:pPr>
      <w:r>
        <w:t xml:space="preserve"/>
      </w:r>
    </w:p>
    <w:p>
      <w:pPr>
        <w:pStyle w:val="Heading2"/>
        <w:spacing w:before="280" w:after="120"/>
      </w:pPr>
      <w:r>
        <w:rPr>
          <w:rFonts w:ascii="Calibri" w:cs="Calibri" w:eastAsia="Calibri" w:hAnsi="Calibri"/>
          <w:b/>
          <w:bCs/>
          <w:color w:val="0D47A1"/>
          <w:sz w:val="26"/>
          <w:szCs w:val="26"/>
        </w:rPr>
        <w:t xml:space="preserve">P4.3 Dashboard-Konzept – Hauptscreen</w:t>
      </w:r>
    </w:p>
    <w:p>
      <w:pPr>
        <w:spacing w:before="60" w:after="90"/>
      </w:pPr>
      <w:r>
        <w:rPr>
          <w:rFonts w:ascii="Calibri" w:cs="Calibri" w:eastAsia="Calibri" w:hAnsi="Calibri"/>
          <w:color w:val="212121"/>
          <w:sz w:val="21"/>
          <w:szCs w:val="21"/>
        </w:rPr>
        <w:t xml:space="preserve">Das Dashboard ist die zentrale Übersichtsseite. Es kombiniert Portfolio-Metriken, Steuer-KPIs und offene Aktionen in einem kompakten Screen.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200"/>
        <w:gridCol w:w="1426"/>
      </w:tblGrid>
      <w:tr>
        <w:trPr>
          <w:tblHeader/>
        </w:trPr>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Dashboard-Widget</w:t>
            </w:r>
          </w:p>
        </w:tc>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Inhalt</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Datenquelle</w:t>
            </w:r>
          </w:p>
        </w:tc>
        <w:tc>
          <w:tcPr>
            <w:tcW w:type="dxa" w:w="14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Update-Frequenz</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Portfolio-Wert (Gesamt)</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EUR-Gesamtwert aller Wallets und Assets</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FTSO + CoinGecko; alle Wallet-Bestände</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Echtzeit (&lt; 60s)</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Steuer-KPI – § 23 EStG</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Realisierte Gewinne vs. Freigrenze € 1.000; Farb-Indikator</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Steuerberechnungs-Engine</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Bei jeder neuen TX</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Steuer-KPI – § 22 Nr. 3</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Staking/Lending-Einkünfte vs. Freigrenze € 256</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Steuerberechnungs-Engine</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Bei jeder neuen TX</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Haltefrist-Countdown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Nächste Asset-Lots die in &lt; 30 Tagen die 1-Jahres-Grenze erreichen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Lot-Haltefrist-Datenbank</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Täglich aktualisiert</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TX-Status-Übersicht</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Anzahl grün / gelb / rot TX im aktuellen Steuerjahr</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Klassifikations-Engine</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Bei Sync</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Letzte Aktivität</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Letzte 5 TX mit Status und Protokoll</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TX-Datenbank</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Echtzeit</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Offene Aktionen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Anzahl TX die manuelle Klassifikation benötigen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Klassifikations-Engine</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Echtzeit</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Export-Bereitschaft</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Ist das Portfolio bereit für CoinTracking-Export? (% vollständig)</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Export-Validierungs-Engine</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Bei jeder TX-Änderung</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P5. Nicht-Funktionale Anforderungen (NFRs)</w:t>
      </w:r>
    </w:p>
    <w:p>
      <w:pPr>
        <w:spacing w:before="60" w:after="90"/>
      </w:pPr>
      <w:r>
        <w:rPr>
          <w:rFonts w:ascii="Calibri" w:cs="Calibri" w:eastAsia="Calibri" w:hAnsi="Calibri"/>
          <w:color w:val="212121"/>
          <w:sz w:val="21"/>
          <w:szCs w:val="21"/>
        </w:rPr>
        <w:t xml:space="preserve">Nicht-funktionale Anforderungen definieren die Qualitätsmerkmale des Systems jenseits der Funktionalität. Sie sind ebenso kritisch für die Nutzerzufriedenheit und die regulatorische Compliance.</w:t>
      </w:r>
    </w:p>
    <w:p>
      <w:pPr>
        <w:spacing w:before="80" w:after="0"/>
      </w:pPr>
      <w:r>
        <w:t xml:space="preserve"/>
      </w:r>
    </w:p>
    <w:p>
      <w:pPr>
        <w:spacing w:before="200" w:after="80"/>
      </w:pPr>
      <w:r>
        <w:rPr>
          <w:rFonts w:ascii="Calibri" w:cs="Calibri" w:eastAsia="Calibri" w:hAnsi="Calibri"/>
          <w:b/>
          <w:bCs/>
          <w:color w:val="006064"/>
          <w:sz w:val="23"/>
          <w:szCs w:val="23"/>
        </w:rPr>
        <w:t xml:space="preserve">P5.1 Performance-Anforderungen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700"/>
        <w:gridCol w:w="2326"/>
      </w:tblGrid>
      <w:tr>
        <w:trPr>
          <w:tblHeader/>
        </w:trPr>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NFR</w:t>
            </w:r>
          </w:p>
        </w:tc>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Messgröße</w:t>
            </w:r>
          </w:p>
        </w:tc>
        <w:tc>
          <w:tcPr>
            <w:tcW w:type="dxa" w:w="1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Zielwert</w:t>
            </w:r>
          </w:p>
        </w:tc>
        <w:tc>
          <w:tcPr>
            <w:tcW w:type="dxa" w:w="23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Kritisch für</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Onboarding-Zeit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Zeit von Wallet-Connect bis erster CoinTracking-Export</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5 Minuten (&lt; 1.000 TX)</w:t>
            </w:r>
          </w:p>
        </w:tc>
        <w:tc>
          <w:tcPr>
            <w:tcW w:type="dxa" w:w="2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Nutzerzufriedenheit</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TX-Sync-Latenz</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Zeit zwischen On-Chain-TX und Anzeige im Tool</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30 Sekunden (95. Perzentil)</w:t>
            </w:r>
          </w:p>
        </w:tc>
        <w:tc>
          <w:tcPr>
            <w:tcW w:type="dxa" w:w="2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Echtzeit-Steuer-Tracking</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Historischer Import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Dauer für vollständigen historischen Import</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10 Min / 10.000 TX</w:t>
            </w:r>
          </w:p>
        </w:tc>
        <w:tc>
          <w:tcPr>
            <w:tcW w:type="dxa" w:w="2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Onboarding neuer Nutzer</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CSV-Export-Generierung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Zeit für Export von 1 Steuerjahr</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5 Sekunden</w:t>
            </w:r>
          </w:p>
        </w:tc>
        <w:tc>
          <w:tcPr>
            <w:tcW w:type="dxa" w:w="2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Nutzerfreundlichkeit</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Dashboard-Ladezeit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Time-to-Interactive des Dashboards</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2 Sekunden (P95)</w:t>
            </w:r>
          </w:p>
        </w:tc>
        <w:tc>
          <w:tcPr>
            <w:tcW w:type="dxa" w:w="2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Tägliche Nutzung</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API-Response-Time</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REST-API-Antwortzeit für Standard-Abfragen</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200ms (P95), &lt; 1s (P99)</w:t>
            </w:r>
          </w:p>
        </w:tc>
        <w:tc>
          <w:tcPr>
            <w:tcW w:type="dxa" w:w="2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B2B-API-Nutzer</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Systemverfügbarkeit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Uptime SLA</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99,5% (B2C), 99,9% (B2B SLA)</w:t>
            </w:r>
          </w:p>
        </w:tc>
        <w:tc>
          <w:tcPr>
            <w:tcW w:type="dxa" w:w="2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SLA-Erfüllung</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P5.2 Sicherheits-Anforderungen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Sicherheits-NFR</w:t>
            </w:r>
          </w:p>
        </w:tc>
        <w:tc>
          <w:tcPr>
            <w:tcW w:type="dxa" w:w="3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Anforderung</w:t>
            </w:r>
          </w:p>
        </w:tc>
        <w:tc>
          <w:tcPr>
            <w:tcW w:type="dxa" w:w="26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Standard / Norm</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Datenverschlüsselung (Transit)</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TLS 1.3 für alle HTTP-Verbindungen</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BSI TR-02102-2, OWASP TLS</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Datenverschlüsselung (Rest)</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AES-256-GCM für alle gespeicherten Wallet-Daten</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BSI TR-02102-1, FIPS 197</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Passwort-Hashing</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Argon2id mit Salting (OWASP-Empfehlung)</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OWASP Password Storage Cheat Sheet</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Keine Private Keys</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Private Keys dürfen NIE das Client-Gerät verlassen</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Fundamentale Sicherheitsanforderung</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SQL-Injection-Schutz</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Parameterisierte Queries, Prisma ORM-Absicherung</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OWASP A03:2021</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CSRF-Schutz</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SameSite-Cookies + CSRF-Token</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OWASP A01:2021</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Rate Limiting</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 1.000 Requests/Minute/IP; Auth: 5 Versuche/15 Min</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OWASP A04:2021</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Dependency-Scanning</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Automatisches Vulnerability-Scanning (Dependabot)</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CVE-Datenbank, npm audit</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Penetrationstest</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Jährlicher externer Penetrationstest</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OWASP WSTG, BSI IT-Grundschutz</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Audit-Log-Integrität</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SHA-256-Hash-Kette für GoBD-Unveränderlichkeit</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GoBD BMF 2019</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P5.3 Accessibility &amp; Barrierefreiheit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Accessibility-NFR</w:t>
            </w:r>
          </w:p>
        </w:tc>
        <w:tc>
          <w:tcPr>
            <w:tcW w:type="dxa" w:w="4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Anforderung</w:t>
            </w:r>
          </w:p>
        </w:tc>
        <w:tc>
          <w:tcPr>
            <w:tcW w:type="dxa" w:w="26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Standard</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WCAG 2.1 AA</w:t>
            </w:r>
          </w:p>
        </w:tc>
        <w:tc>
          <w:tcPr>
            <w:tcW w:type="dxa" w:w="4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UI-Komponenten erfüllen WCAG 2.1 Level AA</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Web Content Accessibility Guidelines 2.1</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Screen Reader</w:t>
            </w:r>
          </w:p>
        </w:tc>
        <w:tc>
          <w:tcPr>
            <w:tcW w:type="dxa" w:w="4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Vollständige Kompatibilität mit NVDA und VoiceOver</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ARIA-Labels auf allen interaktiven Elementen</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Farbkontrast</w:t>
            </w:r>
          </w:p>
        </w:tc>
        <w:tc>
          <w:tcPr>
            <w:tcW w:type="dxa" w:w="4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Mindest-Kontrastverhältnis 4,5:1 für normalen Text</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WCAG 1.4.3</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Tastatur-Navigation</w:t>
            </w:r>
          </w:p>
        </w:tc>
        <w:tc>
          <w:tcPr>
            <w:tcW w:type="dxa" w:w="4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Features ohne Maus nutzbar (Tab + Enter-Steuerung)</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WCAG 2.1.1</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Responsives Design</w:t>
            </w:r>
          </w:p>
        </w:tc>
        <w:tc>
          <w:tcPr>
            <w:tcW w:type="dxa" w:w="4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Vollständige Mobilfähigkeit (320px–4K)</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CSS Grid/Flexbox; Tailwind Responsive Classes</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Sprache</w:t>
            </w:r>
          </w:p>
        </w:tc>
        <w:tc>
          <w:tcPr>
            <w:tcW w:type="dxa" w:w="4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Vollständig deutschsprachige UI und Fehlermeldungen</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Deutsche Fachterminologie; verständlich für Laien</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P5.4 Skalierbarkeit &amp; Wartbarkeit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Technische NFR</w:t>
            </w:r>
          </w:p>
        </w:tc>
        <w:tc>
          <w:tcPr>
            <w:tcW w:type="dxa" w:w="3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Anforderung</w:t>
            </w:r>
          </w:p>
        </w:tc>
        <w:tc>
          <w:tcPr>
            <w:tcW w:type="dxa" w:w="34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Umsetzung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Horizontale Skalierung</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Services stateless; horizontal skalierbar</w:t>
            </w:r>
          </w:p>
        </w:tc>
        <w:tc>
          <w:tcPr>
            <w:tcW w:type="dxa" w:w="3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Docker + Coolify; Load-Balancer-ready</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Protokoll-Updates</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Neues Protokoll-ABI in &lt; 1 Sprint integrierbar</w:t>
            </w:r>
          </w:p>
        </w:tc>
        <w:tc>
          <w:tcPr>
            <w:tcW w:type="dxa" w:w="3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Modulares ABI-Registry-System; Hot-Reload</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Steuerrechts-Updates</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Neues BMF-Schreiben in &lt; 2 Wochen im Regelwerk</w:t>
            </w:r>
          </w:p>
        </w:tc>
        <w:tc>
          <w:tcPr>
            <w:tcW w:type="dxa" w:w="3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Konfigurierbares Steuerregeln-Framework; kein Code-Deploy nötig für Regeländerungen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Test-Coverage</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80% Unit-Test-Coverage für Steuerberechnungs-Engine</w:t>
            </w:r>
          </w:p>
        </w:tc>
        <w:tc>
          <w:tcPr>
            <w:tcW w:type="dxa" w:w="3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Vitest; kritische Pfade 100% abgedeckt</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Monitoring &amp; Alerts</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Echtzeit-Alerting bei Sync-Ausfällen, Preisfeed-Lücken</w:t>
            </w:r>
          </w:p>
        </w:tc>
        <w:tc>
          <w:tcPr>
            <w:tcW w:type="dxa" w:w="3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Prometheus + Grafana; PagerDuty-Integration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Zero-Downtime-Deployments</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Neue Versionen ohne Serviceunterbrechung</w:t>
            </w:r>
          </w:p>
        </w:tc>
        <w:tc>
          <w:tcPr>
            <w:tcW w:type="dxa" w:w="3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Blue-Green-Deployment via Coolify</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Daten-Archivierung</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TX-Daten ≥ 10 Jahre aufbewahren (GoBD § 147 AO)</w:t>
            </w:r>
          </w:p>
        </w:tc>
        <w:tc>
          <w:tcPr>
            <w:tcW w:type="dxa" w:w="3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Append-only PostgreSQL + S3-Archiv</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P6. Kompetitiver Feature-Vergleich</w:t>
      </w:r>
    </w:p>
    <w:p>
      <w:pPr>
        <w:spacing w:before="60" w:after="90"/>
      </w:pPr>
      <w:r>
        <w:rPr>
          <w:rFonts w:ascii="Calibri" w:cs="Calibri" w:eastAsia="Calibri" w:hAnsi="Calibri"/>
          <w:color w:val="212121"/>
          <w:sz w:val="21"/>
          <w:szCs w:val="21"/>
        </w:rPr>
        <w:t xml:space="preserve">Der folgende Vergleich bewertet das geplante Tool gegen die vier relevantesten Mitbewerber im deutschen Markt: CoinTracking (nativ), Blockpit, Koinly und Accointing. Bewertungsskala: ✅ Vollständig · ⚠ Teilweise · ❌ Nicht vorhanden.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300"/>
        <w:gridCol w:w="1300"/>
        <w:gridCol w:w="1300"/>
        <w:gridCol w:w="1426"/>
      </w:tblGrid>
      <w:tr>
        <w:trPr>
          <w:tblHeader/>
        </w:trPr>
        <w:tc>
          <w:tcPr>
            <w:tcW w:type="dxa" w:w="3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Feature</w:t>
            </w:r>
          </w:p>
        </w:tc>
        <w:tc>
          <w:tcPr>
            <w:tcW w:type="dxa" w:w="1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Unser Tool</w:t>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CoinTracking</w:t>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Blockpit</w:t>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Koinly</w:t>
            </w:r>
          </w:p>
        </w:tc>
        <w:tc>
          <w:tcPr>
            <w:tcW w:type="dxa" w:w="14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Accointing</w:t>
            </w:r>
          </w:p>
        </w:tc>
      </w:tr>
      <w:tr>
        <w:tc>
          <w:tcPr>
            <w:tcW w:type="dxa" w:w="3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pPr>
              <w:jc w:val="left"/>
            </w:pPr>
            <w:r>
              <w:rPr>
                <w:rFonts w:ascii="Calibri" w:cs="Calibri" w:eastAsia="Calibri" w:hAnsi="Calibri"/>
                <w:b/>
                <w:bCs/>
                <w:color w:val="FFFFFF"/>
                <w:sz w:val="20"/>
                <w:szCs w:val="20"/>
              </w:rPr>
              <w:t xml:space="preserve">KERN-FEATURES</w:t>
            </w:r>
          </w:p>
        </w:tc>
        <w:tc>
          <w:tcPr>
            <w:tcW w:type="dxa" w:w="1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c>
          <w:tcPr>
            <w:tcW w:type="dxa" w:w="14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Flare Network native Integration</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Begrenzt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SparkDEX V4 Indexer</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Ēnosys CDP-Protokoll</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FTSO On-Chain-Kursbewertung</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Primär</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Aave Multi-Chain (12 Chains)</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Phase 4</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Teilw.</w:t>
            </w:r>
          </w:p>
        </w:tc>
      </w:tr>
      <w:tr>
        <w:tc>
          <w:tcPr>
            <w:tcW w:type="dxa" w:w="3200"/>
            <w:tcBorders>
              <w:top w:val="single" w:color="CFD8DC" w:sz="1"/>
              <w:left w:val="single" w:color="CFD8DC" w:sz="1"/>
              <w:bottom w:val="single" w:color="CFD8DC" w:sz="1"/>
              <w:right w:val="single" w:color="CFD8DC" w:sz="1"/>
            </w:tcBorders>
            <w:shd w:fill="263238" w:val="clear"/>
            <w:tcMar>
              <w:top w:type="dxa" w:w="80"/>
              <w:left w:type="dxa" w:w="130"/>
              <w:bottom w:type="dxa" w:w="80"/>
              <w:right w:type="dxa" w:w="80"/>
            </w:tcMar>
          </w:tcPr>
          <w:p>
            <w:pPr>
              <w:jc w:val="left"/>
            </w:pPr>
            <w:r>
              <w:rPr>
                <w:rFonts w:ascii="Calibri" w:cs="Calibri" w:eastAsia="Calibri" w:hAnsi="Calibri"/>
                <w:b/>
                <w:bCs/>
                <w:color w:val="FFFFFF"/>
                <w:sz w:val="20"/>
                <w:szCs w:val="20"/>
              </w:rPr>
              <w:t xml:space="preserve">DEUTSCHES STEUERRECHT</w:t>
            </w:r>
          </w:p>
        </w:tc>
        <w:tc>
          <w:tcPr>
            <w:tcW w:type="dxa" w:w="1200"/>
            <w:tcBorders>
              <w:top w:val="single" w:color="CFD8DC" w:sz="1"/>
              <w:left w:val="single" w:color="CFD8DC" w:sz="1"/>
              <w:bottom w:val="single" w:color="CFD8DC" w:sz="1"/>
              <w:right w:val="single" w:color="CFD8DC" w:sz="1"/>
            </w:tcBorders>
            <w:shd w:fill="263238"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c>
          <w:tcPr>
            <w:tcW w:type="dxa" w:w="1300"/>
            <w:tcBorders>
              <w:top w:val="single" w:color="CFD8DC" w:sz="1"/>
              <w:left w:val="single" w:color="CFD8DC" w:sz="1"/>
              <w:bottom w:val="single" w:color="CFD8DC" w:sz="1"/>
              <w:right w:val="single" w:color="CFD8DC" w:sz="1"/>
            </w:tcBorders>
            <w:shd w:fill="263238"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c>
          <w:tcPr>
            <w:tcW w:type="dxa" w:w="1300"/>
            <w:tcBorders>
              <w:top w:val="single" w:color="CFD8DC" w:sz="1"/>
              <w:left w:val="single" w:color="CFD8DC" w:sz="1"/>
              <w:bottom w:val="single" w:color="CFD8DC" w:sz="1"/>
              <w:right w:val="single" w:color="CFD8DC" w:sz="1"/>
            </w:tcBorders>
            <w:shd w:fill="263238"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c>
          <w:tcPr>
            <w:tcW w:type="dxa" w:w="1300"/>
            <w:tcBorders>
              <w:top w:val="single" w:color="CFD8DC" w:sz="1"/>
              <w:left w:val="single" w:color="CFD8DC" w:sz="1"/>
              <w:bottom w:val="single" w:color="CFD8DC" w:sz="1"/>
              <w:right w:val="single" w:color="CFD8DC" w:sz="1"/>
            </w:tcBorders>
            <w:shd w:fill="263238"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c>
          <w:tcPr>
            <w:tcW w:type="dxa" w:w="1426"/>
            <w:tcBorders>
              <w:top w:val="single" w:color="CFD8DC" w:sz="1"/>
              <w:left w:val="single" w:color="CFD8DC" w:sz="1"/>
              <w:bottom w:val="single" w:color="CFD8DC" w:sz="1"/>
              <w:right w:val="single" w:color="CFD8DC" w:sz="1"/>
            </w:tcBorders>
            <w:shd w:fill="263238"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BMF 2025-konforme TX-Klassifikation</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Teilw.</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Teilw.</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Teilw.</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LP Dual-Szenario (Modell A+B)</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Teilw.</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Freigrenze-Tracker (§ 22 + § 23)</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Teilw.</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Teilw.</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ELSTER XML Export</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Phase 4</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GoBD Audit-Log</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Teilw.</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r>
      <w:tr>
        <w:tc>
          <w:tcPr>
            <w:tcW w:type="dxa" w:w="3200"/>
            <w:tcBorders>
              <w:top w:val="single" w:color="CFD8DC" w:sz="1"/>
              <w:left w:val="single" w:color="CFD8DC" w:sz="1"/>
              <w:bottom w:val="single" w:color="CFD8DC" w:sz="1"/>
              <w:right w:val="single" w:color="CFD8DC" w:sz="1"/>
            </w:tcBorders>
            <w:shd w:fill="37474F" w:val="clear"/>
            <w:tcMar>
              <w:top w:type="dxa" w:w="80"/>
              <w:left w:type="dxa" w:w="130"/>
              <w:bottom w:type="dxa" w:w="80"/>
              <w:right w:type="dxa" w:w="80"/>
            </w:tcMar>
          </w:tcPr>
          <w:p>
            <w:pPr>
              <w:jc w:val="left"/>
            </w:pPr>
            <w:r>
              <w:rPr>
                <w:rFonts w:ascii="Calibri" w:cs="Calibri" w:eastAsia="Calibri" w:hAnsi="Calibri"/>
                <w:b/>
                <w:bCs/>
                <w:color w:val="FFFFFF"/>
                <w:sz w:val="20"/>
                <w:szCs w:val="20"/>
              </w:rPr>
              <w:t xml:space="preserve">EXPORT &amp; INTEGRATION</w:t>
            </w:r>
          </w:p>
        </w:tc>
        <w:tc>
          <w:tcPr>
            <w:tcW w:type="dxa" w:w="1200"/>
            <w:tcBorders>
              <w:top w:val="single" w:color="CFD8DC" w:sz="1"/>
              <w:left w:val="single" w:color="CFD8DC" w:sz="1"/>
              <w:bottom w:val="single" w:color="CFD8DC" w:sz="1"/>
              <w:right w:val="single" w:color="CFD8DC" w:sz="1"/>
            </w:tcBorders>
            <w:shd w:fill="37474F"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c>
          <w:tcPr>
            <w:tcW w:type="dxa" w:w="1300"/>
            <w:tcBorders>
              <w:top w:val="single" w:color="CFD8DC" w:sz="1"/>
              <w:left w:val="single" w:color="CFD8DC" w:sz="1"/>
              <w:bottom w:val="single" w:color="CFD8DC" w:sz="1"/>
              <w:right w:val="single" w:color="CFD8DC" w:sz="1"/>
            </w:tcBorders>
            <w:shd w:fill="37474F"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c>
          <w:tcPr>
            <w:tcW w:type="dxa" w:w="1300"/>
            <w:tcBorders>
              <w:top w:val="single" w:color="CFD8DC" w:sz="1"/>
              <w:left w:val="single" w:color="CFD8DC" w:sz="1"/>
              <w:bottom w:val="single" w:color="CFD8DC" w:sz="1"/>
              <w:right w:val="single" w:color="CFD8DC" w:sz="1"/>
            </w:tcBorders>
            <w:shd w:fill="37474F"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c>
          <w:tcPr>
            <w:tcW w:type="dxa" w:w="1300"/>
            <w:tcBorders>
              <w:top w:val="single" w:color="CFD8DC" w:sz="1"/>
              <w:left w:val="single" w:color="CFD8DC" w:sz="1"/>
              <w:bottom w:val="single" w:color="CFD8DC" w:sz="1"/>
              <w:right w:val="single" w:color="CFD8DC" w:sz="1"/>
            </w:tcBorders>
            <w:shd w:fill="37474F"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c>
          <w:tcPr>
            <w:tcW w:type="dxa" w:w="1426"/>
            <w:tcBorders>
              <w:top w:val="single" w:color="CFD8DC" w:sz="1"/>
              <w:left w:val="single" w:color="CFD8DC" w:sz="1"/>
              <w:bottom w:val="single" w:color="CFD8DC" w:sz="1"/>
              <w:right w:val="single" w:color="CFD8DC" w:sz="1"/>
            </w:tcBorders>
            <w:shd w:fill="37474F"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CoinTracking CSV (nativ)</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Direkt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Nativ</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Vollst.</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FIFO / LIFO / HIFO</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Alle</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Alle</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Alle</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Alle</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FIFO/LIFO</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REST API für Drittanbieter</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Phase 4</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Vorhanden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Begrenzt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Vorhanden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r>
      <w:tr>
        <w:tc>
          <w:tcPr>
            <w:tcW w:type="dxa" w:w="3200"/>
            <w:tcBorders>
              <w:top w:val="single" w:color="CFD8DC" w:sz="1"/>
              <w:left w:val="single" w:color="CFD8DC" w:sz="1"/>
              <w:bottom w:val="single" w:color="CFD8DC" w:sz="1"/>
              <w:right w:val="single" w:color="CFD8DC" w:sz="1"/>
            </w:tcBorders>
            <w:shd w:fill="1A237E" w:val="clear"/>
            <w:tcMar>
              <w:top w:type="dxa" w:w="80"/>
              <w:left w:type="dxa" w:w="130"/>
              <w:bottom w:type="dxa" w:w="80"/>
              <w:right w:type="dxa" w:w="80"/>
            </w:tcMar>
          </w:tcPr>
          <w:p>
            <w:pPr>
              <w:jc w:val="left"/>
            </w:pPr>
            <w:r>
              <w:rPr>
                <w:rFonts w:ascii="Calibri" w:cs="Calibri" w:eastAsia="Calibri" w:hAnsi="Calibri"/>
                <w:b/>
                <w:bCs/>
                <w:color w:val="FFFFFF"/>
                <w:sz w:val="20"/>
                <w:szCs w:val="20"/>
              </w:rPr>
              <w:t xml:space="preserve">B2B-FEATURES</w:t>
            </w:r>
          </w:p>
        </w:tc>
        <w:tc>
          <w:tcPr>
            <w:tcW w:type="dxa" w:w="1200"/>
            <w:tcBorders>
              <w:top w:val="single" w:color="CFD8DC" w:sz="1"/>
              <w:left w:val="single" w:color="CFD8DC" w:sz="1"/>
              <w:bottom w:val="single" w:color="CFD8DC" w:sz="1"/>
              <w:right w:val="single" w:color="CFD8DC" w:sz="1"/>
            </w:tcBorders>
            <w:shd w:fill="1A237E"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c>
          <w:tcPr>
            <w:tcW w:type="dxa" w:w="1300"/>
            <w:tcBorders>
              <w:top w:val="single" w:color="CFD8DC" w:sz="1"/>
              <w:left w:val="single" w:color="CFD8DC" w:sz="1"/>
              <w:bottom w:val="single" w:color="CFD8DC" w:sz="1"/>
              <w:right w:val="single" w:color="CFD8DC" w:sz="1"/>
            </w:tcBorders>
            <w:shd w:fill="1A237E"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c>
          <w:tcPr>
            <w:tcW w:type="dxa" w:w="1300"/>
            <w:tcBorders>
              <w:top w:val="single" w:color="CFD8DC" w:sz="1"/>
              <w:left w:val="single" w:color="CFD8DC" w:sz="1"/>
              <w:bottom w:val="single" w:color="CFD8DC" w:sz="1"/>
              <w:right w:val="single" w:color="CFD8DC" w:sz="1"/>
            </w:tcBorders>
            <w:shd w:fill="1A237E"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c>
          <w:tcPr>
            <w:tcW w:type="dxa" w:w="1300"/>
            <w:tcBorders>
              <w:top w:val="single" w:color="CFD8DC" w:sz="1"/>
              <w:left w:val="single" w:color="CFD8DC" w:sz="1"/>
              <w:bottom w:val="single" w:color="CFD8DC" w:sz="1"/>
              <w:right w:val="single" w:color="CFD8DC" w:sz="1"/>
            </w:tcBorders>
            <w:shd w:fill="1A237E"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c>
          <w:tcPr>
            <w:tcW w:type="dxa" w:w="1426"/>
            <w:tcBorders>
              <w:top w:val="single" w:color="CFD8DC" w:sz="1"/>
              <w:left w:val="single" w:color="CFD8DC" w:sz="1"/>
              <w:bottom w:val="single" w:color="CFD8DC" w:sz="1"/>
              <w:right w:val="single" w:color="CFD8DC" w:sz="1"/>
            </w:tcBorders>
            <w:shd w:fill="1A237E" w:val="clear"/>
            <w:tcMar>
              <w:top w:type="dxa" w:w="80"/>
              <w:left w:type="dxa" w:w="130"/>
              <w:bottom w:type="dxa" w:w="80"/>
              <w:right w:type="dxa" w:w="80"/>
            </w:tcMar>
          </w:tcPr>
          <w:p>
            <w:pPr>
              <w:jc w:val="left"/>
            </w:pPr>
            <w:r>
              <w:rPr>
                <w:rFonts w:ascii="Calibri" w:cs="Calibri" w:eastAsia="Calibri" w:hAnsi="Calibri"/>
                <w:color w:val="212121"/>
                <w:sz w:val="20"/>
                <w:szCs w:val="20"/>
              </w:rPr>
              <w:t xml:space="preserve"/>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Steuerberater-Portal</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Phase 4</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Vorhanden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Vorhanden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Begrenzt</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White-Label</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Phase 4</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Vorhanden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Flare-Ökosystem-Spezialisierung</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 EINZIG.</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Nein</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
              <w:left w:val="thick" w:color="0D47A1" w:sz="18"/>
              <w:bottom w:val="single" w:color="0D47A1" w:sz="1"/>
              <w:right w:val="single" w:color="0D47A1" w:sz="1"/>
            </w:tcBorders>
            <w:shd w:fill="E3F2FD" w:val="clear"/>
            <w:tcMar>
              <w:top w:type="dxa" w:w="110"/>
              <w:left w:type="dxa" w:w="200"/>
              <w:bottom w:type="dxa" w:w="110"/>
              <w:right w:type="dxa" w:w="140"/>
            </w:tcMar>
          </w:tcPr>
          <w:p>
            <w:pPr>
              <w:spacing w:before="0" w:after="40"/>
            </w:pPr>
            <w:r>
              <w:rPr>
                <w:rFonts w:ascii="Calibri" w:cs="Calibri" w:eastAsia="Calibri" w:hAnsi="Calibri"/>
                <w:b/>
                <w:bCs/>
                <w:color w:val="0D47A1"/>
                <w:sz w:val="21"/>
                <w:szCs w:val="21"/>
              </w:rPr>
              <w:t xml:space="preserve">Kernaussage Wettbewerbsvergleich</w:t>
            </w:r>
          </w:p>
          <w:p>
            <w:pPr>
              <w:spacing w:before="0" w:after="0"/>
            </w:pPr>
            <w:r>
              <w:rPr>
                <w:rFonts w:ascii="Calibri" w:cs="Calibri" w:eastAsia="Calibri" w:hAnsi="Calibri"/>
                <w:color w:val="212121"/>
                <w:sz w:val="20"/>
                <w:szCs w:val="20"/>
              </w:rPr>
              <w:t xml:space="preserve">Das geplante Tool ist bei Markteinführung (September 2026) die einzige Lösung mit: (1) nativer Flare-DeFi-Integration für alle drei Kernprotokolle, (2) FTSO-basierter BMF-2025-konformer EUR-Kursbewertung und (3) LP-Dual-Szenario-Rechner. CoinTracking, Blockpit und Koinly sind in Allgemein-DeFi und B2B stärker, aber decken das Flare-Nischen-Segment nicht ab. Die Erweiterung auf Aave/Multi-Chain in Phase 4 schließt die Lücken in der Allgemein-DeFi-Abdeckung.</w:t>
            </w:r>
          </w:p>
        </w:tc>
      </w:tr>
    </w:tbl>
    <w:p>
      <w:pPr>
        <w:spacing w:before="160" w:after="0"/>
      </w:pPr>
      <w:r>
        <w:t xml:space="preserve"/>
      </w:r>
    </w:p>
    <w:p>
      <w:pPr>
        <w:pStyle w:val="Heading1"/>
        <w:pBdr>
          <w:bottom w:val="single" w:color="0D47A1" w:sz="4" w:space="6"/>
        </w:pBdr>
        <w:spacing w:before="360" w:after="160"/>
      </w:pPr>
      <w:r>
        <w:rPr>
          <w:rFonts w:ascii="Calibri" w:cs="Calibri" w:eastAsia="Calibri" w:hAnsi="Calibri"/>
          <w:b/>
          <w:bCs/>
          <w:color w:val="0D47A1"/>
          <w:sz w:val="36"/>
          <w:szCs w:val="36"/>
        </w:rPr>
        <w:t xml:space="preserve">P7. API-Spezifikation (Phase 4 – B2B-Integration)</w:t>
      </w:r>
    </w:p>
    <w:p>
      <w:pPr>
        <w:spacing w:before="60" w:after="90"/>
      </w:pPr>
      <w:r>
        <w:rPr>
          <w:rFonts w:ascii="Calibri" w:cs="Calibri" w:eastAsia="Calibri" w:hAnsi="Calibri"/>
          <w:color w:val="212121"/>
          <w:sz w:val="21"/>
          <w:szCs w:val="21"/>
        </w:rPr>
        <w:t xml:space="preserve">Die REST API ermöglicht die Integration des Tools in externe Buchhaltungssoftware, Steuerberater-Systeme und Eigenentwicklungen. Die API folgt OpenAPI 3.0 Standard und ist vollständig dokumentiert.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700"/>
        <w:gridCol w:w="1100"/>
        <w:gridCol w:w="19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Endpoint</w:t>
            </w:r>
          </w:p>
        </w:tc>
        <w:tc>
          <w:tcPr>
            <w:tcW w:type="dxa" w:w="9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Methode</w:t>
            </w:r>
          </w:p>
        </w:tc>
        <w:tc>
          <w:tcPr>
            <w:tcW w:type="dxa" w:w="2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Beschreibung</w:t>
            </w:r>
          </w:p>
        </w:tc>
        <w:tc>
          <w:tcPr>
            <w:tcW w:type="dxa" w:w="11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Auth</w:t>
            </w:r>
          </w:p>
        </w:tc>
        <w:tc>
          <w:tcPr>
            <w:tcW w:type="dxa" w:w="19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Response-Format</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/api/v1/wallets</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GET</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verbundenen Wallets des Nutzers abrufen</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Bearer JWT</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JSON Array: {id, address, chain, label}</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/api/v1/wallets/{id}/transactions</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GET</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Transaktionen einer Wallet filtern (date, type, protocol)</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Bearer JWT</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Paginiertes JSON: {data[], total, page}</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/api/v1/transactions/{txHash}</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GET</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Einzelne TX mit vollständiger steuerlicher Klassifikation</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Bearer JWT</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JSON: {tx, classification, eur_value, tax_type}</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/api/v1/portfolio/summary</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GET</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Gesamt-Portfolio-Übersicht mit Steuer-KPIs</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Bearer JWT</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JSON: {total_eur, pnl, tax_23, tax_22_3, allowance_used}</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/api/v1/export/cointracking</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POST</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CoinTracking CSV für Zeitraum generieren</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Bearer JWT</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CSV-Download (application/csv)</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/api/v1/export/elster</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POST</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ELSTER XML für Steuerjahr generieren</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Bearer JWT</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XML-Download (application/xml)</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/api/v1/webhooks</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POST/DELETE</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Webhook für neue TX registrieren/löschen</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Bearer JWT</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JSON: {id, url, events[], status}</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/api/v1/tax/calculate</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POST</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Steuerberechnung für angegebenen Zeitraum und Methode</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Bearer JWT</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JSON: {fifo_result, lifo_result, hifo_result, dual_scenario}</w:t>
            </w:r>
          </w:p>
        </w:tc>
      </w:tr>
    </w:tbl>
    <w:p>
      <w:pPr>
        <w:spacing w:before="80" w:after="0"/>
      </w:pPr>
      <w:r>
        <w:t xml:space="preserve"/>
      </w:r>
    </w:p>
    <w:p>
      <w:pPr>
        <w:pStyle w:val="ListParagraph"/>
        <w:numPr>
          <w:ilvl w:val="0"/>
          <w:numId w:val="10"/>
        </w:numPr>
        <w:spacing w:before="40" w:after="40"/>
      </w:pPr>
      <w:r>
        <w:rPr>
          <w:rFonts w:ascii="Calibri" w:cs="Calibri" w:eastAsia="Calibri" w:hAnsi="Calibri"/>
          <w:b w:val="false"/>
          <w:bCs w:val="false"/>
          <w:color w:val="212121"/>
          <w:sz w:val="21"/>
          <w:szCs w:val="21"/>
        </w:rPr>
        <w:t xml:space="preserve">Authentifizierung: OAuth2 + API-Key; JWT-Tokens mit 24h-Gültigkeit; API-Keys mit Scope-Beschränkung</w:t>
      </w:r>
    </w:p>
    <w:p>
      <w:pPr>
        <w:pStyle w:val="ListParagraph"/>
        <w:numPr>
          <w:ilvl w:val="0"/>
          <w:numId w:val="10"/>
        </w:numPr>
        <w:spacing w:before="40" w:after="40"/>
      </w:pPr>
      <w:r>
        <w:rPr>
          <w:rFonts w:ascii="Calibri" w:cs="Calibri" w:eastAsia="Calibri" w:hAnsi="Calibri"/>
          <w:b w:val="false"/>
          <w:bCs w:val="false"/>
          <w:color w:val="212121"/>
          <w:sz w:val="21"/>
          <w:szCs w:val="21"/>
        </w:rPr>
        <w:t xml:space="preserve">Rate Limiting: 1.000 Requests/Minute im Business-Plan; 10.000 im Kanzlei-Plan</w:t>
      </w:r>
    </w:p>
    <w:p>
      <w:pPr>
        <w:pStyle w:val="ListParagraph"/>
        <w:numPr>
          <w:ilvl w:val="0"/>
          <w:numId w:val="10"/>
        </w:numPr>
        <w:spacing w:before="40" w:after="40"/>
      </w:pPr>
      <w:r>
        <w:rPr>
          <w:rFonts w:ascii="Calibri" w:cs="Calibri" w:eastAsia="Calibri" w:hAnsi="Calibri"/>
          <w:b w:val="false"/>
          <w:bCs w:val="false"/>
          <w:color w:val="212121"/>
          <w:sz w:val="21"/>
          <w:szCs w:val="21"/>
        </w:rPr>
        <w:t xml:space="preserve">Versionierung: /api/v1/ stabil; /api/v2/ für Breaking-Changes mit 6-monatiger Deprecation-Phase</w:t>
      </w:r>
    </w:p>
    <w:p>
      <w:pPr>
        <w:pStyle w:val="ListParagraph"/>
        <w:numPr>
          <w:ilvl w:val="0"/>
          <w:numId w:val="10"/>
        </w:numPr>
        <w:spacing w:before="40" w:after="40"/>
      </w:pPr>
      <w:r>
        <w:rPr>
          <w:rFonts w:ascii="Calibri" w:cs="Calibri" w:eastAsia="Calibri" w:hAnsi="Calibri"/>
          <w:b w:val="false"/>
          <w:bCs w:val="false"/>
          <w:color w:val="212121"/>
          <w:sz w:val="21"/>
          <w:szCs w:val="21"/>
        </w:rPr>
        <w:t xml:space="preserve">Webhooks: Unterstützte Events: new_transaction, sync_complete, export_ready, tax_threshold_reached</w:t>
      </w:r>
    </w:p>
    <w:p>
      <w:pPr>
        <w:pStyle w:val="ListParagraph"/>
        <w:numPr>
          <w:ilvl w:val="0"/>
          <w:numId w:val="10"/>
        </w:numPr>
        <w:spacing w:before="40" w:after="40"/>
      </w:pPr>
      <w:r>
        <w:rPr>
          <w:rFonts w:ascii="Calibri" w:cs="Calibri" w:eastAsia="Calibri" w:hAnsi="Calibri"/>
          <w:b w:val="false"/>
          <w:bCs w:val="false"/>
          <w:color w:val="212121"/>
          <w:sz w:val="21"/>
          <w:szCs w:val="21"/>
        </w:rPr>
        <w:t xml:space="preserve">Dokumentation: OpenAPI 3.0 Spec + Swagger UI + Postman Collection öffentlich verfügbar</w:t>
      </w:r>
    </w:p>
    <w:p>
      <w:pPr>
        <w:pStyle w:val="ListParagraph"/>
        <w:numPr>
          <w:ilvl w:val="0"/>
          <w:numId w:val="10"/>
        </w:numPr>
        <w:spacing w:before="40" w:after="40"/>
      </w:pPr>
      <w:r>
        <w:rPr>
          <w:rFonts w:ascii="Calibri" w:cs="Calibri" w:eastAsia="Calibri" w:hAnsi="Calibri"/>
          <w:b w:val="false"/>
          <w:bCs w:val="false"/>
          <w:color w:val="212121"/>
          <w:sz w:val="21"/>
          <w:szCs w:val="21"/>
        </w:rPr>
        <w:t xml:space="preserve">SDKs: TypeScript/JavaScript SDK in Phase 4; Python SDK auf Roadmap</w:t>
      </w:r>
    </w:p>
    <w:p>
      <w:pPr>
        <w:spacing w:before="200" w:after="0"/>
      </w:pPr>
      <w:r>
        <w:t xml:space="preserve"/>
      </w:r>
    </w:p>
    <w:p>
      <w:pPr>
        <w:pBdr>
          <w:top w:val="single" w:color="0D47A1" w:sz="4" w:space="8"/>
        </w:pBdr>
        <w:spacing w:before="200" w:after="0"/>
        <w:jc w:val="center"/>
      </w:pPr>
      <w:r>
        <w:rPr>
          <w:rFonts w:ascii="Calibri" w:cs="Calibri" w:eastAsia="Calibri" w:hAnsi="Calibri"/>
          <w:i/>
          <w:iCs/>
          <w:color w:val="999999"/>
          <w:sz w:val="17"/>
          <w:szCs w:val="17"/>
        </w:rPr>
        <w:t xml:space="preserve">Produkt- &amp; Funktionsanalyse – NextGen IT Solutions GmbH, Stuttgart · März 2026 · Alle Angaben vorbehaltlich der Produktentwicklungs-Finalisierung.</w:t>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2"/>
              <w:left w:val="single" w:color="0D47A1" w:sz="1"/>
              <w:bottom w:val="single" w:color="E65100" w:sz="6"/>
              <w:right w:val="single" w:color="0D47A1" w:sz="1"/>
            </w:tcBorders>
            <w:shd w:fill="0A3880" w:val="clear"/>
            <w:tcMar>
              <w:top w:type="dxa" w:w="160"/>
              <w:left w:type="dxa" w:w="280"/>
              <w:bottom w:type="dxa" w:w="160"/>
              <w:right w:type="dxa" w:w="200"/>
            </w:tcMar>
          </w:tcPr>
          <w:p>
            <w:pPr>
              <w:spacing w:before="0" w:after="40"/>
              <w:jc w:val="center"/>
            </w:pPr>
            <w:r>
              <w:rPr>
                <w:rFonts w:ascii="Calibri" w:cs="Calibri" w:eastAsia="Calibri" w:hAnsi="Calibri"/>
                <w:b/>
                <w:bCs/>
                <w:color w:val="FFFFFF"/>
                <w:sz w:val="40"/>
                <w:szCs w:val="40"/>
              </w:rPr>
              <w:t xml:space="preserve">WETTBEWERBSANALYSE</w:t>
            </w:r>
          </w:p>
          <w:p>
            <w:pPr>
              <w:spacing w:before="0" w:after="0"/>
              <w:jc w:val="center"/>
            </w:pPr>
            <w:r>
              <w:rPr>
                <w:rFonts w:ascii="Calibri" w:cs="Calibri" w:eastAsia="Calibri" w:hAnsi="Calibri"/>
                <w:color w:val="B0C4DE"/>
                <w:sz w:val="22"/>
                <w:szCs w:val="22"/>
              </w:rPr>
              <w:t xml:space="preserve">Marktlandschaft · Konkurrenzprofile · Preisvergleich · SWOT · Porter · Positionierung · Stand: März 2026</w:t>
            </w:r>
          </w:p>
        </w:tc>
      </w:tr>
    </w:tbl>
    <w:p>
      <w:pPr>
        <w:spacing w:before="200" w:after="0"/>
      </w:pPr>
      <w:r>
        <w:t xml:space="preserve"/>
      </w:r>
    </w:p>
    <w:p>
      <w:pPr>
        <w:pStyle w:val="Heading1"/>
        <w:pBdr>
          <w:bottom w:val="single" w:color="0D47A1" w:sz="4" w:space="6"/>
        </w:pBdr>
        <w:spacing w:before="360" w:after="160"/>
      </w:pPr>
      <w:r>
        <w:rPr>
          <w:rFonts w:ascii="Calibri" w:cs="Calibri" w:eastAsia="Calibri" w:hAnsi="Calibri"/>
          <w:b/>
          <w:bCs/>
          <w:color w:val="0D47A1"/>
          <w:sz w:val="36"/>
          <w:szCs w:val="36"/>
        </w:rPr>
        <w:t xml:space="preserve">W1. Wettbewerbslandschaft – Marktüberblick</w:t>
      </w:r>
    </w:p>
    <w:p>
      <w:pPr>
        <w:spacing w:before="60" w:after="90"/>
      </w:pPr>
      <w:r>
        <w:rPr>
          <w:rFonts w:ascii="Calibri" w:cs="Calibri" w:eastAsia="Calibri" w:hAnsi="Calibri"/>
          <w:color w:val="212121"/>
          <w:sz w:val="21"/>
          <w:szCs w:val="21"/>
        </w:rPr>
        <w:t xml:space="preserve">Der deutsche Markt für Krypto-Steuersoftware ist 2026 ein schnell wachsendes, aber noch fragmentiertes Segment. Mit dem Inkrafttreten der DAC8-Richtlinie und dem neuen BMF-Schreiben 2025 steigt der Compliance-Druck erheblich – und damit die Nachfrage nach spezialisierter Tracking-Software. Die folgende Analyse kartiert die Wettbewerbslandschaft vollständig.</w:t>
      </w:r>
    </w:p>
    <w:p>
      <w:pPr>
        <w:spacing w:before="80" w:after="0"/>
      </w:pPr>
      <w:r>
        <w:t xml:space="preserve"/>
      </w:r>
    </w:p>
    <w:p>
      <w:pPr>
        <w:spacing w:before="200" w:after="80"/>
      </w:pPr>
      <w:r>
        <w:rPr>
          <w:rFonts w:ascii="Calibri" w:cs="Calibri" w:eastAsia="Calibri" w:hAnsi="Calibri"/>
          <w:b/>
          <w:bCs/>
          <w:color w:val="006064"/>
          <w:sz w:val="23"/>
          <w:szCs w:val="23"/>
        </w:rPr>
        <w:t xml:space="preserve">W1.1 Marktsegmente der Wettbewerber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00"/>
        <w:gridCol w:w="1300"/>
        <w:gridCol w:w="1826"/>
      </w:tblGrid>
      <w:tr>
        <w:trPr>
          <w:tblHeader/>
        </w:trPr>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Segment</w:t>
            </w:r>
          </w:p>
        </w:tc>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Wettbewerber</w:t>
            </w:r>
          </w:p>
        </w:tc>
        <w:tc>
          <w:tcPr>
            <w:tcW w:type="dxa" w:w="2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Marktfokus</w:t>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DE-Relevanz</w:t>
            </w:r>
          </w:p>
        </w:tc>
        <w:tc>
          <w:tcPr>
            <w:tcW w:type="dxa" w:w="1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Bedrohungslevel</w:t>
            </w:r>
          </w:p>
        </w:tc>
      </w:tr>
      <w:tr>
        <w:tc>
          <w:tcPr>
            <w:tcW w:type="dxa" w:w="22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DACH-Spezialisten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CoinTracking, Blockpit, Divly</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Deutschland/Österreich/Schweiz – tiefes lokales Steuerrecht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hoch</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 HOCH</w:t>
            </w:r>
          </w:p>
        </w:tc>
      </w:tr>
      <w:tr>
        <w:tc>
          <w:tcPr>
            <w:tcW w:type="dxa" w:w="22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Globale Allrounder</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Koinly, CoinLedger, TaxBit</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International – 34–100+ Länder; DE als Randmarkt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 (kein DE-Fokus)</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 MITTEL</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US-zentriert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TokenTax, ZenLedger, CoinTracker</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USA-Steuerrecht (IRS Form 8949); DE kaum unterstützt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gering</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 NIEDRIG</w:t>
            </w:r>
          </w:p>
        </w:tc>
      </w:tr>
      <w:tr>
        <w:tc>
          <w:tcPr>
            <w:tcW w:type="dxa" w:w="22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DeFi-Spezialisten (neu)</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Accointing (→Blockpit), Rotki</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DeFi-fokussiert, aber ohne Flare-Integration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 MITTEL</w:t>
            </w:r>
          </w:p>
        </w:tc>
      </w:tr>
      <w:tr>
        <w:tc>
          <w:tcPr>
            <w:tcW w:type="dxa" w:w="22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Buchhaltungssoftware</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DATEV, Lexware (Krypto-Modul)</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Generische Buchhaltung + rudimentäres Krypto-Modul</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 (nicht DeFi-fähig)</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 NIEDRIG</w:t>
            </w:r>
          </w:p>
        </w:tc>
      </w:tr>
      <w:tr>
        <w:tc>
          <w:tcPr>
            <w:tcW w:type="dxa" w:w="22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Unser Tool (Positionierung)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DeFi Tracker SaaS (NextGen IT)</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Flare-DeFi + DE-Steuerrecht + CoinTracking-Export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Direkt relevant</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 DIFFERENZIERT</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
              <w:left w:val="thick" w:color="0D47A1" w:sz="18"/>
              <w:bottom w:val="single" w:color="0D47A1" w:sz="1"/>
              <w:right w:val="single" w:color="0D47A1" w:sz="1"/>
            </w:tcBorders>
            <w:shd w:fill="E3F2FD" w:val="clear"/>
            <w:tcMar>
              <w:top w:type="dxa" w:w="110"/>
              <w:left w:type="dxa" w:w="200"/>
              <w:bottom w:type="dxa" w:w="110"/>
              <w:right w:type="dxa" w:w="140"/>
            </w:tcMar>
          </w:tcPr>
          <w:p>
            <w:pPr>
              <w:spacing w:before="0" w:after="40"/>
            </w:pPr>
            <w:r>
              <w:rPr>
                <w:rFonts w:ascii="Calibri" w:cs="Calibri" w:eastAsia="Calibri" w:hAnsi="Calibri"/>
                <w:b/>
                <w:bCs/>
                <w:color w:val="0D47A1"/>
                <w:sz w:val="21"/>
                <w:szCs w:val="21"/>
              </w:rPr>
              <w:t xml:space="preserve">Marktstruktur-Befund</w:t>
            </w:r>
          </w:p>
          <w:p>
            <w:pPr>
              <w:spacing w:before="0" w:after="0"/>
            </w:pPr>
            <w:r>
              <w:rPr>
                <w:rFonts w:ascii="Calibri" w:cs="Calibri" w:eastAsia="Calibri" w:hAnsi="Calibri"/>
                <w:color w:val="212121"/>
                <w:sz w:val="20"/>
                <w:szCs w:val="20"/>
              </w:rPr>
              <w:t xml:space="preserve">Der DE-Markt wird von zwei Playern dominiert: CoinTracking (Marktführer seit 2012, ~1,5 Mio. Nutzer weltweit, stärkste Funktionstiefe) und Blockpit (modernes UX, DACH-fokussiert, 350.000+ Kunden, KPMG-geprüfte Reports). Koinly ist internationaler Herausforderer mit 800+ Integrationen, aber schwachem DE-Fokus. Kein einziger Anbieter bietet tiefe Flare-DeFi-Integration – das ist die klare Marktlücke.</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W2. Wettbewerber-Detailprofile</w:t>
      </w:r>
    </w:p>
    <w:p>
      <w:pPr>
        <w:spacing w:before="200" w:after="80"/>
      </w:pPr>
      <w:r>
        <w:rPr>
          <w:rFonts w:ascii="Calibri" w:cs="Calibri" w:eastAsia="Calibri" w:hAnsi="Calibri"/>
          <w:b/>
          <w:bCs/>
          <w:color w:val="006064"/>
          <w:sz w:val="23"/>
          <w:szCs w:val="23"/>
        </w:rPr>
        <w:t xml:space="preserve">W2.1 CoinTracking – Marktführer Deutschland</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913"/>
        <w:gridCol w:w="3913"/>
      </w:tblGrid>
      <w:tr>
        <w:tc>
          <w:tcPr>
            <w:tcW w:type="dxa" w:w="1200"/>
            <w:tcBorders>
              <w:top w:val="single" w:color="0D47A1" w:sz="10"/>
              <w:left w:val="single" w:color="0D47A1" w:sz="10"/>
              <w:bottom w:val="single" w:color="CFD8DC" w:sz="1"/>
              <w:right w:val="single" w:color="CFD8DC" w:sz="1"/>
            </w:tcBorders>
            <w:shd w:fill="E3F2FD" w:val="clear"/>
            <w:tcMar>
              <w:top w:type="dxa" w:w="80"/>
              <w:left w:type="dxa" w:w="140"/>
              <w:bottom w:type="dxa" w:w="80"/>
              <w:right w:type="dxa" w:w="80"/>
            </w:tcMar>
            <w:vAlign w:val="center"/>
          </w:tcPr>
          <w:p>
            <w:pPr>
              <w:jc w:val="center"/>
            </w:pPr>
            <w:r>
              <w:rPr>
                <w:rFonts w:ascii="Calibri" w:cs="Calibri" w:eastAsia="Calibri" w:hAnsi="Calibri"/>
                <w:b/>
                <w:bCs/>
                <w:color w:val="0D47A1"/>
                <w:sz w:val="22"/>
                <w:szCs w:val="22"/>
              </w:rPr>
              <w:t xml:space="preserve">CoinTracking</w:t>
            </w:r>
          </w:p>
          <w:p>
            <w:pPr>
              <w:jc w:val="center"/>
            </w:pPr>
            <w:r>
              <w:rPr>
                <w:rFonts w:ascii="Calibri" w:cs="Calibri" w:eastAsia="Calibri" w:hAnsi="Calibri"/>
                <w:color w:val="546E7A"/>
                <w:sz w:val="17"/>
                <w:szCs w:val="17"/>
              </w:rPr>
              <w:t xml:space="preserve">Gegr. 2012</w:t>
            </w:r>
          </w:p>
          <w:p>
            <w:pPr>
              <w:jc w:val="center"/>
            </w:pPr>
            <w:r>
              <w:rPr>
                <w:rFonts w:ascii="Calibri" w:cs="Calibri" w:eastAsia="Calibri" w:hAnsi="Calibri"/>
                <w:color w:val="546E7A"/>
                <w:sz w:val="17"/>
                <w:szCs w:val="17"/>
              </w:rPr>
              <w:t xml:space="preserve">München, DE</w:t>
            </w:r>
          </w:p>
          <w:p>
            <w:pPr>
              <w:jc w:val="center"/>
            </w:pPr>
            <w:r>
              <w:rPr>
                <w:rFonts w:ascii="Calibri" w:cs="Calibri" w:eastAsia="Calibri" w:hAnsi="Calibri"/>
                <w:b/>
                <w:bCs/>
                <w:color w:val="0D47A1"/>
                <w:sz w:val="18"/>
                <w:szCs w:val="18"/>
              </w:rPr>
              <w:t xml:space="preserve">~1,5 Mio. Nutzer</w:t>
            </w:r>
          </w:p>
        </w:tc>
        <w:tc>
          <w:tcPr>
            <w:tcW w:type="dxa" w:w="3913"/>
            <w:tcBorders>
              <w:top w:val="single" w:color="0D47A1" w:sz="10"/>
              <w:left w:val="single" w:color="CFD8DC" w:sz="1"/>
              <w:bottom w:val="single" w:color="CFD8DC" w:sz="1"/>
              <w:right w:val="single" w:color="CFD8DC" w:sz="1"/>
            </w:tcBorders>
            <w:shd w:fill="FFFFFF" w:val="clear"/>
            <w:tcMar>
              <w:top w:type="dxa" w:w="80"/>
              <w:left w:type="dxa" w:w="160"/>
              <w:bottom w:type="dxa" w:w="80"/>
              <w:right w:type="dxa" w:w="100"/>
            </w:tcMar>
          </w:tcPr>
          <w:p>
            <w:pPr>
              <w:spacing w:before="0" w:after="30"/>
            </w:pPr>
            <w:r>
              <w:rPr>
                <w:rFonts w:ascii="Calibri" w:cs="Calibri" w:eastAsia="Calibri" w:hAnsi="Calibri"/>
                <w:b/>
                <w:bCs/>
                <w:color w:val="1B5E20"/>
                <w:sz w:val="19"/>
                <w:szCs w:val="19"/>
              </w:rPr>
              <w:t xml:space="preserve">✅ Stärken</w:t>
            </w:r>
          </w:p>
          <w:p>
            <w:pPr>
              <w:pStyle w:val="ListParagraph"/>
              <w:numPr>
                <w:ilvl w:val="0"/>
                <w:numId w:val="12"/>
              </w:numPr>
              <w:spacing w:before="0" w:after="20"/>
            </w:pPr>
            <w:r>
              <w:rPr>
                <w:rFonts w:ascii="Calibri" w:cs="Calibri" w:eastAsia="Calibri" w:hAnsi="Calibri"/>
                <w:color w:val="212121"/>
                <w:sz w:val="18"/>
                <w:szCs w:val="18"/>
              </w:rPr>
              <w:t xml:space="preserve">Gegründet 2012 – longest track record im DE-Markt</w:t>
            </w:r>
          </w:p>
          <w:p>
            <w:pPr>
              <w:pStyle w:val="ListParagraph"/>
              <w:numPr>
                <w:ilvl w:val="0"/>
                <w:numId w:val="12"/>
              </w:numPr>
              <w:spacing w:before="0" w:after="20"/>
            </w:pPr>
            <w:r>
              <w:rPr>
                <w:rFonts w:ascii="Calibri" w:cs="Calibri" w:eastAsia="Calibri" w:hAnsi="Calibri"/>
                <w:color w:val="212121"/>
                <w:sz w:val="18"/>
                <w:szCs w:val="18"/>
              </w:rPr>
              <w:t xml:space="preserve">300+ API-Integrationen (Börsen + Wallets + Chains)</w:t>
            </w:r>
          </w:p>
          <w:p>
            <w:pPr>
              <w:pStyle w:val="ListParagraph"/>
              <w:numPr>
                <w:ilvl w:val="0"/>
                <w:numId w:val="12"/>
              </w:numPr>
              <w:spacing w:before="0" w:after="20"/>
            </w:pPr>
            <w:r>
              <w:rPr>
                <w:rFonts w:ascii="Calibri" w:cs="Calibri" w:eastAsia="Calibri" w:hAnsi="Calibri"/>
                <w:color w:val="212121"/>
                <w:sz w:val="18"/>
                <w:szCs w:val="18"/>
              </w:rPr>
              <w:t xml:space="preserve">25+ Steuerberichtstypen inkl. vollständige Anlage SO</w:t>
            </w:r>
          </w:p>
          <w:p>
            <w:pPr>
              <w:pStyle w:val="ListParagraph"/>
              <w:numPr>
                <w:ilvl w:val="0"/>
                <w:numId w:val="12"/>
              </w:numPr>
              <w:spacing w:before="0" w:after="20"/>
            </w:pPr>
            <w:r>
              <w:rPr>
                <w:rFonts w:ascii="Calibri" w:cs="Calibri" w:eastAsia="Calibri" w:hAnsi="Calibri"/>
                <w:color w:val="212121"/>
                <w:sz w:val="18"/>
                <w:szCs w:val="18"/>
              </w:rPr>
              <w:t xml:space="preserve">25.000+ Steuerberater-Netzwerk in Deutschland</w:t>
            </w:r>
          </w:p>
          <w:p>
            <w:pPr>
              <w:pStyle w:val="ListParagraph"/>
              <w:numPr>
                <w:ilvl w:val="0"/>
                <w:numId w:val="12"/>
              </w:numPr>
              <w:spacing w:before="0" w:after="20"/>
            </w:pPr>
            <w:r>
              <w:rPr>
                <w:rFonts w:ascii="Calibri" w:cs="Calibri" w:eastAsia="Calibri" w:hAnsi="Calibri"/>
                <w:color w:val="212121"/>
                <w:sz w:val="18"/>
                <w:szCs w:val="18"/>
              </w:rPr>
              <w:t xml:space="preserve">Lebenslanges Lizenzmodell verfügbar (Einmalzahlung)</w:t>
            </w:r>
          </w:p>
          <w:p>
            <w:pPr>
              <w:pStyle w:val="ListParagraph"/>
              <w:numPr>
                <w:ilvl w:val="0"/>
                <w:numId w:val="12"/>
              </w:numPr>
              <w:spacing w:before="0" w:after="20"/>
            </w:pPr>
            <w:r>
              <w:rPr>
                <w:rFonts w:ascii="Calibri" w:cs="Calibri" w:eastAsia="Calibri" w:hAnsi="Calibri"/>
                <w:color w:val="212121"/>
                <w:sz w:val="18"/>
                <w:szCs w:val="18"/>
              </w:rPr>
              <w:t xml:space="preserve">DeFi-Unterstützung für Ethereum, Uniswap, Aave etc.</w:t>
            </w:r>
          </w:p>
          <w:p>
            <w:pPr>
              <w:pStyle w:val="ListParagraph"/>
              <w:numPr>
                <w:ilvl w:val="0"/>
                <w:numId w:val="12"/>
              </w:numPr>
              <w:spacing w:before="0" w:after="20"/>
            </w:pPr>
            <w:r>
              <w:rPr>
                <w:rFonts w:ascii="Calibri" w:cs="Calibri" w:eastAsia="Calibri" w:hAnsi="Calibri"/>
                <w:color w:val="212121"/>
                <w:sz w:val="18"/>
                <w:szCs w:val="18"/>
              </w:rPr>
              <w:t xml:space="preserve">CoinFox als einfache Ergänzungsprodukt (Einsteiger)</w:t>
            </w:r>
          </w:p>
          <w:p>
            <w:pPr>
              <w:pStyle w:val="ListParagraph"/>
              <w:numPr>
                <w:ilvl w:val="0"/>
                <w:numId w:val="12"/>
              </w:numPr>
              <w:spacing w:before="0" w:after="20"/>
            </w:pPr>
            <w:r>
              <w:rPr>
                <w:rFonts w:ascii="Calibri" w:cs="Calibri" w:eastAsia="Calibri" w:hAnsi="Calibri"/>
                <w:color w:val="212121"/>
                <w:sz w:val="18"/>
                <w:szCs w:val="18"/>
              </w:rPr>
              <w:t xml:space="preserve">98,9% Bewertung im unabhängigen Test (bitcoin-2go.de)</w:t>
            </w:r>
          </w:p>
        </w:tc>
        <w:tc>
          <w:tcPr>
            <w:tcW w:type="dxa" w:w="3913"/>
            <w:tcBorders>
              <w:top w:val="single" w:color="0D47A1" w:sz="10"/>
              <w:left w:val="single" w:color="CFD8DC" w:sz="1"/>
              <w:bottom w:val="single" w:color="CFD8DC" w:sz="1"/>
              <w:right w:val="single" w:color="0D47A1" w:sz="10"/>
            </w:tcBorders>
            <w:shd w:fill="FFFFFF" w:val="clear"/>
            <w:tcMar>
              <w:top w:type="dxa" w:w="80"/>
              <w:left w:type="dxa" w:w="160"/>
              <w:bottom w:type="dxa" w:w="80"/>
              <w:right w:type="dxa" w:w="120"/>
            </w:tcMar>
          </w:tcPr>
          <w:p>
            <w:pPr>
              <w:spacing w:before="0" w:after="30"/>
            </w:pPr>
            <w:r>
              <w:rPr>
                <w:rFonts w:ascii="Calibri" w:cs="Calibri" w:eastAsia="Calibri" w:hAnsi="Calibri"/>
                <w:b/>
                <w:bCs/>
                <w:color w:val="B71C1C"/>
                <w:sz w:val="19"/>
                <w:szCs w:val="19"/>
              </w:rPr>
              <w:t xml:space="preserve">❌ Schwächen</w:t>
            </w:r>
          </w:p>
          <w:p>
            <w:pPr>
              <w:pStyle w:val="ListParagraph"/>
              <w:numPr>
                <w:ilvl w:val="0"/>
                <w:numId w:val="12"/>
              </w:numPr>
              <w:spacing w:before="0" w:after="20"/>
            </w:pPr>
            <w:r>
              <w:rPr>
                <w:rFonts w:ascii="Calibri" w:cs="Calibri" w:eastAsia="Calibri" w:hAnsi="Calibri"/>
                <w:color w:val="212121"/>
                <w:sz w:val="18"/>
                <w:szCs w:val="18"/>
              </w:rPr>
              <w:t xml:space="preserve">UI veraltet und überladen – als 'wie aus dem letzten Jahrhundert' beschrieben</w:t>
            </w:r>
          </w:p>
          <w:p>
            <w:pPr>
              <w:pStyle w:val="ListParagraph"/>
              <w:numPr>
                <w:ilvl w:val="0"/>
                <w:numId w:val="12"/>
              </w:numPr>
              <w:spacing w:before="0" w:after="20"/>
            </w:pPr>
            <w:r>
              <w:rPr>
                <w:rFonts w:ascii="Calibri" w:cs="Calibri" w:eastAsia="Calibri" w:hAnsi="Calibri"/>
                <w:color w:val="212121"/>
                <w:sz w:val="18"/>
                <w:szCs w:val="18"/>
              </w:rPr>
              <w:t xml:space="preserve">Für Einsteiger zu komplex – hohe Einarbeitungszeit</w:t>
            </w:r>
          </w:p>
          <w:p>
            <w:pPr>
              <w:pStyle w:val="ListParagraph"/>
              <w:numPr>
                <w:ilvl w:val="0"/>
                <w:numId w:val="12"/>
              </w:numPr>
              <w:spacing w:before="0" w:after="20"/>
            </w:pPr>
            <w:r>
              <w:rPr>
                <w:rFonts w:ascii="Calibri" w:cs="Calibri" w:eastAsia="Calibri" w:hAnsi="Calibri"/>
                <w:color w:val="212121"/>
                <w:sz w:val="18"/>
                <w:szCs w:val="18"/>
              </w:rPr>
              <w:t xml:space="preserve">Flare Network / Flare DeFi nicht unterstützt</w:t>
            </w:r>
          </w:p>
          <w:p>
            <w:pPr>
              <w:pStyle w:val="ListParagraph"/>
              <w:numPr>
                <w:ilvl w:val="0"/>
                <w:numId w:val="12"/>
              </w:numPr>
              <w:spacing w:before="0" w:after="20"/>
            </w:pPr>
            <w:r>
              <w:rPr>
                <w:rFonts w:ascii="Calibri" w:cs="Calibri" w:eastAsia="Calibri" w:hAnsi="Calibri"/>
                <w:color w:val="212121"/>
                <w:sz w:val="18"/>
                <w:szCs w:val="18"/>
              </w:rPr>
              <w:t xml:space="preserve">LP-Graubereich-Behandlung nicht vollständig BMF 2025</w:t>
            </w:r>
          </w:p>
          <w:p>
            <w:pPr>
              <w:pStyle w:val="ListParagraph"/>
              <w:numPr>
                <w:ilvl w:val="0"/>
                <w:numId w:val="12"/>
              </w:numPr>
              <w:spacing w:before="0" w:after="20"/>
            </w:pPr>
            <w:r>
              <w:rPr>
                <w:rFonts w:ascii="Calibri" w:cs="Calibri" w:eastAsia="Calibri" w:hAnsi="Calibri"/>
                <w:color w:val="212121"/>
                <w:sz w:val="18"/>
                <w:szCs w:val="18"/>
              </w:rPr>
              <w:t xml:space="preserve">KI-basierter Support (kein dedizierter menschlicher Support)</w:t>
            </w:r>
          </w:p>
          <w:p>
            <w:pPr>
              <w:pStyle w:val="ListParagraph"/>
              <w:numPr>
                <w:ilvl w:val="0"/>
                <w:numId w:val="12"/>
              </w:numPr>
              <w:spacing w:before="0" w:after="20"/>
            </w:pPr>
            <w:r>
              <w:rPr>
                <w:rFonts w:ascii="Calibri" w:cs="Calibri" w:eastAsia="Calibri" w:hAnsi="Calibri"/>
                <w:color w:val="212121"/>
                <w:sz w:val="18"/>
                <w:szCs w:val="18"/>
              </w:rPr>
              <w:t xml:space="preserve">Manuell konfigurierbar = Fehlerpotenzial für unerfahrene Nutzer</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W2.2 Blockpit – DACH-Herausforderer mit modernem UX</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913"/>
        <w:gridCol w:w="3913"/>
      </w:tblGrid>
      <w:tr>
        <w:tc>
          <w:tcPr>
            <w:tcW w:type="dxa" w:w="1200"/>
            <w:tcBorders>
              <w:top w:val="single" w:color="1B5E20" w:sz="10"/>
              <w:left w:val="single" w:color="1B5E20" w:sz="10"/>
              <w:bottom w:val="single" w:color="CFD8DC" w:sz="1"/>
              <w:right w:val="single" w:color="CFD8DC" w:sz="1"/>
            </w:tcBorders>
            <w:shd w:fill="E8F5E9" w:val="clear"/>
            <w:tcMar>
              <w:top w:type="dxa" w:w="80"/>
              <w:left w:type="dxa" w:w="140"/>
              <w:bottom w:type="dxa" w:w="80"/>
              <w:right w:type="dxa" w:w="80"/>
            </w:tcMar>
            <w:vAlign w:val="center"/>
          </w:tcPr>
          <w:p>
            <w:pPr>
              <w:jc w:val="center"/>
            </w:pPr>
            <w:r>
              <w:rPr>
                <w:rFonts w:ascii="Calibri" w:cs="Calibri" w:eastAsia="Calibri" w:hAnsi="Calibri"/>
                <w:b/>
                <w:bCs/>
                <w:color w:val="1B5E20"/>
                <w:sz w:val="22"/>
                <w:szCs w:val="22"/>
              </w:rPr>
              <w:t xml:space="preserve">Blockpit</w:t>
            </w:r>
          </w:p>
          <w:p>
            <w:pPr>
              <w:jc w:val="center"/>
            </w:pPr>
            <w:r>
              <w:rPr>
                <w:rFonts w:ascii="Calibri" w:cs="Calibri" w:eastAsia="Calibri" w:hAnsi="Calibri"/>
                <w:color w:val="546E7A"/>
                <w:sz w:val="17"/>
                <w:szCs w:val="17"/>
              </w:rPr>
              <w:t xml:space="preserve">Gegr. 2017</w:t>
            </w:r>
          </w:p>
          <w:p>
            <w:pPr>
              <w:jc w:val="center"/>
            </w:pPr>
            <w:r>
              <w:rPr>
                <w:rFonts w:ascii="Calibri" w:cs="Calibri" w:eastAsia="Calibri" w:hAnsi="Calibri"/>
                <w:color w:val="546E7A"/>
                <w:sz w:val="17"/>
                <w:szCs w:val="17"/>
              </w:rPr>
              <w:t xml:space="preserve">Linz, Österreich</w:t>
            </w:r>
          </w:p>
          <w:p>
            <w:pPr>
              <w:jc w:val="center"/>
            </w:pPr>
            <w:r>
              <w:rPr>
                <w:rFonts w:ascii="Calibri" w:cs="Calibri" w:eastAsia="Calibri" w:hAnsi="Calibri"/>
                <w:b/>
                <w:bCs/>
                <w:color w:val="1B5E20"/>
                <w:sz w:val="18"/>
                <w:szCs w:val="18"/>
              </w:rPr>
              <w:t xml:space="preserve">350.000+ Kunden</w:t>
            </w:r>
          </w:p>
        </w:tc>
        <w:tc>
          <w:tcPr>
            <w:tcW w:type="dxa" w:w="3913"/>
            <w:tcBorders>
              <w:top w:val="single" w:color="1B5E20" w:sz="10"/>
              <w:left w:val="single" w:color="CFD8DC" w:sz="1"/>
              <w:bottom w:val="single" w:color="CFD8DC" w:sz="1"/>
              <w:right w:val="single" w:color="CFD8DC" w:sz="1"/>
            </w:tcBorders>
            <w:shd w:fill="FFFFFF" w:val="clear"/>
            <w:tcMar>
              <w:top w:type="dxa" w:w="80"/>
              <w:left w:type="dxa" w:w="160"/>
              <w:bottom w:type="dxa" w:w="80"/>
              <w:right w:type="dxa" w:w="100"/>
            </w:tcMar>
          </w:tcPr>
          <w:p>
            <w:pPr>
              <w:spacing w:before="0" w:after="30"/>
            </w:pPr>
            <w:r>
              <w:rPr>
                <w:rFonts w:ascii="Calibri" w:cs="Calibri" w:eastAsia="Calibri" w:hAnsi="Calibri"/>
                <w:b/>
                <w:bCs/>
                <w:color w:val="1B5E20"/>
                <w:sz w:val="19"/>
                <w:szCs w:val="19"/>
              </w:rPr>
              <w:t xml:space="preserve">✅ Stärken</w:t>
            </w:r>
          </w:p>
          <w:p>
            <w:pPr>
              <w:pStyle w:val="ListParagraph"/>
              <w:numPr>
                <w:ilvl w:val="0"/>
                <w:numId w:val="12"/>
              </w:numPr>
              <w:spacing w:before="0" w:after="20"/>
            </w:pPr>
            <w:r>
              <w:rPr>
                <w:rFonts w:ascii="Calibri" w:cs="Calibri" w:eastAsia="Calibri" w:hAnsi="Calibri"/>
                <w:color w:val="212121"/>
                <w:sz w:val="18"/>
                <w:szCs w:val="18"/>
              </w:rPr>
              <w:t xml:space="preserve">Moderne, intuitive Oberfläche – klarer UX-Vorteil ggü. CoinTracking</w:t>
            </w:r>
          </w:p>
          <w:p>
            <w:pPr>
              <w:pStyle w:val="ListParagraph"/>
              <w:numPr>
                <w:ilvl w:val="0"/>
                <w:numId w:val="12"/>
              </w:numPr>
              <w:spacing w:before="0" w:after="20"/>
            </w:pPr>
            <w:r>
              <w:rPr>
                <w:rFonts w:ascii="Calibri" w:cs="Calibri" w:eastAsia="Calibri" w:hAnsi="Calibri"/>
                <w:color w:val="212121"/>
                <w:sz w:val="18"/>
                <w:szCs w:val="18"/>
              </w:rPr>
              <w:t xml:space="preserve">KPMG-geprüfte Steuerreports – höchste regulatorische Glaubwürdigkeit</w:t>
            </w:r>
          </w:p>
          <w:p>
            <w:pPr>
              <w:pStyle w:val="ListParagraph"/>
              <w:numPr>
                <w:ilvl w:val="0"/>
                <w:numId w:val="12"/>
              </w:numPr>
              <w:spacing w:before="0" w:after="20"/>
            </w:pPr>
            <w:r>
              <w:rPr>
                <w:rFonts w:ascii="Calibri" w:cs="Calibri" w:eastAsia="Calibri" w:hAnsi="Calibri"/>
                <w:color w:val="212121"/>
                <w:sz w:val="18"/>
                <w:szCs w:val="18"/>
              </w:rPr>
              <w:t xml:space="preserve">Vorausgefüllte Anlage SO (KAP 10a) – direkter ELSTER-Export möglich</w:t>
            </w:r>
          </w:p>
          <w:p>
            <w:pPr>
              <w:pStyle w:val="ListParagraph"/>
              <w:numPr>
                <w:ilvl w:val="0"/>
                <w:numId w:val="12"/>
              </w:numPr>
              <w:spacing w:before="0" w:after="20"/>
            </w:pPr>
            <w:r>
              <w:rPr>
                <w:rFonts w:ascii="Calibri" w:cs="Calibri" w:eastAsia="Calibri" w:hAnsi="Calibri"/>
                <w:color w:val="212121"/>
                <w:sz w:val="18"/>
                <w:szCs w:val="18"/>
              </w:rPr>
              <w:t xml:space="preserve">WISO-Integration für deutsche Steuerberater</w:t>
            </w:r>
          </w:p>
          <w:p>
            <w:pPr>
              <w:pStyle w:val="ListParagraph"/>
              <w:numPr>
                <w:ilvl w:val="0"/>
                <w:numId w:val="12"/>
              </w:numPr>
              <w:spacing w:before="0" w:after="20"/>
            </w:pPr>
            <w:r>
              <w:rPr>
                <w:rFonts w:ascii="Calibri" w:cs="Calibri" w:eastAsia="Calibri" w:hAnsi="Calibri"/>
                <w:color w:val="212121"/>
                <w:sz w:val="18"/>
                <w:szCs w:val="18"/>
              </w:rPr>
              <w:t xml:space="preserve">DACH-Fokus: Österreich, Deutschland, Schweiz gleichwertig abgedeckt</w:t>
            </w:r>
          </w:p>
          <w:p>
            <w:pPr>
              <w:pStyle w:val="ListParagraph"/>
              <w:numPr>
                <w:ilvl w:val="0"/>
                <w:numId w:val="12"/>
              </w:numPr>
              <w:spacing w:before="0" w:after="20"/>
            </w:pPr>
            <w:r>
              <w:rPr>
                <w:rFonts w:ascii="Calibri" w:cs="Calibri" w:eastAsia="Calibri" w:hAnsi="Calibri"/>
                <w:color w:val="212121"/>
                <w:sz w:val="18"/>
                <w:szCs w:val="18"/>
              </w:rPr>
              <w:t xml:space="preserve">Mobile App vorhanden (iOS + Android)</w:t>
            </w:r>
          </w:p>
          <w:p>
            <w:pPr>
              <w:pStyle w:val="ListParagraph"/>
              <w:numPr>
                <w:ilvl w:val="0"/>
                <w:numId w:val="12"/>
              </w:numPr>
              <w:spacing w:before="0" w:after="20"/>
            </w:pPr>
            <w:r>
              <w:rPr>
                <w:rFonts w:ascii="Calibri" w:cs="Calibri" w:eastAsia="Calibri" w:hAnsi="Calibri"/>
                <w:color w:val="212121"/>
                <w:sz w:val="18"/>
                <w:szCs w:val="18"/>
              </w:rPr>
              <w:t xml:space="preserve">500.000+ digitale Assets unterstützt</w:t>
            </w:r>
          </w:p>
          <w:p>
            <w:pPr>
              <w:pStyle w:val="ListParagraph"/>
              <w:numPr>
                <w:ilvl w:val="0"/>
                <w:numId w:val="12"/>
              </w:numPr>
              <w:spacing w:before="0" w:after="20"/>
            </w:pPr>
            <w:r>
              <w:rPr>
                <w:rFonts w:ascii="Calibri" w:cs="Calibri" w:eastAsia="Calibri" w:hAnsi="Calibri"/>
                <w:color w:val="212121"/>
                <w:sz w:val="18"/>
                <w:szCs w:val="18"/>
              </w:rPr>
              <w:t xml:space="preserve">Übernahme von Accointing 2023 – DeFi-Know-how integriert</w:t>
            </w:r>
          </w:p>
        </w:tc>
        <w:tc>
          <w:tcPr>
            <w:tcW w:type="dxa" w:w="3913"/>
            <w:tcBorders>
              <w:top w:val="single" w:color="1B5E20" w:sz="10"/>
              <w:left w:val="single" w:color="CFD8DC" w:sz="1"/>
              <w:bottom w:val="single" w:color="CFD8DC" w:sz="1"/>
              <w:right w:val="single" w:color="1B5E20" w:sz="10"/>
            </w:tcBorders>
            <w:shd w:fill="FFFFFF" w:val="clear"/>
            <w:tcMar>
              <w:top w:type="dxa" w:w="80"/>
              <w:left w:type="dxa" w:w="160"/>
              <w:bottom w:type="dxa" w:w="80"/>
              <w:right w:type="dxa" w:w="120"/>
            </w:tcMar>
          </w:tcPr>
          <w:p>
            <w:pPr>
              <w:spacing w:before="0" w:after="30"/>
            </w:pPr>
            <w:r>
              <w:rPr>
                <w:rFonts w:ascii="Calibri" w:cs="Calibri" w:eastAsia="Calibri" w:hAnsi="Calibri"/>
                <w:b/>
                <w:bCs/>
                <w:color w:val="B71C1C"/>
                <w:sz w:val="19"/>
                <w:szCs w:val="19"/>
              </w:rPr>
              <w:t xml:space="preserve">❌ Schwächen</w:t>
            </w:r>
          </w:p>
          <w:p>
            <w:pPr>
              <w:pStyle w:val="ListParagraph"/>
              <w:numPr>
                <w:ilvl w:val="0"/>
                <w:numId w:val="12"/>
              </w:numPr>
              <w:spacing w:before="0" w:after="20"/>
            </w:pPr>
            <w:r>
              <w:rPr>
                <w:rFonts w:ascii="Calibri" w:cs="Calibri" w:eastAsia="Calibri" w:hAnsi="Calibri"/>
                <w:color w:val="212121"/>
                <w:sz w:val="18"/>
                <w:szCs w:val="18"/>
              </w:rPr>
              <w:t xml:space="preserve">Kein Flare Network / Flare DeFi Support</w:t>
            </w:r>
          </w:p>
          <w:p>
            <w:pPr>
              <w:pStyle w:val="ListParagraph"/>
              <w:numPr>
                <w:ilvl w:val="0"/>
                <w:numId w:val="12"/>
              </w:numPr>
              <w:spacing w:before="0" w:after="20"/>
            </w:pPr>
            <w:r>
              <w:rPr>
                <w:rFonts w:ascii="Calibri" w:cs="Calibri" w:eastAsia="Calibri" w:hAnsi="Calibri"/>
                <w:color w:val="212121"/>
                <w:sz w:val="18"/>
                <w:szCs w:val="18"/>
              </w:rPr>
              <w:t xml:space="preserve">UI primär für aktive Trader – für reine HODLer überkomplex</w:t>
            </w:r>
          </w:p>
          <w:p>
            <w:pPr>
              <w:pStyle w:val="ListParagraph"/>
              <w:numPr>
                <w:ilvl w:val="0"/>
                <w:numId w:val="12"/>
              </w:numPr>
              <w:spacing w:before="0" w:after="20"/>
            </w:pPr>
            <w:r>
              <w:rPr>
                <w:rFonts w:ascii="Calibri" w:cs="Calibri" w:eastAsia="Calibri" w:hAnsi="Calibri"/>
                <w:color w:val="212121"/>
                <w:sz w:val="18"/>
                <w:szCs w:val="18"/>
              </w:rPr>
              <w:t xml:space="preserve">Preismodell: Pro Steuerjahr bezahlen – teuer bei mehreren Jahren</w:t>
            </w:r>
          </w:p>
          <w:p>
            <w:pPr>
              <w:pStyle w:val="ListParagraph"/>
              <w:numPr>
                <w:ilvl w:val="0"/>
                <w:numId w:val="12"/>
              </w:numPr>
              <w:spacing w:before="0" w:after="20"/>
            </w:pPr>
            <w:r>
              <w:rPr>
                <w:rFonts w:ascii="Calibri" w:cs="Calibri" w:eastAsia="Calibri" w:hAnsi="Calibri"/>
                <w:color w:val="212121"/>
                <w:sz w:val="18"/>
                <w:szCs w:val="18"/>
              </w:rPr>
              <w:t xml:space="preserve">LP-Graubereich: Keine Dual-Szenario-Berechnung</w:t>
            </w:r>
          </w:p>
          <w:p>
            <w:pPr>
              <w:pStyle w:val="ListParagraph"/>
              <w:numPr>
                <w:ilvl w:val="0"/>
                <w:numId w:val="12"/>
              </w:numPr>
              <w:spacing w:before="0" w:after="20"/>
            </w:pPr>
            <w:r>
              <w:rPr>
                <w:rFonts w:ascii="Calibri" w:cs="Calibri" w:eastAsia="Calibri" w:hAnsi="Calibri"/>
                <w:color w:val="212121"/>
                <w:sz w:val="18"/>
                <w:szCs w:val="18"/>
              </w:rPr>
              <w:t xml:space="preserve">Begrenztes B2B-Steuerberater-Portal vs. CoinTracking</w:t>
            </w:r>
          </w:p>
          <w:p>
            <w:pPr>
              <w:pStyle w:val="ListParagraph"/>
              <w:numPr>
                <w:ilvl w:val="0"/>
                <w:numId w:val="12"/>
              </w:numPr>
              <w:spacing w:before="0" w:after="20"/>
            </w:pPr>
            <w:r>
              <w:rPr>
                <w:rFonts w:ascii="Calibri" w:cs="Calibri" w:eastAsia="Calibri" w:hAnsi="Calibri"/>
                <w:color w:val="212121"/>
                <w:sz w:val="18"/>
                <w:szCs w:val="18"/>
              </w:rPr>
              <w:t xml:space="preserve">Exotische Layer-2-Chains / neue DeFi-Protokolle kaum unterstützt</w:t>
            </w:r>
          </w:p>
          <w:p>
            <w:pPr>
              <w:pStyle w:val="ListParagraph"/>
              <w:numPr>
                <w:ilvl w:val="0"/>
                <w:numId w:val="12"/>
              </w:numPr>
              <w:spacing w:before="0" w:after="20"/>
            </w:pPr>
            <w:r>
              <w:rPr>
                <w:rFonts w:ascii="Calibri" w:cs="Calibri" w:eastAsia="Calibri" w:hAnsi="Calibri"/>
                <w:color w:val="212121"/>
                <w:sz w:val="18"/>
                <w:szCs w:val="18"/>
              </w:rPr>
              <w:t xml:space="preserve">Kein REST API für externe Entwickler</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W2.3 Koinly – Globaler Allrounder</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913"/>
        <w:gridCol w:w="3913"/>
      </w:tblGrid>
      <w:tr>
        <w:tc>
          <w:tcPr>
            <w:tcW w:type="dxa" w:w="1200"/>
            <w:tcBorders>
              <w:top w:val="single" w:color="E65100" w:sz="10"/>
              <w:left w:val="single" w:color="E65100" w:sz="10"/>
              <w:bottom w:val="single" w:color="CFD8DC" w:sz="1"/>
              <w:right w:val="single" w:color="CFD8DC" w:sz="1"/>
            </w:tcBorders>
            <w:shd w:fill="FFF8E1" w:val="clear"/>
            <w:tcMar>
              <w:top w:type="dxa" w:w="80"/>
              <w:left w:type="dxa" w:w="140"/>
              <w:bottom w:type="dxa" w:w="80"/>
              <w:right w:type="dxa" w:w="80"/>
            </w:tcMar>
            <w:vAlign w:val="center"/>
          </w:tcPr>
          <w:p>
            <w:pPr>
              <w:jc w:val="center"/>
            </w:pPr>
            <w:r>
              <w:rPr>
                <w:rFonts w:ascii="Calibri" w:cs="Calibri" w:eastAsia="Calibri" w:hAnsi="Calibri"/>
                <w:b/>
                <w:bCs/>
                <w:color w:val="E65100"/>
                <w:sz w:val="22"/>
                <w:szCs w:val="22"/>
              </w:rPr>
              <w:t xml:space="preserve">Koinly</w:t>
            </w:r>
          </w:p>
          <w:p>
            <w:pPr>
              <w:jc w:val="center"/>
            </w:pPr>
            <w:r>
              <w:rPr>
                <w:rFonts w:ascii="Calibri" w:cs="Calibri" w:eastAsia="Calibri" w:hAnsi="Calibri"/>
                <w:color w:val="546E7A"/>
                <w:sz w:val="17"/>
                <w:szCs w:val="17"/>
              </w:rPr>
              <w:t xml:space="preserve">Gegr. 2019</w:t>
            </w:r>
          </w:p>
          <w:p>
            <w:pPr>
              <w:jc w:val="center"/>
            </w:pPr>
            <w:r>
              <w:rPr>
                <w:rFonts w:ascii="Calibri" w:cs="Calibri" w:eastAsia="Calibri" w:hAnsi="Calibri"/>
                <w:color w:val="546E7A"/>
                <w:sz w:val="17"/>
                <w:szCs w:val="17"/>
              </w:rPr>
              <w:t xml:space="preserve">London / Global</w:t>
            </w:r>
          </w:p>
          <w:p>
            <w:pPr>
              <w:jc w:val="center"/>
            </w:pPr>
            <w:r>
              <w:rPr>
                <w:rFonts w:ascii="Calibri" w:cs="Calibri" w:eastAsia="Calibri" w:hAnsi="Calibri"/>
                <w:b/>
                <w:bCs/>
                <w:color w:val="E65100"/>
                <w:sz w:val="18"/>
                <w:szCs w:val="18"/>
              </w:rPr>
              <w:t xml:space="preserve">300.000+ Nutzer</w:t>
            </w:r>
          </w:p>
        </w:tc>
        <w:tc>
          <w:tcPr>
            <w:tcW w:type="dxa" w:w="3913"/>
            <w:tcBorders>
              <w:top w:val="single" w:color="E65100" w:sz="10"/>
              <w:left w:val="single" w:color="CFD8DC" w:sz="1"/>
              <w:bottom w:val="single" w:color="CFD8DC" w:sz="1"/>
              <w:right w:val="single" w:color="CFD8DC" w:sz="1"/>
            </w:tcBorders>
            <w:shd w:fill="FFFFFF" w:val="clear"/>
            <w:tcMar>
              <w:top w:type="dxa" w:w="80"/>
              <w:left w:type="dxa" w:w="160"/>
              <w:bottom w:type="dxa" w:w="80"/>
              <w:right w:type="dxa" w:w="100"/>
            </w:tcMar>
          </w:tcPr>
          <w:p>
            <w:pPr>
              <w:spacing w:before="0" w:after="30"/>
            </w:pPr>
            <w:r>
              <w:rPr>
                <w:rFonts w:ascii="Calibri" w:cs="Calibri" w:eastAsia="Calibri" w:hAnsi="Calibri"/>
                <w:b/>
                <w:bCs/>
                <w:color w:val="1B5E20"/>
                <w:sz w:val="19"/>
                <w:szCs w:val="19"/>
              </w:rPr>
              <w:t xml:space="preserve">✅ Stärken</w:t>
            </w:r>
          </w:p>
          <w:p>
            <w:pPr>
              <w:pStyle w:val="ListParagraph"/>
              <w:numPr>
                <w:ilvl w:val="0"/>
                <w:numId w:val="12"/>
              </w:numPr>
              <w:spacing w:before="0" w:after="20"/>
            </w:pPr>
            <w:r>
              <w:rPr>
                <w:rFonts w:ascii="Calibri" w:cs="Calibri" w:eastAsia="Calibri" w:hAnsi="Calibri"/>
                <w:color w:val="212121"/>
                <w:sz w:val="18"/>
                <w:szCs w:val="18"/>
              </w:rPr>
              <w:t xml:space="preserve">800+ Börsen, Wallets und Blockchains integriert – größte Abdeckung</w:t>
            </w:r>
          </w:p>
          <w:p>
            <w:pPr>
              <w:pStyle w:val="ListParagraph"/>
              <w:numPr>
                <w:ilvl w:val="0"/>
                <w:numId w:val="12"/>
              </w:numPr>
              <w:spacing w:before="0" w:after="20"/>
            </w:pPr>
            <w:r>
              <w:rPr>
                <w:rFonts w:ascii="Calibri" w:cs="Calibri" w:eastAsia="Calibri" w:hAnsi="Calibri"/>
                <w:color w:val="212121"/>
                <w:sz w:val="18"/>
                <w:szCs w:val="18"/>
              </w:rPr>
              <w:t xml:space="preserve">Intuitive UX – deutschsprachige Oberfläche vorhanden</w:t>
            </w:r>
          </w:p>
          <w:p>
            <w:pPr>
              <w:pStyle w:val="ListParagraph"/>
              <w:numPr>
                <w:ilvl w:val="0"/>
                <w:numId w:val="12"/>
              </w:numPr>
              <w:spacing w:before="0" w:after="20"/>
            </w:pPr>
            <w:r>
              <w:rPr>
                <w:rFonts w:ascii="Calibri" w:cs="Calibri" w:eastAsia="Calibri" w:hAnsi="Calibri"/>
                <w:color w:val="212121"/>
                <w:sz w:val="18"/>
                <w:szCs w:val="18"/>
              </w:rPr>
              <w:t xml:space="preserve">Steuervorschau vor Kauf sichtbar (einzigartiges UX-Feature)</w:t>
            </w:r>
          </w:p>
          <w:p>
            <w:pPr>
              <w:pStyle w:val="ListParagraph"/>
              <w:numPr>
                <w:ilvl w:val="0"/>
                <w:numId w:val="12"/>
              </w:numPr>
              <w:spacing w:before="0" w:after="20"/>
            </w:pPr>
            <w:r>
              <w:rPr>
                <w:rFonts w:ascii="Calibri" w:cs="Calibri" w:eastAsia="Calibri" w:hAnsi="Calibri"/>
                <w:color w:val="212121"/>
                <w:sz w:val="18"/>
                <w:szCs w:val="18"/>
              </w:rPr>
              <w:t xml:space="preserve">Breite DeFi-Erkennung: Uniswap, Aave, Compound, Curve etc.</w:t>
            </w:r>
          </w:p>
          <w:p>
            <w:pPr>
              <w:pStyle w:val="ListParagraph"/>
              <w:numPr>
                <w:ilvl w:val="0"/>
                <w:numId w:val="12"/>
              </w:numPr>
              <w:spacing w:before="0" w:after="20"/>
            </w:pPr>
            <w:r>
              <w:rPr>
                <w:rFonts w:ascii="Calibri" w:cs="Calibri" w:eastAsia="Calibri" w:hAnsi="Calibri"/>
                <w:color w:val="212121"/>
                <w:sz w:val="18"/>
                <w:szCs w:val="18"/>
              </w:rPr>
              <w:t xml:space="preserve">FIFO/LIFO/HIFO wählbar</w:t>
            </w:r>
          </w:p>
          <w:p>
            <w:pPr>
              <w:pStyle w:val="ListParagraph"/>
              <w:numPr>
                <w:ilvl w:val="0"/>
                <w:numId w:val="12"/>
              </w:numPr>
              <w:spacing w:before="0" w:after="20"/>
            </w:pPr>
            <w:r>
              <w:rPr>
                <w:rFonts w:ascii="Calibri" w:cs="Calibri" w:eastAsia="Calibri" w:hAnsi="Calibri"/>
                <w:color w:val="212121"/>
                <w:sz w:val="18"/>
                <w:szCs w:val="18"/>
              </w:rPr>
              <w:t xml:space="preserve">App verfügbar (iOS + Android)</w:t>
            </w:r>
          </w:p>
          <w:p>
            <w:pPr>
              <w:pStyle w:val="ListParagraph"/>
              <w:numPr>
                <w:ilvl w:val="0"/>
                <w:numId w:val="12"/>
              </w:numPr>
              <w:spacing w:before="0" w:after="20"/>
            </w:pPr>
            <w:r>
              <w:rPr>
                <w:rFonts w:ascii="Calibri" w:cs="Calibri" w:eastAsia="Calibri" w:hAnsi="Calibri"/>
                <w:color w:val="212121"/>
                <w:sz w:val="18"/>
                <w:szCs w:val="18"/>
              </w:rPr>
              <w:t xml:space="preserve">Sehr günstige Einstiegspreise ($49/Jahr)</w:t>
            </w:r>
          </w:p>
        </w:tc>
        <w:tc>
          <w:tcPr>
            <w:tcW w:type="dxa" w:w="3913"/>
            <w:tcBorders>
              <w:top w:val="single" w:color="E65100" w:sz="10"/>
              <w:left w:val="single" w:color="CFD8DC" w:sz="1"/>
              <w:bottom w:val="single" w:color="CFD8DC" w:sz="1"/>
              <w:right w:val="single" w:color="E65100" w:sz="10"/>
            </w:tcBorders>
            <w:shd w:fill="FFFFFF" w:val="clear"/>
            <w:tcMar>
              <w:top w:type="dxa" w:w="80"/>
              <w:left w:type="dxa" w:w="160"/>
              <w:bottom w:type="dxa" w:w="80"/>
              <w:right w:type="dxa" w:w="120"/>
            </w:tcMar>
          </w:tcPr>
          <w:p>
            <w:pPr>
              <w:spacing w:before="0" w:after="30"/>
            </w:pPr>
            <w:r>
              <w:rPr>
                <w:rFonts w:ascii="Calibri" w:cs="Calibri" w:eastAsia="Calibri" w:hAnsi="Calibri"/>
                <w:b/>
                <w:bCs/>
                <w:color w:val="B71C1C"/>
                <w:sz w:val="19"/>
                <w:szCs w:val="19"/>
              </w:rPr>
              <w:t xml:space="preserve">❌ Schwächen</w:t>
            </w:r>
          </w:p>
          <w:p>
            <w:pPr>
              <w:pStyle w:val="ListParagraph"/>
              <w:numPr>
                <w:ilvl w:val="0"/>
                <w:numId w:val="12"/>
              </w:numPr>
              <w:spacing w:before="0" w:after="20"/>
            </w:pPr>
            <w:r>
              <w:rPr>
                <w:rFonts w:ascii="Calibri" w:cs="Calibri" w:eastAsia="Calibri" w:hAnsi="Calibri"/>
                <w:color w:val="212121"/>
                <w:sz w:val="18"/>
                <w:szCs w:val="18"/>
              </w:rPr>
              <w:t xml:space="preserve">Keine spezifischen deutschen Steuerformulare (nur generisches CSV)</w:t>
            </w:r>
          </w:p>
          <w:p>
            <w:pPr>
              <w:pStyle w:val="ListParagraph"/>
              <w:numPr>
                <w:ilvl w:val="0"/>
                <w:numId w:val="12"/>
              </w:numPr>
              <w:spacing w:before="0" w:after="20"/>
            </w:pPr>
            <w:r>
              <w:rPr>
                <w:rFonts w:ascii="Calibri" w:cs="Calibri" w:eastAsia="Calibri" w:hAnsi="Calibri"/>
                <w:color w:val="212121"/>
                <w:sz w:val="18"/>
                <w:szCs w:val="18"/>
              </w:rPr>
              <w:t xml:space="preserve">Keine automatische Anlage SO – manuelle Übertragung nötig</w:t>
            </w:r>
          </w:p>
          <w:p>
            <w:pPr>
              <w:pStyle w:val="ListParagraph"/>
              <w:numPr>
                <w:ilvl w:val="0"/>
                <w:numId w:val="12"/>
              </w:numPr>
              <w:spacing w:before="0" w:after="20"/>
            </w:pPr>
            <w:r>
              <w:rPr>
                <w:rFonts w:ascii="Calibri" w:cs="Calibri" w:eastAsia="Calibri" w:hAnsi="Calibri"/>
                <w:color w:val="212121"/>
                <w:sz w:val="18"/>
                <w:szCs w:val="18"/>
              </w:rPr>
              <w:t xml:space="preserve">Keine tiefgreifende BMF-2025-Konformität</w:t>
            </w:r>
          </w:p>
          <w:p>
            <w:pPr>
              <w:pStyle w:val="ListParagraph"/>
              <w:numPr>
                <w:ilvl w:val="0"/>
                <w:numId w:val="12"/>
              </w:numPr>
              <w:spacing w:before="0" w:after="20"/>
            </w:pPr>
            <w:r>
              <w:rPr>
                <w:rFonts w:ascii="Calibri" w:cs="Calibri" w:eastAsia="Calibri" w:hAnsi="Calibri"/>
                <w:color w:val="212121"/>
                <w:sz w:val="18"/>
                <w:szCs w:val="18"/>
              </w:rPr>
              <w:t xml:space="preserve">Kein Flare Network Support</w:t>
            </w:r>
          </w:p>
          <w:p>
            <w:pPr>
              <w:pStyle w:val="ListParagraph"/>
              <w:numPr>
                <w:ilvl w:val="0"/>
                <w:numId w:val="12"/>
              </w:numPr>
              <w:spacing w:before="0" w:after="20"/>
            </w:pPr>
            <w:r>
              <w:rPr>
                <w:rFonts w:ascii="Calibri" w:cs="Calibri" w:eastAsia="Calibri" w:hAnsi="Calibri"/>
                <w:color w:val="212121"/>
                <w:sz w:val="18"/>
                <w:szCs w:val="18"/>
              </w:rPr>
              <w:t xml:space="preserve">Für mehrere Steuerjahre teuer (pro Jahr-Modell)</w:t>
            </w:r>
          </w:p>
          <w:p>
            <w:pPr>
              <w:pStyle w:val="ListParagraph"/>
              <w:numPr>
                <w:ilvl w:val="0"/>
                <w:numId w:val="12"/>
              </w:numPr>
              <w:spacing w:before="0" w:after="20"/>
            </w:pPr>
            <w:r>
              <w:rPr>
                <w:rFonts w:ascii="Calibri" w:cs="Calibri" w:eastAsia="Calibri" w:hAnsi="Calibri"/>
                <w:color w:val="212121"/>
                <w:sz w:val="18"/>
                <w:szCs w:val="18"/>
              </w:rPr>
              <w:t xml:space="preserve">Kein deutschsprachiger dedizierter Support</w:t>
            </w:r>
          </w:p>
          <w:p>
            <w:pPr>
              <w:pStyle w:val="ListParagraph"/>
              <w:numPr>
                <w:ilvl w:val="0"/>
                <w:numId w:val="12"/>
              </w:numPr>
              <w:spacing w:before="0" w:after="20"/>
            </w:pPr>
            <w:r>
              <w:rPr>
                <w:rFonts w:ascii="Calibri" w:cs="Calibri" w:eastAsia="Calibri" w:hAnsi="Calibri"/>
                <w:color w:val="212121"/>
                <w:sz w:val="18"/>
                <w:szCs w:val="18"/>
              </w:rPr>
              <w:t xml:space="preserve">DACH-Steuerberater-Netzwerk fehlt völlig</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W2.4 Divly – Deutscher Newcomer mit DE-Expertise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913"/>
        <w:gridCol w:w="3913"/>
      </w:tblGrid>
      <w:tr>
        <w:tc>
          <w:tcPr>
            <w:tcW w:type="dxa" w:w="1200"/>
            <w:tcBorders>
              <w:top w:val="single" w:color="004D40" w:sz="10"/>
              <w:left w:val="single" w:color="004D40" w:sz="10"/>
              <w:bottom w:val="single" w:color="CFD8DC" w:sz="1"/>
              <w:right w:val="single" w:color="CFD8DC" w:sz="1"/>
            </w:tcBorders>
            <w:shd w:fill="E0F2F1" w:val="clear"/>
            <w:tcMar>
              <w:top w:type="dxa" w:w="80"/>
              <w:left w:type="dxa" w:w="140"/>
              <w:bottom w:type="dxa" w:w="80"/>
              <w:right w:type="dxa" w:w="80"/>
            </w:tcMar>
            <w:vAlign w:val="center"/>
          </w:tcPr>
          <w:p>
            <w:pPr>
              <w:jc w:val="center"/>
            </w:pPr>
            <w:r>
              <w:rPr>
                <w:rFonts w:ascii="Calibri" w:cs="Calibri" w:eastAsia="Calibri" w:hAnsi="Calibri"/>
                <w:b/>
                <w:bCs/>
                <w:color w:val="004D40"/>
                <w:sz w:val="22"/>
                <w:szCs w:val="22"/>
              </w:rPr>
              <w:t xml:space="preserve">Divly</w:t>
            </w:r>
          </w:p>
          <w:p>
            <w:pPr>
              <w:jc w:val="center"/>
            </w:pPr>
            <w:r>
              <w:rPr>
                <w:rFonts w:ascii="Calibri" w:cs="Calibri" w:eastAsia="Calibri" w:hAnsi="Calibri"/>
                <w:color w:val="546E7A"/>
                <w:sz w:val="17"/>
                <w:szCs w:val="17"/>
              </w:rPr>
              <w:t xml:space="preserve">Gegr. 2021</w:t>
            </w:r>
          </w:p>
          <w:p>
            <w:pPr>
              <w:jc w:val="center"/>
            </w:pPr>
            <w:r>
              <w:rPr>
                <w:rFonts w:ascii="Calibri" w:cs="Calibri" w:eastAsia="Calibri" w:hAnsi="Calibri"/>
                <w:color w:val="546E7A"/>
                <w:sz w:val="17"/>
                <w:szCs w:val="17"/>
              </w:rPr>
              <w:t xml:space="preserve">Stockholm / Berlin (DE-Fokus)</w:t>
            </w:r>
          </w:p>
          <w:p>
            <w:pPr>
              <w:jc w:val="center"/>
            </w:pPr>
            <w:r>
              <w:rPr>
                <w:rFonts w:ascii="Calibri" w:cs="Calibri" w:eastAsia="Calibri" w:hAnsi="Calibri"/>
                <w:b/>
                <w:bCs/>
                <w:color w:val="004D40"/>
                <w:sz w:val="18"/>
                <w:szCs w:val="18"/>
              </w:rPr>
              <w:t xml:space="preserve">~50.000 Nutzer (DE)</w:t>
            </w:r>
          </w:p>
        </w:tc>
        <w:tc>
          <w:tcPr>
            <w:tcW w:type="dxa" w:w="3913"/>
            <w:tcBorders>
              <w:top w:val="single" w:color="004D40" w:sz="10"/>
              <w:left w:val="single" w:color="CFD8DC" w:sz="1"/>
              <w:bottom w:val="single" w:color="CFD8DC" w:sz="1"/>
              <w:right w:val="single" w:color="CFD8DC" w:sz="1"/>
            </w:tcBorders>
            <w:shd w:fill="FFFFFF" w:val="clear"/>
            <w:tcMar>
              <w:top w:type="dxa" w:w="80"/>
              <w:left w:type="dxa" w:w="160"/>
              <w:bottom w:type="dxa" w:w="80"/>
              <w:right w:type="dxa" w:w="100"/>
            </w:tcMar>
          </w:tcPr>
          <w:p>
            <w:pPr>
              <w:spacing w:before="0" w:after="30"/>
            </w:pPr>
            <w:r>
              <w:rPr>
                <w:rFonts w:ascii="Calibri" w:cs="Calibri" w:eastAsia="Calibri" w:hAnsi="Calibri"/>
                <w:b/>
                <w:bCs/>
                <w:color w:val="1B5E20"/>
                <w:sz w:val="19"/>
                <w:szCs w:val="19"/>
              </w:rPr>
              <w:t xml:space="preserve">✅ Stärken</w:t>
            </w:r>
          </w:p>
          <w:p>
            <w:pPr>
              <w:pStyle w:val="ListParagraph"/>
              <w:numPr>
                <w:ilvl w:val="0"/>
                <w:numId w:val="12"/>
              </w:numPr>
              <w:spacing w:before="0" w:after="20"/>
            </w:pPr>
            <w:r>
              <w:rPr>
                <w:rFonts w:ascii="Calibri" w:cs="Calibri" w:eastAsia="Calibri" w:hAnsi="Calibri"/>
                <w:color w:val="212121"/>
                <w:sz w:val="18"/>
                <w:szCs w:val="18"/>
              </w:rPr>
              <w:t xml:space="preserve">Dedizierter Deutschland-Fokus mit menschlichem deutschen Support</w:t>
            </w:r>
          </w:p>
          <w:p>
            <w:pPr>
              <w:pStyle w:val="ListParagraph"/>
              <w:numPr>
                <w:ilvl w:val="0"/>
                <w:numId w:val="12"/>
              </w:numPr>
              <w:spacing w:before="0" w:after="20"/>
            </w:pPr>
            <w:r>
              <w:rPr>
                <w:rFonts w:ascii="Calibri" w:cs="Calibri" w:eastAsia="Calibri" w:hAnsi="Calibri"/>
                <w:color w:val="212121"/>
                <w:sz w:val="18"/>
                <w:szCs w:val="18"/>
              </w:rPr>
              <w:t xml:space="preserve">BMF-2025-konforme Reports – vollständig Anlage SO</w:t>
            </w:r>
          </w:p>
          <w:p>
            <w:pPr>
              <w:pStyle w:val="ListParagraph"/>
              <w:numPr>
                <w:ilvl w:val="0"/>
                <w:numId w:val="12"/>
              </w:numPr>
              <w:spacing w:before="0" w:after="20"/>
            </w:pPr>
            <w:r>
              <w:rPr>
                <w:rFonts w:ascii="Calibri" w:cs="Calibri" w:eastAsia="Calibri" w:hAnsi="Calibri"/>
                <w:color w:val="212121"/>
                <w:sz w:val="18"/>
                <w:szCs w:val="18"/>
              </w:rPr>
              <w:t xml:space="preserve">Moderne, einfache UX – niedrige Lernkurve</w:t>
            </w:r>
          </w:p>
          <w:p>
            <w:pPr>
              <w:pStyle w:val="ListParagraph"/>
              <w:numPr>
                <w:ilvl w:val="0"/>
                <w:numId w:val="12"/>
              </w:numPr>
              <w:spacing w:before="0" w:after="20"/>
            </w:pPr>
            <w:r>
              <w:rPr>
                <w:rFonts w:ascii="Calibri" w:cs="Calibri" w:eastAsia="Calibri" w:hAnsi="Calibri"/>
                <w:color w:val="212121"/>
                <w:sz w:val="18"/>
                <w:szCs w:val="18"/>
              </w:rPr>
              <w:t xml:space="preserve">Euro-Preismodell (kein US-Dollar) – DE-Markt-orientiert</w:t>
            </w:r>
          </w:p>
          <w:p>
            <w:pPr>
              <w:pStyle w:val="ListParagraph"/>
              <w:numPr>
                <w:ilvl w:val="0"/>
                <w:numId w:val="12"/>
              </w:numPr>
              <w:spacing w:before="0" w:after="20"/>
            </w:pPr>
            <w:r>
              <w:rPr>
                <w:rFonts w:ascii="Calibri" w:cs="Calibri" w:eastAsia="Calibri" w:hAnsi="Calibri"/>
                <w:color w:val="212121"/>
                <w:sz w:val="18"/>
                <w:szCs w:val="18"/>
              </w:rPr>
              <w:t xml:space="preserve">Fokus auf relevante DE-Börsen (Bitcoin.de, BISON, Bitpanda)</w:t>
            </w:r>
          </w:p>
          <w:p>
            <w:pPr>
              <w:pStyle w:val="ListParagraph"/>
              <w:numPr>
                <w:ilvl w:val="0"/>
                <w:numId w:val="12"/>
              </w:numPr>
              <w:spacing w:before="0" w:after="20"/>
            </w:pPr>
            <w:r>
              <w:rPr>
                <w:rFonts w:ascii="Calibri" w:cs="Calibri" w:eastAsia="Calibri" w:hAnsi="Calibri"/>
                <w:color w:val="212121"/>
                <w:sz w:val="18"/>
                <w:szCs w:val="18"/>
              </w:rPr>
              <w:t xml:space="preserve">Fairer Preis-Leistungs-Verhältnis</w:t>
            </w:r>
          </w:p>
        </w:tc>
        <w:tc>
          <w:tcPr>
            <w:tcW w:type="dxa" w:w="3913"/>
            <w:tcBorders>
              <w:top w:val="single" w:color="004D40" w:sz="10"/>
              <w:left w:val="single" w:color="CFD8DC" w:sz="1"/>
              <w:bottom w:val="single" w:color="CFD8DC" w:sz="1"/>
              <w:right w:val="single" w:color="004D40" w:sz="10"/>
            </w:tcBorders>
            <w:shd w:fill="FFFFFF" w:val="clear"/>
            <w:tcMar>
              <w:top w:type="dxa" w:w="80"/>
              <w:left w:type="dxa" w:w="160"/>
              <w:bottom w:type="dxa" w:w="80"/>
              <w:right w:type="dxa" w:w="120"/>
            </w:tcMar>
          </w:tcPr>
          <w:p>
            <w:pPr>
              <w:spacing w:before="0" w:after="30"/>
            </w:pPr>
            <w:r>
              <w:rPr>
                <w:rFonts w:ascii="Calibri" w:cs="Calibri" w:eastAsia="Calibri" w:hAnsi="Calibri"/>
                <w:b/>
                <w:bCs/>
                <w:color w:val="B71C1C"/>
                <w:sz w:val="19"/>
                <w:szCs w:val="19"/>
              </w:rPr>
              <w:t xml:space="preserve">❌ Schwächen</w:t>
            </w:r>
          </w:p>
          <w:p>
            <w:pPr>
              <w:pStyle w:val="ListParagraph"/>
              <w:numPr>
                <w:ilvl w:val="0"/>
                <w:numId w:val="12"/>
              </w:numPr>
              <w:spacing w:before="0" w:after="20"/>
            </w:pPr>
            <w:r>
              <w:rPr>
                <w:rFonts w:ascii="Calibri" w:cs="Calibri" w:eastAsia="Calibri" w:hAnsi="Calibri"/>
                <w:color w:val="212121"/>
                <w:sz w:val="18"/>
                <w:szCs w:val="18"/>
              </w:rPr>
              <w:t xml:space="preserve">Geringere Integrationsbreite als CoinTracking/Koinly</w:t>
            </w:r>
          </w:p>
          <w:p>
            <w:pPr>
              <w:pStyle w:val="ListParagraph"/>
              <w:numPr>
                <w:ilvl w:val="0"/>
                <w:numId w:val="12"/>
              </w:numPr>
              <w:spacing w:before="0" w:after="20"/>
            </w:pPr>
            <w:r>
              <w:rPr>
                <w:rFonts w:ascii="Calibri" w:cs="Calibri" w:eastAsia="Calibri" w:hAnsi="Calibri"/>
                <w:color w:val="212121"/>
                <w:sz w:val="18"/>
                <w:szCs w:val="18"/>
              </w:rPr>
              <w:t xml:space="preserve">Kein Flare Network / DeFi-Tiefe begrenzt</w:t>
            </w:r>
          </w:p>
          <w:p>
            <w:pPr>
              <w:pStyle w:val="ListParagraph"/>
              <w:numPr>
                <w:ilvl w:val="0"/>
                <w:numId w:val="12"/>
              </w:numPr>
              <w:spacing w:before="0" w:after="20"/>
            </w:pPr>
            <w:r>
              <w:rPr>
                <w:rFonts w:ascii="Calibri" w:cs="Calibri" w:eastAsia="Calibri" w:hAnsi="Calibri"/>
                <w:color w:val="212121"/>
                <w:sz w:val="18"/>
                <w:szCs w:val="18"/>
              </w:rPr>
              <w:t xml:space="preserve">Kleines Team – eingeschränkte Skalierbarkeit</w:t>
            </w:r>
          </w:p>
          <w:p>
            <w:pPr>
              <w:pStyle w:val="ListParagraph"/>
              <w:numPr>
                <w:ilvl w:val="0"/>
                <w:numId w:val="12"/>
              </w:numPr>
              <w:spacing w:before="0" w:after="20"/>
            </w:pPr>
            <w:r>
              <w:rPr>
                <w:rFonts w:ascii="Calibri" w:cs="Calibri" w:eastAsia="Calibri" w:hAnsi="Calibri"/>
                <w:color w:val="212121"/>
                <w:sz w:val="18"/>
                <w:szCs w:val="18"/>
              </w:rPr>
              <w:t xml:space="preserve">Kein B2B-Steuerberater-Portal</w:t>
            </w:r>
          </w:p>
          <w:p>
            <w:pPr>
              <w:pStyle w:val="ListParagraph"/>
              <w:numPr>
                <w:ilvl w:val="0"/>
                <w:numId w:val="12"/>
              </w:numPr>
              <w:spacing w:before="0" w:after="20"/>
            </w:pPr>
            <w:r>
              <w:rPr>
                <w:rFonts w:ascii="Calibri" w:cs="Calibri" w:eastAsia="Calibri" w:hAnsi="Calibri"/>
                <w:color w:val="212121"/>
                <w:sz w:val="18"/>
                <w:szCs w:val="18"/>
              </w:rPr>
              <w:t xml:space="preserve">Kein REST API</w:t>
            </w:r>
          </w:p>
          <w:p>
            <w:pPr>
              <w:pStyle w:val="ListParagraph"/>
              <w:numPr>
                <w:ilvl w:val="0"/>
                <w:numId w:val="12"/>
              </w:numPr>
              <w:spacing w:before="0" w:after="20"/>
            </w:pPr>
            <w:r>
              <w:rPr>
                <w:rFonts w:ascii="Calibri" w:cs="Calibri" w:eastAsia="Calibri" w:hAnsi="Calibri"/>
                <w:color w:val="212121"/>
                <w:sz w:val="18"/>
                <w:szCs w:val="18"/>
              </w:rPr>
              <w:t xml:space="preserve">LP/DeFi-Komplexfälle weniger gut abgedeckt</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W2.5 Accointing → integriert in Blockpit (2023)</w:t>
      </w:r>
    </w:p>
    <w:p>
      <w:pPr>
        <w:spacing w:before="60" w:after="0"/>
      </w:pPr>
      <w:r>
        <w:t xml:space="preserve"/>
      </w:r>
    </w:p>
    <w:p>
      <w:pPr>
        <w:spacing w:before="60" w:after="90"/>
      </w:pPr>
      <w:r>
        <w:rPr>
          <w:rFonts w:ascii="Calibri" w:cs="Calibri" w:eastAsia="Calibri" w:hAnsi="Calibri"/>
          <w:color w:val="212121"/>
          <w:sz w:val="21"/>
          <w:szCs w:val="21"/>
        </w:rPr>
        <w:t xml:space="preserve">Accointing wurde im November 2023 von Blockpit übernommen und als eigenständige Plattform eingestellt. Nutzer wurden auf Blockpit migriert. Accointing ist damit kein eigenständiger Wettbewerber mehr, seine DeFi-Tracking-Funktionalität ist jedoch in Blockpit eingeflossen.</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48C" w:sz="1"/>
              <w:left w:val="thick" w:color="4A148C" w:sz="18"/>
              <w:bottom w:val="single" w:color="4A148C" w:sz="1"/>
              <w:right w:val="single" w:color="4A148C" w:sz="1"/>
            </w:tcBorders>
            <w:shd w:fill="F3E5F5" w:val="clear"/>
            <w:tcMar>
              <w:top w:type="dxa" w:w="110"/>
              <w:left w:type="dxa" w:w="200"/>
              <w:bottom w:type="dxa" w:w="110"/>
              <w:right w:type="dxa" w:w="140"/>
            </w:tcMar>
          </w:tcPr>
          <w:p>
            <w:pPr>
              <w:spacing w:before="0" w:after="40"/>
            </w:pPr>
            <w:r>
              <w:rPr>
                <w:rFonts w:ascii="Calibri" w:cs="Calibri" w:eastAsia="Calibri" w:hAnsi="Calibri"/>
                <w:b/>
                <w:bCs/>
                <w:color w:val="4A148C"/>
                <w:sz w:val="21"/>
                <w:szCs w:val="21"/>
              </w:rPr>
              <w:t xml:space="preserve">Relevanz für unsere Strategie</w:t>
            </w:r>
          </w:p>
          <w:p>
            <w:pPr>
              <w:spacing w:before="0" w:after="0"/>
            </w:pPr>
            <w:r>
              <w:rPr>
                <w:rFonts w:ascii="Calibri" w:cs="Calibri" w:eastAsia="Calibri" w:hAnsi="Calibri"/>
                <w:color w:val="212121"/>
                <w:sz w:val="20"/>
                <w:szCs w:val="20"/>
              </w:rPr>
              <w:t xml:space="preserve">Die Blockpit/Accointing-Konsolidierung zeigt eine Marktreifung: Der Markt konsolidiert sich um wenige starke Player. Dies spricht für eine Nischenstrategie (Flare DeFi) statt Breitband-Konkurrenz mit den etablierten Tools. Die Differenzierungsstrategie 'Tiefspezialisierung vor Breitenabdeckung' ist der richtige Ansatz für den MVP.</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W2.6 Weitere internationale Wettbewerber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1400"/>
        <w:gridCol w:w="1300"/>
        <w:gridCol w:w="1926"/>
      </w:tblGrid>
      <w:tr>
        <w:trPr>
          <w:tblHeader/>
        </w:trPr>
        <w:tc>
          <w:tcPr>
            <w:tcW w:type="dxa" w:w="1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Tool</w:t>
            </w:r>
          </w:p>
        </w:tc>
        <w:tc>
          <w:tcPr>
            <w:tcW w:type="dxa" w:w="1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Herkunft</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Stärke</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DE-Support</w:t>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DeFi-Tiefe</w:t>
            </w:r>
          </w:p>
        </w:tc>
        <w:tc>
          <w:tcPr>
            <w:tcW w:type="dxa" w:w="19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Bedrohung für uns</w:t>
            </w:r>
          </w:p>
        </w:tc>
      </w:tr>
      <w:tr>
        <w:tc>
          <w:tcPr>
            <w:tcW w:type="dxa" w:w="17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TaxBit</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USA (2018)</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Enterprise-Compliance, SOC2-zertifiziert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schwach</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 (ETH-DeFi)</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Gering</w:t>
            </w:r>
          </w:p>
        </w:tc>
      </w:tr>
      <w:tr>
        <w:tc>
          <w:tcPr>
            <w:tcW w:type="dxa" w:w="17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Rotki</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Open Source (DE)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Privacy-first, Self-hosted</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Gut (BMF-konform)</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Gut (DeFi-nativ)</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Mittel (OSS-Konkurrenz)</w:t>
            </w:r>
          </w:p>
        </w:tc>
      </w:tr>
      <w:tr>
        <w:tc>
          <w:tcPr>
            <w:tcW w:type="dxa" w:w="17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CoinLedger</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USA (2018)</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US-Markt, einfache UX</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schwach (kein DE-Formular)</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Gering</w:t>
            </w:r>
          </w:p>
        </w:tc>
      </w:tr>
      <w:tr>
        <w:tc>
          <w:tcPr>
            <w:tcW w:type="dxa" w:w="17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ZenLedger</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USA (2017)</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Institutionelle Nutzer, Enterprise</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Nicht vorhanden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Gering</w:t>
            </w:r>
          </w:p>
        </w:tc>
      </w:tr>
      <w:tr>
        <w:tc>
          <w:tcPr>
            <w:tcW w:type="dxa" w:w="17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Waltio</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Frankreich</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Französischer Markt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Nicht vorhanden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Gering</w:t>
            </w:r>
          </w:p>
        </w:tc>
      </w:tr>
      <w:tr>
        <w:tc>
          <w:tcPr>
            <w:tcW w:type="dxa" w:w="17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Coinfox</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München (2023, CoinTracking)</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Einstiegslösung – vereinfacht CT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gut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Gering</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Gering (anderes Segment)</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W3. Detaillierter Preisvergleich</w:t>
      </w:r>
    </w:p>
    <w:p>
      <w:pPr>
        <w:spacing w:before="60" w:after="90"/>
      </w:pPr>
      <w:r>
        <w:rPr>
          <w:rFonts w:ascii="Calibri" w:cs="Calibri" w:eastAsia="Calibri" w:hAnsi="Calibri"/>
          <w:color w:val="212121"/>
          <w:sz w:val="21"/>
          <w:szCs w:val="21"/>
        </w:rPr>
        <w:t xml:space="preserve">Krypto-Steuersoftware wird in Deutschland typischerweise nach Transaktionsvolumen pro Steuerjahr abgerechnet. Der folgende Vergleich zeigt die 2026-Preise aller relevanten Wettbewerber im Direktvergleich.</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300"/>
        <w:gridCol w:w="1100"/>
        <w:gridCol w:w="1626"/>
      </w:tblGrid>
      <w:tr>
        <w:trPr>
          <w:tblHeader/>
        </w:trPr>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Tarif-Ebene</w:t>
            </w:r>
          </w:p>
        </w:tc>
        <w:tc>
          <w:tcPr>
            <w:tcW w:type="dxa" w:w="1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CoinTracking</w:t>
            </w:r>
          </w:p>
        </w:tc>
        <w:tc>
          <w:tcPr>
            <w:tcW w:type="dxa" w:w="1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Blockpit</w:t>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Koinly</w:t>
            </w:r>
          </w:p>
        </w:tc>
        <w:tc>
          <w:tcPr>
            <w:tcW w:type="dxa" w:w="11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Divly</w:t>
            </w:r>
          </w:p>
        </w:tc>
        <w:tc>
          <w:tcPr>
            <w:tcW w:type="dxa" w:w="16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Unser Tool (Ziel)</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Free-Tier</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Bis 200 TX, kein Steuerreport</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Unbegrenzt Tracking, kein Report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Portfolio-Preview, kein Export</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Begrenzte Features</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Bis 50 TX, Preview-Modus</w:t>
            </w:r>
          </w:p>
        </w:tc>
      </w:tr>
      <w:tr>
        <w:tc>
          <w:tcPr>
            <w:tcW w:type="dxa" w:w="20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Einstieg (Starter)</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€ 39/Jahr (Starter, 200 TX)</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€ 49/Steuerjahr (bis 25k TX)</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$49/Steuerjahr (bis 100 TX)</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€ 29/Steuerjahr</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€ 9,99/Monat (200 TX)</w:t>
            </w:r>
          </w:p>
        </w:tc>
      </w:tr>
      <w:tr>
        <w:tc>
          <w:tcPr>
            <w:tcW w:type="dxa" w:w="20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Mid-Range (Pro)</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€ 96/Jahr (3.500 TX)</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€ 149/Jahr (bis 50k TX)</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$99/Steuerjahr (500 TX)</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€ 49/Steuerjahr</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€ 29,99/Monat (2.000 TX)</w:t>
            </w:r>
          </w:p>
        </w:tc>
      </w:tr>
      <w:tr>
        <w:tc>
          <w:tcPr>
            <w:tcW w:type="dxa" w:w="20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Advanced (Business)</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€ 156/Jahr (100k TX)</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€ 299/Jahr (bis 100k TX)</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$199/Steuerjahr (3k TX)</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€ 99/Steuerjahr</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€ 79,99/Monat (unbegrenzt)</w:t>
            </w:r>
          </w:p>
        </w:tc>
      </w:tr>
      <w:tr>
        <w:tc>
          <w:tcPr>
            <w:tcW w:type="dxa" w:w="20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Enterprise / Unlimited</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€ 719/Jahr (unbegrenzt)</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€ 599/Jahr (unbegrenzt)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$279/Steuerjahr (15k TX)</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Individuell</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€ 299,99/Monat (Kanzlei B2B)</w:t>
            </w:r>
          </w:p>
        </w:tc>
      </w:tr>
      <w:tr>
        <w:tc>
          <w:tcPr>
            <w:tcW w:type="dxa" w:w="20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Lifetime-Lizenz</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€ 109 – € 5.599 (einmalig)</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Nicht verfügbar</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Nicht verfügbar</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Nicht verfügbar</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Geplant (Phase 4)</w:t>
            </w:r>
          </w:p>
        </w:tc>
      </w:tr>
      <w:tr>
        <w:tc>
          <w:tcPr>
            <w:tcW w:type="dxa" w:w="20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B2B / Kanzlei</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Vorhanden (25k+ Berater-Netz)</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Vorhanden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Begrenzt</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Nicht vorhanden</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€ 299,99/Monat – Phase 4</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
              <w:left w:val="thick" w:color="0D47A1" w:sz="18"/>
              <w:bottom w:val="single" w:color="0D47A1" w:sz="1"/>
              <w:right w:val="single" w:color="0D47A1" w:sz="1"/>
            </w:tcBorders>
            <w:shd w:fill="E3F2FD" w:val="clear"/>
            <w:tcMar>
              <w:top w:type="dxa" w:w="110"/>
              <w:left w:type="dxa" w:w="200"/>
              <w:bottom w:type="dxa" w:w="110"/>
              <w:right w:type="dxa" w:w="140"/>
            </w:tcMar>
          </w:tcPr>
          <w:p>
            <w:pPr>
              <w:spacing w:before="0" w:after="40"/>
            </w:pPr>
            <w:r>
              <w:rPr>
                <w:rFonts w:ascii="Calibri" w:cs="Calibri" w:eastAsia="Calibri" w:hAnsi="Calibri"/>
                <w:b/>
                <w:bCs/>
                <w:color w:val="0D47A1"/>
                <w:sz w:val="21"/>
                <w:szCs w:val="21"/>
              </w:rPr>
              <w:t xml:space="preserve">Preis-Positionierungsstrategie</w:t>
            </w:r>
          </w:p>
          <w:p>
            <w:pPr>
              <w:spacing w:before="0" w:after="0"/>
            </w:pPr>
            <w:r>
              <w:rPr>
                <w:rFonts w:ascii="Calibri" w:cs="Calibri" w:eastAsia="Calibri" w:hAnsi="Calibri"/>
                <w:color w:val="212121"/>
                <w:sz w:val="20"/>
                <w:szCs w:val="20"/>
              </w:rPr>
              <w:t xml:space="preserve">Unser Tool positioniert sich im Preis bewusst UNTERHALB von CoinTracking und Blockpit im Starter/Pro-Segment. Der monatliche Abo-Preis ist niedriger als die Jahrespreise der Konkurrenz, bietet aber mehr Flare-DeFi-Tiefe. Das Alleinstellungsmerkmal rechtfertigt einen leichten Premium-Aufschlag im Business-Segment. Die Lifetime-Lizenz (Phase 4) ist ein starkes Differenzierungsmerkmal – CoinTracking hat damit früh Markenloyalität aufgebaut.</w:t>
            </w:r>
          </w:p>
        </w:tc>
      </w:tr>
    </w:tbl>
    <w:p>
      <w:pPr>
        <w:spacing w:before="160" w:after="0"/>
      </w:pPr>
      <w:r>
        <w:t xml:space="preserve"/>
      </w:r>
    </w:p>
    <w:p>
      <w:pPr>
        <w:pStyle w:val="Heading1"/>
        <w:pBdr>
          <w:bottom w:val="single" w:color="0D47A1" w:sz="4" w:space="6"/>
        </w:pBdr>
        <w:spacing w:before="360" w:after="160"/>
      </w:pPr>
      <w:r>
        <w:rPr>
          <w:rFonts w:ascii="Calibri" w:cs="Calibri" w:eastAsia="Calibri" w:hAnsi="Calibri"/>
          <w:b/>
          <w:bCs/>
          <w:color w:val="0D47A1"/>
          <w:sz w:val="36"/>
          <w:szCs w:val="36"/>
        </w:rPr>
        <w:t xml:space="preserve">W4. SWOT-Analyse – DeFi Tracker SaaS (NextGen IT Solutions GmbH)</w:t>
      </w:r>
    </w:p>
    <w:p>
      <w:pPr>
        <w:spacing w:before="60" w:after="90"/>
      </w:pPr>
      <w:r>
        <w:rPr>
          <w:rFonts w:ascii="Calibri" w:cs="Calibri" w:eastAsia="Calibri" w:hAnsi="Calibri"/>
          <w:color w:val="212121"/>
          <w:sz w:val="21"/>
          <w:szCs w:val="21"/>
        </w:rPr>
        <w:t xml:space="preserve">Die SWOT-Analyse bewertet unsere eigene strategische Position im Wettbewerbsumfeld. Sie bildet die Grundlage für die Go-to-Market-Strategie und die Priorisierung von Produktentscheidungen.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FD8DC" w:sz="1"/>
              <w:left w:val="single" w:color="CFD8DC" w:sz="1"/>
              <w:bottom w:val="single" w:color="CFD8DC" w:sz="1"/>
              <w:right w:val="single" w:color="CFD8DC" w:sz="1"/>
            </w:tcBorders>
            <w:shd w:fill="E8F5E9" w:val="clear"/>
            <w:tcMar>
              <w:top w:type="dxa" w:w="100"/>
              <w:left w:type="dxa" w:w="160"/>
              <w:bottom w:type="dxa" w:w="100"/>
              <w:right w:type="dxa" w:w="120"/>
            </w:tcMar>
          </w:tcPr>
          <w:p>
            <w:pPr>
              <w:spacing w:before="0" w:after="60"/>
            </w:pPr>
            <w:r>
              <w:rPr>
                <w:rFonts w:ascii="Calibri" w:cs="Calibri" w:eastAsia="Calibri" w:hAnsi="Calibri"/>
                <w:b/>
                <w:bCs/>
                <w:color w:val="1B5E20"/>
                <w:sz w:val="21"/>
                <w:szCs w:val="21"/>
              </w:rPr>
              <w:t xml:space="preserve">STÄRKEN (Strengths)</w:t>
            </w:r>
          </w:p>
          <w:p>
            <w:pPr>
              <w:pStyle w:val="ListParagraph"/>
              <w:numPr>
                <w:ilvl w:val="0"/>
                <w:numId w:val="12"/>
              </w:numPr>
              <w:spacing w:before="0" w:after="30"/>
            </w:pPr>
            <w:r>
              <w:rPr>
                <w:rFonts w:ascii="Calibri" w:cs="Calibri" w:eastAsia="Calibri" w:hAnsi="Calibri"/>
                <w:color w:val="212121"/>
                <w:sz w:val="19"/>
                <w:szCs w:val="19"/>
              </w:rPr>
              <w:t xml:space="preserve">Einzige Lösung mit nativer Flare-Network-DeFi-Integration (SparkDEX V4, Ēnosys, Kinetic)</w:t>
            </w:r>
          </w:p>
          <w:p>
            <w:pPr>
              <w:pStyle w:val="ListParagraph"/>
              <w:numPr>
                <w:ilvl w:val="0"/>
                <w:numId w:val="12"/>
              </w:numPr>
              <w:spacing w:before="0" w:after="30"/>
            </w:pPr>
            <w:r>
              <w:rPr>
                <w:rFonts w:ascii="Calibri" w:cs="Calibri" w:eastAsia="Calibri" w:hAnsi="Calibri"/>
                <w:color w:val="212121"/>
                <w:sz w:val="19"/>
                <w:szCs w:val="19"/>
              </w:rPr>
              <w:t xml:space="preserve">FTSO-basierte On-Chain-EUR-Kursbewertung – BMF 2025 konform, dezentral, manipulationsresistent</w:t>
            </w:r>
          </w:p>
          <w:p>
            <w:pPr>
              <w:pStyle w:val="ListParagraph"/>
              <w:numPr>
                <w:ilvl w:val="0"/>
                <w:numId w:val="12"/>
              </w:numPr>
              <w:spacing w:before="0" w:after="30"/>
            </w:pPr>
            <w:r>
              <w:rPr>
                <w:rFonts w:ascii="Calibri" w:cs="Calibri" w:eastAsia="Calibri" w:hAnsi="Calibri"/>
                <w:color w:val="212121"/>
                <w:sz w:val="19"/>
                <w:szCs w:val="19"/>
              </w:rPr>
              <w:t xml:space="preserve">LP-Dual-Szenario-Rechner (Modell A/B) – kein Wettbewerber bietet das für Flare</w:t>
            </w:r>
          </w:p>
          <w:p>
            <w:pPr>
              <w:pStyle w:val="ListParagraph"/>
              <w:numPr>
                <w:ilvl w:val="0"/>
                <w:numId w:val="12"/>
              </w:numPr>
              <w:spacing w:before="0" w:after="30"/>
            </w:pPr>
            <w:r>
              <w:rPr>
                <w:rFonts w:ascii="Calibri" w:cs="Calibri" w:eastAsia="Calibri" w:hAnsi="Calibri"/>
                <w:color w:val="212121"/>
                <w:sz w:val="19"/>
                <w:szCs w:val="19"/>
              </w:rPr>
              <w:t xml:space="preserve">First-Mover-Vorteil im Flare-Ökosystem – kein direkter Wettbewerber vorhanden</w:t>
            </w:r>
          </w:p>
          <w:p>
            <w:pPr>
              <w:pStyle w:val="ListParagraph"/>
              <w:numPr>
                <w:ilvl w:val="0"/>
                <w:numId w:val="12"/>
              </w:numPr>
              <w:spacing w:before="0" w:after="30"/>
            </w:pPr>
            <w:r>
              <w:rPr>
                <w:rFonts w:ascii="Calibri" w:cs="Calibri" w:eastAsia="Calibri" w:hAnsi="Calibri"/>
                <w:color w:val="212121"/>
                <w:sz w:val="19"/>
                <w:szCs w:val="19"/>
              </w:rPr>
              <w:t xml:space="preserve">NextGen IT Solutions GmbH: lokales Stuttgarter Unternehmen – Vertrauen im DACH-Markt</w:t>
            </w:r>
          </w:p>
          <w:p>
            <w:pPr>
              <w:pStyle w:val="ListParagraph"/>
              <w:numPr>
                <w:ilvl w:val="0"/>
                <w:numId w:val="12"/>
              </w:numPr>
              <w:spacing w:before="0" w:after="30"/>
            </w:pPr>
            <w:r>
              <w:rPr>
                <w:rFonts w:ascii="Calibri" w:cs="Calibri" w:eastAsia="Calibri" w:hAnsi="Calibri"/>
                <w:color w:val="212121"/>
                <w:sz w:val="19"/>
                <w:szCs w:val="19"/>
              </w:rPr>
              <w:t xml:space="preserve">Technische Expertise: ImmoVault, SevDesk-Integration, EVM-Erfahrung</w:t>
            </w:r>
          </w:p>
          <w:p>
            <w:pPr>
              <w:pStyle w:val="ListParagraph"/>
              <w:numPr>
                <w:ilvl w:val="0"/>
                <w:numId w:val="12"/>
              </w:numPr>
              <w:spacing w:before="0" w:after="30"/>
            </w:pPr>
            <w:r>
              <w:rPr>
                <w:rFonts w:ascii="Calibri" w:cs="Calibri" w:eastAsia="Calibri" w:hAnsi="Calibri"/>
                <w:color w:val="212121"/>
                <w:sz w:val="19"/>
                <w:szCs w:val="19"/>
              </w:rPr>
              <w:t xml:space="preserve">GoBD-konformes Audit-Log mit SHA-256-Hash-Kette – professionelle Compliance</w:t>
            </w:r>
          </w:p>
          <w:p>
            <w:pPr>
              <w:pStyle w:val="ListParagraph"/>
              <w:numPr>
                <w:ilvl w:val="0"/>
                <w:numId w:val="12"/>
              </w:numPr>
              <w:spacing w:before="0" w:after="30"/>
            </w:pPr>
            <w:r>
              <w:rPr>
                <w:rFonts w:ascii="Calibri" w:cs="Calibri" w:eastAsia="Calibri" w:hAnsi="Calibri"/>
                <w:color w:val="212121"/>
                <w:sz w:val="19"/>
                <w:szCs w:val="19"/>
              </w:rPr>
              <w:t xml:space="preserve">CoinTracking-CSV-Direktexport ohne Zwischenschritte</w:t>
            </w:r>
          </w:p>
        </w:tc>
        <w:tc>
          <w:tcPr>
            <w:tcW w:type="dxa" w:w="4513"/>
            <w:tcBorders>
              <w:top w:val="single" w:color="CFD8DC" w:sz="1"/>
              <w:left w:val="single" w:color="CFD8DC" w:sz="1"/>
              <w:bottom w:val="single" w:color="CFD8DC" w:sz="1"/>
              <w:right w:val="single" w:color="CFD8DC" w:sz="1"/>
            </w:tcBorders>
            <w:shd w:fill="FFEBEE" w:val="clear"/>
            <w:tcMar>
              <w:top w:type="dxa" w:w="100"/>
              <w:left w:type="dxa" w:w="160"/>
              <w:bottom w:type="dxa" w:w="100"/>
              <w:right w:type="dxa" w:w="120"/>
            </w:tcMar>
          </w:tcPr>
          <w:p>
            <w:pPr>
              <w:spacing w:before="0" w:after="60"/>
            </w:pPr>
            <w:r>
              <w:rPr>
                <w:rFonts w:ascii="Calibri" w:cs="Calibri" w:eastAsia="Calibri" w:hAnsi="Calibri"/>
                <w:b/>
                <w:bCs/>
                <w:color w:val="B71C1C"/>
                <w:sz w:val="21"/>
                <w:szCs w:val="21"/>
              </w:rPr>
              <w:t xml:space="preserve">SCHWÄCHEN (Weaknesses)</w:t>
            </w:r>
          </w:p>
          <w:p>
            <w:pPr>
              <w:pStyle w:val="ListParagraph"/>
              <w:numPr>
                <w:ilvl w:val="0"/>
                <w:numId w:val="12"/>
              </w:numPr>
              <w:spacing w:before="0" w:after="30"/>
            </w:pPr>
            <w:r>
              <w:rPr>
                <w:rFonts w:ascii="Calibri" w:cs="Calibri" w:eastAsia="Calibri" w:hAnsi="Calibri"/>
                <w:color w:val="212121"/>
                <w:sz w:val="19"/>
                <w:szCs w:val="19"/>
              </w:rPr>
              <w:t xml:space="preserve">Kein Track Record als Steuer-SaaS-Anbieter – Marktvertrauen erst aufzubauen</w:t>
            </w:r>
          </w:p>
          <w:p>
            <w:pPr>
              <w:pStyle w:val="ListParagraph"/>
              <w:numPr>
                <w:ilvl w:val="0"/>
                <w:numId w:val="12"/>
              </w:numPr>
              <w:spacing w:before="0" w:after="30"/>
            </w:pPr>
            <w:r>
              <w:rPr>
                <w:rFonts w:ascii="Calibri" w:cs="Calibri" w:eastAsia="Calibri" w:hAnsi="Calibri"/>
                <w:color w:val="212121"/>
                <w:sz w:val="19"/>
                <w:szCs w:val="19"/>
              </w:rPr>
              <w:t xml:space="preserve">Kleineres Team als CoinTracking (1,5 Mio. Nutzer) oder Blockpit (350k Nutzer)</w:t>
            </w:r>
          </w:p>
          <w:p>
            <w:pPr>
              <w:pStyle w:val="ListParagraph"/>
              <w:numPr>
                <w:ilvl w:val="0"/>
                <w:numId w:val="12"/>
              </w:numPr>
              <w:spacing w:before="0" w:after="30"/>
            </w:pPr>
            <w:r>
              <w:rPr>
                <w:rFonts w:ascii="Calibri" w:cs="Calibri" w:eastAsia="Calibri" w:hAnsi="Calibri"/>
                <w:color w:val="212121"/>
                <w:sz w:val="19"/>
                <w:szCs w:val="19"/>
              </w:rPr>
              <w:t xml:space="preserve">Phase 1 MVP: Nur 3 Protokolle – kein Aave, kein Stargate</w:t>
            </w:r>
          </w:p>
          <w:p>
            <w:pPr>
              <w:pStyle w:val="ListParagraph"/>
              <w:numPr>
                <w:ilvl w:val="0"/>
                <w:numId w:val="12"/>
              </w:numPr>
              <w:spacing w:before="0" w:after="30"/>
            </w:pPr>
            <w:r>
              <w:rPr>
                <w:rFonts w:ascii="Calibri" w:cs="Calibri" w:eastAsia="Calibri" w:hAnsi="Calibri"/>
                <w:color w:val="212121"/>
                <w:sz w:val="19"/>
                <w:szCs w:val="19"/>
              </w:rPr>
              <w:t xml:space="preserve">Kein Steuerberater-Netzwerk (CoinTracking: 25.000+ Berater)</w:t>
            </w:r>
          </w:p>
          <w:p>
            <w:pPr>
              <w:pStyle w:val="ListParagraph"/>
              <w:numPr>
                <w:ilvl w:val="0"/>
                <w:numId w:val="12"/>
              </w:numPr>
              <w:spacing w:before="0" w:after="30"/>
            </w:pPr>
            <w:r>
              <w:rPr>
                <w:rFonts w:ascii="Calibri" w:cs="Calibri" w:eastAsia="Calibri" w:hAnsi="Calibri"/>
                <w:color w:val="212121"/>
                <w:sz w:val="19"/>
                <w:szCs w:val="19"/>
              </w:rPr>
              <w:t xml:space="preserve">Keine Mobile App in Phase 1</w:t>
            </w:r>
          </w:p>
          <w:p>
            <w:pPr>
              <w:pStyle w:val="ListParagraph"/>
              <w:numPr>
                <w:ilvl w:val="0"/>
                <w:numId w:val="12"/>
              </w:numPr>
              <w:spacing w:before="0" w:after="30"/>
            </w:pPr>
            <w:r>
              <w:rPr>
                <w:rFonts w:ascii="Calibri" w:cs="Calibri" w:eastAsia="Calibri" w:hAnsi="Calibri"/>
                <w:color w:val="212121"/>
                <w:sz w:val="19"/>
                <w:szCs w:val="19"/>
              </w:rPr>
              <w:t xml:space="preserve">Begrenzte Marketingreichweite vs. etablierte Konkurrenz</w:t>
            </w:r>
          </w:p>
          <w:p>
            <w:pPr>
              <w:pStyle w:val="ListParagraph"/>
              <w:numPr>
                <w:ilvl w:val="0"/>
                <w:numId w:val="12"/>
              </w:numPr>
              <w:spacing w:before="0" w:after="30"/>
            </w:pPr>
            <w:r>
              <w:rPr>
                <w:rFonts w:ascii="Calibri" w:cs="Calibri" w:eastAsia="Calibri" w:hAnsi="Calibri"/>
                <w:color w:val="212121"/>
                <w:sz w:val="19"/>
                <w:szCs w:val="19"/>
              </w:rPr>
              <w:t xml:space="preserve">Keine KPMG-Prüfung oder externe Audit-Zertifizierung</w:t>
            </w:r>
          </w:p>
        </w:tc>
      </w:tr>
      <w:tr>
        <w:tc>
          <w:tcPr>
            <w:tcW w:type="dxa" w:w="4513"/>
            <w:tcBorders>
              <w:top w:val="single" w:color="CFD8DC" w:sz="1"/>
              <w:left w:val="single" w:color="CFD8DC" w:sz="1"/>
              <w:bottom w:val="single" w:color="CFD8DC" w:sz="1"/>
              <w:right w:val="single" w:color="CFD8DC" w:sz="1"/>
            </w:tcBorders>
            <w:shd w:fill="E3F2FD" w:val="clear"/>
            <w:tcMar>
              <w:top w:type="dxa" w:w="100"/>
              <w:left w:type="dxa" w:w="160"/>
              <w:bottom w:type="dxa" w:w="100"/>
              <w:right w:type="dxa" w:w="120"/>
            </w:tcMar>
          </w:tcPr>
          <w:p>
            <w:pPr>
              <w:spacing w:before="0" w:after="60"/>
            </w:pPr>
            <w:r>
              <w:rPr>
                <w:rFonts w:ascii="Calibri" w:cs="Calibri" w:eastAsia="Calibri" w:hAnsi="Calibri"/>
                <w:b/>
                <w:bCs/>
                <w:color w:val="0D47A1"/>
                <w:sz w:val="21"/>
                <w:szCs w:val="21"/>
              </w:rPr>
              <w:t xml:space="preserve">CHANCEN (Opportunities)</w:t>
            </w:r>
          </w:p>
          <w:p>
            <w:pPr>
              <w:pStyle w:val="ListParagraph"/>
              <w:numPr>
                <w:ilvl w:val="0"/>
                <w:numId w:val="12"/>
              </w:numPr>
              <w:spacing w:before="0" w:after="30"/>
            </w:pPr>
            <w:r>
              <w:rPr>
                <w:rFonts w:ascii="Calibri" w:cs="Calibri" w:eastAsia="Calibri" w:hAnsi="Calibri"/>
                <w:color w:val="212121"/>
                <w:sz w:val="19"/>
                <w:szCs w:val="19"/>
              </w:rPr>
              <w:t xml:space="preserve">DAC8 ab 2026: Massiver Compliance-Druck für DeFi-Nutzer – perfekter Marktmoment</w:t>
            </w:r>
          </w:p>
          <w:p>
            <w:pPr>
              <w:pStyle w:val="ListParagraph"/>
              <w:numPr>
                <w:ilvl w:val="0"/>
                <w:numId w:val="12"/>
              </w:numPr>
              <w:spacing w:before="0" w:after="30"/>
            </w:pPr>
            <w:r>
              <w:rPr>
                <w:rFonts w:ascii="Calibri" w:cs="Calibri" w:eastAsia="Calibri" w:hAnsi="Calibri"/>
                <w:color w:val="212121"/>
                <w:sz w:val="19"/>
                <w:szCs w:val="19"/>
              </w:rPr>
              <w:t xml:space="preserve">Flare Network TVL-Wachstum: $9,95M → $169M (14× in 2 Jahren) – Nutzer brauchen Tracking</w:t>
            </w:r>
          </w:p>
          <w:p>
            <w:pPr>
              <w:pStyle w:val="ListParagraph"/>
              <w:numPr>
                <w:ilvl w:val="0"/>
                <w:numId w:val="12"/>
              </w:numPr>
              <w:spacing w:before="0" w:after="30"/>
            </w:pPr>
            <w:r>
              <w:rPr>
                <w:rFonts w:ascii="Calibri" w:cs="Calibri" w:eastAsia="Calibri" w:hAnsi="Calibri"/>
                <w:color w:val="212121"/>
                <w:sz w:val="19"/>
                <w:szCs w:val="19"/>
              </w:rPr>
              <w:t xml:space="preserve">XRPFi-Narrative: 5+ Mio. XRP-Holder als potenzielle Zielgruppe für Flare-DeFi</w:t>
            </w:r>
          </w:p>
          <w:p>
            <w:pPr>
              <w:pStyle w:val="ListParagraph"/>
              <w:numPr>
                <w:ilvl w:val="0"/>
                <w:numId w:val="12"/>
              </w:numPr>
              <w:spacing w:before="0" w:after="30"/>
            </w:pPr>
            <w:r>
              <w:rPr>
                <w:rFonts w:ascii="Calibri" w:cs="Calibri" w:eastAsia="Calibri" w:hAnsi="Calibri"/>
                <w:color w:val="212121"/>
                <w:sz w:val="19"/>
                <w:szCs w:val="19"/>
              </w:rPr>
              <w:t xml:space="preserve">BMF 2025-Schreiben: Neue Dokumentationspflichten erhöhen Tool-Nachfrage</w:t>
            </w:r>
          </w:p>
          <w:p>
            <w:pPr>
              <w:pStyle w:val="ListParagraph"/>
              <w:numPr>
                <w:ilvl w:val="0"/>
                <w:numId w:val="12"/>
              </w:numPr>
              <w:spacing w:before="0" w:after="30"/>
            </w:pPr>
            <w:r>
              <w:rPr>
                <w:rFonts w:ascii="Calibri" w:cs="Calibri" w:eastAsia="Calibri" w:hAnsi="Calibri"/>
                <w:color w:val="212121"/>
                <w:sz w:val="19"/>
                <w:szCs w:val="19"/>
              </w:rPr>
              <w:t xml:space="preserve">B2B-Partnerschaft mit Flare Network Foundation: Grants und Co-Marketing möglich</w:t>
            </w:r>
          </w:p>
          <w:p>
            <w:pPr>
              <w:pStyle w:val="ListParagraph"/>
              <w:numPr>
                <w:ilvl w:val="0"/>
                <w:numId w:val="12"/>
              </w:numPr>
              <w:spacing w:before="0" w:after="30"/>
            </w:pPr>
            <w:r>
              <w:rPr>
                <w:rFonts w:ascii="Calibri" w:cs="Calibri" w:eastAsia="Calibri" w:hAnsi="Calibri"/>
                <w:color w:val="212121"/>
                <w:sz w:val="19"/>
                <w:szCs w:val="19"/>
              </w:rPr>
              <w:t xml:space="preserve">Steuerberater-Markt: Kanzleien suchen spezialisierte DeFi-Lösungen (kein Anbieter hat alle)</w:t>
            </w:r>
          </w:p>
          <w:p>
            <w:pPr>
              <w:pStyle w:val="ListParagraph"/>
              <w:numPr>
                <w:ilvl w:val="0"/>
                <w:numId w:val="12"/>
              </w:numPr>
              <w:spacing w:before="0" w:after="30"/>
            </w:pPr>
            <w:r>
              <w:rPr>
                <w:rFonts w:ascii="Calibri" w:cs="Calibri" w:eastAsia="Calibri" w:hAnsi="Calibri"/>
                <w:color w:val="212121"/>
                <w:sz w:val="19"/>
                <w:szCs w:val="19"/>
              </w:rPr>
              <w:t xml:space="preserve">CoinTracking als Exit-Szenario: Strategische Übernahme durch etablierte Player möglich</w:t>
            </w:r>
          </w:p>
          <w:p>
            <w:pPr>
              <w:pStyle w:val="ListParagraph"/>
              <w:numPr>
                <w:ilvl w:val="0"/>
                <w:numId w:val="12"/>
              </w:numPr>
              <w:spacing w:before="0" w:after="30"/>
            </w:pPr>
            <w:r>
              <w:rPr>
                <w:rFonts w:ascii="Calibri" w:cs="Calibri" w:eastAsia="Calibri" w:hAnsi="Calibri"/>
                <w:color w:val="212121"/>
                <w:sz w:val="19"/>
                <w:szCs w:val="19"/>
              </w:rPr>
              <w:t xml:space="preserve">Multi-Chain Phase 4: Erweiterung auf Ethereum/Arbitrum erschließt massiv größeren Markt</w:t>
            </w:r>
          </w:p>
        </w:tc>
        <w:tc>
          <w:tcPr>
            <w:tcW w:type="dxa" w:w="4513"/>
            <w:tcBorders>
              <w:top w:val="single" w:color="CFD8DC" w:sz="1"/>
              <w:left w:val="single" w:color="CFD8DC" w:sz="1"/>
              <w:bottom w:val="single" w:color="CFD8DC" w:sz="1"/>
              <w:right w:val="single" w:color="CFD8DC" w:sz="1"/>
            </w:tcBorders>
            <w:shd w:fill="FFF8E1" w:val="clear"/>
            <w:tcMar>
              <w:top w:type="dxa" w:w="100"/>
              <w:left w:type="dxa" w:w="160"/>
              <w:bottom w:type="dxa" w:w="100"/>
              <w:right w:type="dxa" w:w="120"/>
            </w:tcMar>
          </w:tcPr>
          <w:p>
            <w:pPr>
              <w:spacing w:before="0" w:after="60"/>
            </w:pPr>
            <w:r>
              <w:rPr>
                <w:rFonts w:ascii="Calibri" w:cs="Calibri" w:eastAsia="Calibri" w:hAnsi="Calibri"/>
                <w:b/>
                <w:bCs/>
                <w:color w:val="E65100"/>
                <w:sz w:val="21"/>
                <w:szCs w:val="21"/>
              </w:rPr>
              <w:t xml:space="preserve">RISIKEN (Threats)</w:t>
            </w:r>
          </w:p>
          <w:p>
            <w:pPr>
              <w:pStyle w:val="ListParagraph"/>
              <w:numPr>
                <w:ilvl w:val="0"/>
                <w:numId w:val="12"/>
              </w:numPr>
              <w:spacing w:before="0" w:after="30"/>
            </w:pPr>
            <w:r>
              <w:rPr>
                <w:rFonts w:ascii="Calibri" w:cs="Calibri" w:eastAsia="Calibri" w:hAnsi="Calibri"/>
                <w:color w:val="212121"/>
                <w:sz w:val="19"/>
                <w:szCs w:val="19"/>
              </w:rPr>
              <w:t xml:space="preserve">CoinTracking ergänzt Flare-Support schnell (Ressourcen vorhanden, Tech bekannt)</w:t>
            </w:r>
          </w:p>
          <w:p>
            <w:pPr>
              <w:pStyle w:val="ListParagraph"/>
              <w:numPr>
                <w:ilvl w:val="0"/>
                <w:numId w:val="12"/>
              </w:numPr>
              <w:spacing w:before="0" w:after="30"/>
            </w:pPr>
            <w:r>
              <w:rPr>
                <w:rFonts w:ascii="Calibri" w:cs="Calibri" w:eastAsia="Calibri" w:hAnsi="Calibri"/>
                <w:color w:val="212121"/>
                <w:sz w:val="19"/>
                <w:szCs w:val="19"/>
              </w:rPr>
              <w:t xml:space="preserve">Blockpit expandiert nach Accointing-Übernahme aggressiv in DeFi – mögliche Flare-Integration</w:t>
            </w:r>
          </w:p>
          <w:p>
            <w:pPr>
              <w:pStyle w:val="ListParagraph"/>
              <w:numPr>
                <w:ilvl w:val="0"/>
                <w:numId w:val="12"/>
              </w:numPr>
              <w:spacing w:before="0" w:after="30"/>
            </w:pPr>
            <w:r>
              <w:rPr>
                <w:rFonts w:ascii="Calibri" w:cs="Calibri" w:eastAsia="Calibri" w:hAnsi="Calibri"/>
                <w:color w:val="212121"/>
                <w:sz w:val="19"/>
                <w:szCs w:val="19"/>
              </w:rPr>
              <w:t xml:space="preserve">Flare Network wächst nicht wie erwartet → zu kleine Nutzer-Basis für wirtschaftlichen Betrieb</w:t>
            </w:r>
          </w:p>
          <w:p>
            <w:pPr>
              <w:pStyle w:val="ListParagraph"/>
              <w:numPr>
                <w:ilvl w:val="0"/>
                <w:numId w:val="12"/>
              </w:numPr>
              <w:spacing w:before="0" w:after="30"/>
            </w:pPr>
            <w:r>
              <w:rPr>
                <w:rFonts w:ascii="Calibri" w:cs="Calibri" w:eastAsia="Calibri" w:hAnsi="Calibri"/>
                <w:color w:val="212121"/>
                <w:sz w:val="19"/>
                <w:szCs w:val="19"/>
              </w:rPr>
              <w:t xml:space="preserve">BMF-Klarstellung zu LP: Konservative Auslegung macht Tool steuerlich riskanter wahrgenommen</w:t>
            </w:r>
          </w:p>
          <w:p>
            <w:pPr>
              <w:pStyle w:val="ListParagraph"/>
              <w:numPr>
                <w:ilvl w:val="0"/>
                <w:numId w:val="12"/>
              </w:numPr>
              <w:spacing w:before="0" w:after="30"/>
            </w:pPr>
            <w:r>
              <w:rPr>
                <w:rFonts w:ascii="Calibri" w:cs="Calibri" w:eastAsia="Calibri" w:hAnsi="Calibri"/>
                <w:color w:val="212121"/>
                <w:sz w:val="19"/>
                <w:szCs w:val="19"/>
              </w:rPr>
              <w:t xml:space="preserve">DAC8-Erweiterung auf DEXe macht DeFi-Tracking für CEX-Nutzer weniger dringend nötig</w:t>
            </w:r>
          </w:p>
          <w:p>
            <w:pPr>
              <w:pStyle w:val="ListParagraph"/>
              <w:numPr>
                <w:ilvl w:val="0"/>
                <w:numId w:val="12"/>
              </w:numPr>
              <w:spacing w:before="0" w:after="30"/>
            </w:pPr>
            <w:r>
              <w:rPr>
                <w:rFonts w:ascii="Calibri" w:cs="Calibri" w:eastAsia="Calibri" w:hAnsi="Calibri"/>
                <w:color w:val="212121"/>
                <w:sz w:val="19"/>
                <w:szCs w:val="19"/>
              </w:rPr>
              <w:t xml:space="preserve">Open-Source-Konkurrenz (Rotki) – Datenschutz-affine Nutzer bevorzugen Self-hosted</w:t>
            </w:r>
          </w:p>
          <w:p>
            <w:pPr>
              <w:pStyle w:val="ListParagraph"/>
              <w:numPr>
                <w:ilvl w:val="0"/>
                <w:numId w:val="12"/>
              </w:numPr>
              <w:spacing w:before="0" w:after="30"/>
            </w:pPr>
            <w:r>
              <w:rPr>
                <w:rFonts w:ascii="Calibri" w:cs="Calibri" w:eastAsia="Calibri" w:hAnsi="Calibri"/>
                <w:color w:val="212121"/>
                <w:sz w:val="19"/>
                <w:szCs w:val="19"/>
              </w:rPr>
              <w:t xml:space="preserve">Preisdruck durch Koinly auf internationalen Markt (sehr günstige Tarife)</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W5. Porter's Five Forces – Branchenanalyse</w:t>
      </w:r>
    </w:p>
    <w:p>
      <w:pPr>
        <w:spacing w:before="60" w:after="90"/>
      </w:pPr>
      <w:r>
        <w:rPr>
          <w:rFonts w:ascii="Calibri" w:cs="Calibri" w:eastAsia="Calibri" w:hAnsi="Calibri"/>
          <w:color w:val="212121"/>
          <w:sz w:val="21"/>
          <w:szCs w:val="21"/>
        </w:rPr>
        <w:t xml:space="preserve">Die Analyse der fünf Wettbewerbskräfte nach Porter zeigt die strukturelle Attraktivität des Marktsegments 'DeFi-Steuer-SaaS Deutschland' und die relative Positionierungsstärke unseres Tools.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rPr>
          <w:tblHeader/>
        </w:trPr>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Wettbewerbskraft</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Intensität</w:t>
            </w:r>
          </w:p>
        </w:tc>
        <w:tc>
          <w:tcPr>
            <w:tcW w:type="dxa" w:w="54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Analyse &amp; Implikation</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bCs/>
                <w:color w:val="0D47A1"/>
                <w:sz w:val="20"/>
                <w:szCs w:val="20"/>
              </w:rPr>
              <w:t xml:space="preserve">Rivalität unter Anbietern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E65100"/>
                <w:sz w:val="20"/>
                <w:szCs w:val="20"/>
              </w:rPr>
              <w:t xml:space="preserve">MITTEL</w:t>
            </w:r>
          </w:p>
        </w:tc>
        <w:tc>
          <w:tcPr>
            <w:tcW w:type="dxa" w:w="5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CoinTracking und Blockpit dominieren das DE-Segment, konkurrieren aber nicht direkt auf dem Flare-DeFi-Nischenmarkt. Die Rivalität ist im Allgemein-Krypto-Steuer-Markt hoch, in unserem Nischensegment derzeit sehr niedrig (First Mover). Langfristig werden etablierte Player nachziehen.</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bCs/>
                <w:color w:val="0D47A1"/>
                <w:sz w:val="20"/>
                <w:szCs w:val="20"/>
              </w:rPr>
              <w:t xml:space="preserve">Bedrohung durch neue Anbieter</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E65100"/>
                <w:sz w:val="20"/>
                <w:szCs w:val="20"/>
              </w:rPr>
              <w:t xml:space="preserve">MITTEL</w:t>
            </w:r>
          </w:p>
        </w:tc>
        <w:tc>
          <w:tcPr>
            <w:tcW w:type="dxa" w:w="5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Niedrige technische Eintrittsbarrieren für neue EVM-Tracker. Aber: Regulatorisches Know-how (BMF 2025, DAC8), Steuerberater-Netzwerke und Nutzervertrauen sind schwer aufzubauen. Unser First-Mover-Vorteil gilt ca. 12–18 Monate, bis Wettbewerber nachziehen können.</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bCs/>
                <w:color w:val="0D47A1"/>
                <w:sz w:val="20"/>
                <w:szCs w:val="20"/>
              </w:rPr>
              <w:t xml:space="preserve">Verhandlungsmacht der Lieferanten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1B5E20"/>
                <w:sz w:val="20"/>
                <w:szCs w:val="20"/>
              </w:rPr>
              <w:t xml:space="preserve">NIEDRIG</w:t>
            </w:r>
          </w:p>
        </w:tc>
        <w:tc>
          <w:tcPr>
            <w:tcW w:type="dxa" w:w="5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Hauptlieferanten sind API-Anbieter (The Graph, CoinGecko, Flare RPC). Alle haben günstige oder kostenlose Tiers. Keine Abhängigkeit von einem einzigen Lieferanten – FTSO als kostenloser dezentraler Fallback. Lieferantenmacht gering.</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bCs/>
                <w:color w:val="0D47A1"/>
                <w:sz w:val="20"/>
                <w:szCs w:val="20"/>
              </w:rPr>
              <w:t xml:space="preserve">Verhandlungsmacht der Abnehmer</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E65100"/>
                <w:sz w:val="20"/>
                <w:szCs w:val="20"/>
              </w:rPr>
              <w:t xml:space="preserve">MITTEL</w:t>
            </w:r>
          </w:p>
        </w:tc>
        <w:tc>
          <w:tcPr>
            <w:tcW w:type="dxa" w:w="5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Nutzer haben mehrere Alternativen (CoinTracking, Blockpit, Koinly). Switching Costs sind niedrig (CSV-Export reicht). Aber: Flare-DeFi-Nutzer haben KEINE Alternative – in diesem Nischensegment haben wir hohe Kundenbindung. Langfristig steigt die Macht durch Multi-Chain-Erweiterung.</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r>
              <w:rPr>
                <w:rFonts w:ascii="Calibri" w:cs="Calibri" w:eastAsia="Calibri" w:hAnsi="Calibri"/>
                <w:b/>
                <w:bCs/>
                <w:color w:val="0D47A1"/>
                <w:sz w:val="20"/>
                <w:szCs w:val="20"/>
              </w:rPr>
              <w:t xml:space="preserve">Bedrohung durch Substitute</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center"/>
            </w:pPr>
            <w:r>
              <w:rPr>
                <w:rFonts w:ascii="Calibri" w:cs="Calibri" w:eastAsia="Calibri" w:hAnsi="Calibri"/>
                <w:b/>
                <w:bCs/>
                <w:color w:val="1B5E20"/>
                <w:sz w:val="20"/>
                <w:szCs w:val="20"/>
              </w:rPr>
              <w:t xml:space="preserve">NIEDRIG-MITTEL</w:t>
            </w:r>
          </w:p>
        </w:tc>
        <w:tc>
          <w:tcPr>
            <w:tcW w:type="dxa" w:w="5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r>
              <w:rPr>
                <w:rFonts w:ascii="Calibri" w:cs="Calibri" w:eastAsia="Calibri" w:hAnsi="Calibri"/>
                <w:color w:val="212121"/>
                <w:sz w:val="20"/>
                <w:szCs w:val="20"/>
              </w:rPr>
              <w:t xml:space="preserve">Substitute: Manuelles Excel-Tracking (komplex, fehleranfällig), Steuerberater-Vollservice (teuer, €2.000–10.000/Jahr), Open-Source-Tools (Rotki, komplex). Keine dieser Optionen bietet automatisches Flare-DeFi-Tracking. DAC8 erhöht den Druck zur Tool-Nutzung – Substitute werden unattraktiver.</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1"/>
              <w:left w:val="thick" w:color="E65100" w:sz="18"/>
              <w:bottom w:val="single" w:color="E65100" w:sz="1"/>
              <w:right w:val="single" w:color="E65100" w:sz="1"/>
            </w:tcBorders>
            <w:shd w:fill="FFF8E1" w:val="clear"/>
            <w:tcMar>
              <w:top w:type="dxa" w:w="110"/>
              <w:left w:type="dxa" w:w="200"/>
              <w:bottom w:type="dxa" w:w="110"/>
              <w:right w:type="dxa" w:w="140"/>
            </w:tcMar>
          </w:tcPr>
          <w:p>
            <w:pPr>
              <w:spacing w:before="0" w:after="40"/>
            </w:pPr>
            <w:r>
              <w:rPr>
                <w:rFonts w:ascii="Calibri" w:cs="Calibri" w:eastAsia="Calibri" w:hAnsi="Calibri"/>
                <w:b/>
                <w:bCs/>
                <w:color w:val="E65100"/>
                <w:sz w:val="21"/>
                <w:szCs w:val="21"/>
              </w:rPr>
              <w:t xml:space="preserve">Porter-Fazit: Günstiges Nischensegment</w:t>
            </w:r>
          </w:p>
          <w:p>
            <w:pPr>
              <w:spacing w:before="0" w:after="0"/>
            </w:pPr>
            <w:r>
              <w:rPr>
                <w:rFonts w:ascii="Calibri" w:cs="Calibri" w:eastAsia="Calibri" w:hAnsi="Calibri"/>
                <w:color w:val="212121"/>
                <w:sz w:val="20"/>
                <w:szCs w:val="20"/>
              </w:rPr>
              <w:t xml:space="preserve">Die Porter-Analyse zeigt: Das Marktsegment 'DeFi-Steuer-SaaS Deutschland mit Flare-Fokus' ist strategisch attraktiv. Die Rivalität ist im Nischensegment niedrig, die Lieferantenmacht gering und Substitute sind unattraktiv. Die entscheidende Herausforderung ist der Zeitvorteil: Innerhalb von 12–18 Monaten werden CoinTracking oder Blockpit Flare-Support ergänzen. Der MVP-Launch September 2026 ist daher kritisch für die Sicherung des First-Mover-Vorteils.</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W6. Strategische Positionierung &amp; Differenzierungsmatrix</w:t>
      </w:r>
    </w:p>
    <w:p>
      <w:pPr>
        <w:spacing w:before="200" w:after="80"/>
      </w:pPr>
      <w:r>
        <w:rPr>
          <w:rFonts w:ascii="Calibri" w:cs="Calibri" w:eastAsia="Calibri" w:hAnsi="Calibri"/>
          <w:b/>
          <w:bCs/>
          <w:color w:val="006064"/>
          <w:sz w:val="23"/>
          <w:szCs w:val="23"/>
        </w:rPr>
        <w:t xml:space="preserve">W6.1 Positionierungsmatrix: Tiefe vs. Breite</w:t>
      </w:r>
    </w:p>
    <w:p>
      <w:pPr>
        <w:spacing w:before="60" w:after="90"/>
      </w:pPr>
      <w:r>
        <w:rPr>
          <w:rFonts w:ascii="Calibri" w:cs="Calibri" w:eastAsia="Calibri" w:hAnsi="Calibri"/>
          <w:color w:val="212121"/>
          <w:sz w:val="21"/>
          <w:szCs w:val="21"/>
        </w:rPr>
        <w:t xml:space="preserve">Die zentrale strategische Positionierungsentscheidung ist: Tiefe (wenige Protokolle, maximale steuerliche Korrektheit) vs. Breite (viele Protokolle, generische Abdeckung). Unser Tool setzt bewusst auf Tiefe als Differenzierungsmerkmal.</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400"/>
        <w:gridCol w:w="1400"/>
        <w:gridCol w:w="1726"/>
      </w:tblGrid>
      <w:tr>
        <w:trPr>
          <w:tblHeader/>
        </w:trPr>
        <w:tc>
          <w:tcPr>
            <w:tcW w:type="dxa" w:w="3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Positionierungsdimension</w:t>
            </w:r>
          </w:p>
        </w:tc>
        <w:tc>
          <w:tcPr>
            <w:tcW w:type="dxa" w:w="1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CoinTracking</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Blockpit</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Koinly</w:t>
            </w:r>
          </w:p>
        </w:tc>
        <w:tc>
          <w:tcPr>
            <w:tcW w:type="dxa" w:w="17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Unser Tool</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Protokoll-Breite (Anzahl Chains/Börsen)</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300+ APIs</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160+ Börsen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800+ Integrationen</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MVP: 3 Flare-Protokolle → P4: +9</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Protokoll-Tiefe (DeFi-Detail-Genauigkeit)</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Generisch</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Generisch</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Generisch</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Flare-native, V4-spezifisch</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DE-Steuerrecht-Konformität</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Gut (BMF 2025 teilw.)</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Sehr gut (KPMG)</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Mittel (kein DE-Formular)</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Vollst. BMF 2025 + Dual-Szenario</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UX / Einsteiger-Freundlichkeit</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Komplex, veraltet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Modern, intuitiv</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Gut, benutzerfreundlich</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Simpel, ampelbasiert, &lt; 5 Min.</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Flare-Ökosystem-Integration</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Nicht vorhanden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Nicht vorhanden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Nicht vorhanden</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Vollständig (einziges Tool)</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CoinTracking-Direktexport</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Nativ (eigenes System)</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CSV-Export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CSV-Export</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15-Spalten-Standard direkt</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B2B / Steuerberater-Portal</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25.000+ Berater</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Vorhanden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Begrenzt</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Geplant Phase 4</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Preistransparenz / Günstigstes Angebot</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Mittel</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Pro Steuerjahr teuer</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Günstig ($49)</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€9,99/Monat (günstigstes Abo)</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DSGVO / EU-Hosting</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München (DE)</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Linz (AT)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Global (UK)</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Hetzner Nürnberg (DE)</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W6.2 Unique Selling Propositions (USPs) – 5 Kernaussagen</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00"/>
        <w:gridCol w:w="2526"/>
      </w:tblGrid>
      <w:tr>
        <w:trPr>
          <w:tblHeader/>
        </w:trPr>
        <w:tc>
          <w:tcPr>
            <w:tcW w:type="dxa" w:w="1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USP</w:t>
            </w:r>
          </w:p>
        </w:tc>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Kernaussage</w:t>
            </w:r>
          </w:p>
        </w:tc>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Beweis / Nachweis</w:t>
            </w:r>
          </w:p>
        </w:tc>
        <w:tc>
          <w:tcPr>
            <w:tcW w:type="dxa" w:w="25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Wettbewerber-Lücke</w:t>
            </w:r>
          </w:p>
        </w:tc>
      </w:tr>
      <w:tr>
        <w:tc>
          <w:tcPr>
            <w:tcW w:type="dxa" w:w="17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USP 1: Flare-First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Das einzige Tool mit nativer Integration aller 3 Flare-Kernprotokolle (SparkDEX V4, Ēnosys, Kinetic)</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SparkDEX V4-Subgraph-Integration; Ēnosys CDP-Decoder; Kinetic Compound-ABI</w:t>
            </w:r>
          </w:p>
        </w:tc>
        <w:tc>
          <w:tcPr>
            <w:tcW w:type="dxa" w:w="2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einziger Wettbewerber unterstützt Flare Network</w:t>
            </w:r>
          </w:p>
        </w:tc>
      </w:tr>
      <w:tr>
        <w:tc>
          <w:tcPr>
            <w:tcW w:type="dxa" w:w="17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USP 2: FTSO On-Chain-Kurs</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EUR-Kursbewertung direkt via dezentralem FTSO-Orakel – BMF 2025 Rz. 43 konform, nicht manipulierbar</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FTSO-Smart-Contract-Integration; Kurs-Audit-Log mit On-Chain-Quelle</w:t>
            </w:r>
          </w:p>
        </w:tc>
        <w:tc>
          <w:tcPr>
            <w:tcW w:type="dxa" w:w="2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Wettbewerber nutzen zentralisierte Drittquellen (CoinGecko/CMC)</w:t>
            </w:r>
          </w:p>
        </w:tc>
      </w:tr>
      <w:tr>
        <w:tc>
          <w:tcPr>
            <w:tcW w:type="dxa" w:w="17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USP 3: LP Dual-Szenario</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Einzige Lösung mit Modell-A / Modell-B Steuerberechnung für LP-Graubereich + expliziter BMF-Hinweis</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Dual-Szenario-Engine; Konservativ/Liberal-Toggle; Steuerberater-Hinweis</w:t>
            </w:r>
          </w:p>
        </w:tc>
        <w:tc>
          <w:tcPr>
            <w:tcW w:type="dxa" w:w="2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Blockpit hat keine Dual-Szenario-Berechnung; CoinTracking nicht für Flare-LP</w:t>
            </w:r>
          </w:p>
        </w:tc>
      </w:tr>
      <w:tr>
        <w:tc>
          <w:tcPr>
            <w:tcW w:type="dxa" w:w="17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USP 4: CoinTracking Direkt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15-Spalten-CoinTracking-CSV direkt ohne Nachbearbeitung importierbar – getesteter E2E-Import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E2E-Import-Test mit CoinTracking; alle 35+ TX-Typen korrekt gemappt</w:t>
            </w:r>
          </w:p>
        </w:tc>
        <w:tc>
          <w:tcPr>
            <w:tcW w:type="dxa" w:w="2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Andere Tools exportieren generisches CSV das manuell angepasst werden muss</w:t>
            </w:r>
          </w:p>
        </w:tc>
      </w:tr>
      <w:tr>
        <w:tc>
          <w:tcPr>
            <w:tcW w:type="dxa" w:w="17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USP 5: 5-Min-Onboarding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Wallet verbinden → erster steuerkonformer CoinTracking-Export in unter 5 Minuten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UX-Flow-Test; Ampel-System; Progressive Disclosure</w:t>
            </w:r>
          </w:p>
        </w:tc>
        <w:tc>
          <w:tcPr>
            <w:tcW w:type="dxa" w:w="2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CoinTracking: Stunden Einarbeitung. Blockpit: 20-30 Min. Wir: &lt; 5 Min.</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W7. Go-to-Market Competitive Strategy</w:t>
      </w:r>
    </w:p>
    <w:p>
      <w:pPr>
        <w:pStyle w:val="Heading2"/>
        <w:spacing w:before="280" w:after="120"/>
      </w:pPr>
      <w:r>
        <w:rPr>
          <w:rFonts w:ascii="Calibri" w:cs="Calibri" w:eastAsia="Calibri" w:hAnsi="Calibri"/>
          <w:b/>
          <w:bCs/>
          <w:color w:val="0D47A1"/>
          <w:sz w:val="26"/>
          <w:szCs w:val="26"/>
        </w:rPr>
        <w:t xml:space="preserve">W7.1 Markteintritts-Strategie</w:t>
      </w:r>
    </w:p>
    <w:p>
      <w:pPr>
        <w:spacing w:before="60" w:after="90"/>
      </w:pPr>
      <w:r>
        <w:rPr>
          <w:rFonts w:ascii="Calibri" w:cs="Calibri" w:eastAsia="Calibri" w:hAnsi="Calibri"/>
          <w:color w:val="212121"/>
          <w:sz w:val="21"/>
          <w:szCs w:val="21"/>
        </w:rPr>
        <w:t xml:space="preserve">Die Go-to-Market-Strategie fokussiert auf drei sequenzielle Phasen, die den First-Mover-Vorteil maximieren und gleichzeitig die begrenzte Ressourcensituation eines Startups berücksichtigen.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1600"/>
        <w:gridCol w:w="1626"/>
      </w:tblGrid>
      <w:tr>
        <w:trPr>
          <w:tblHeader/>
        </w:trPr>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Phase</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Zeitraum</w:t>
            </w:r>
          </w:p>
        </w:tc>
        <w:tc>
          <w:tcPr>
            <w:tcW w:type="dxa" w:w="3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Strategie</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Zielgruppe</w:t>
            </w:r>
          </w:p>
        </w:tc>
        <w:tc>
          <w:tcPr>
            <w:tcW w:type="dxa" w:w="16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KPIs</w:t>
            </w:r>
          </w:p>
        </w:tc>
      </w:tr>
      <w:tr>
        <w:tc>
          <w:tcPr>
            <w:tcW w:type="dxa" w:w="20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Phase A: Community First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Sept–Nov 2026</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Organisches Wachstum in Flare/XRP-Community (Discord, Telegram, X/Twitter). Flare Foundation Partnership. Content Marketing: DeFi-Steuer-Guides DE.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Flare-DeFi-Nutzer, XRP-Holder</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500 Nutzer, 100 zahlend, 50 Beta-Reviews</w:t>
            </w:r>
          </w:p>
        </w:tc>
      </w:tr>
      <w:tr>
        <w:tc>
          <w:tcPr>
            <w:tcW w:type="dxa" w:w="20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Phase B: SEO + Steuerberater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Dez 2026–Feb 2027</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SEO-Fokus: 'Flare Steuern', 'SparkDEX CoinTracking', 'DeFi Steuer Deutschland 2027'. Steuerberater-Outreach: 20 Kanzleien kontaktieren.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Organic DE-Suchanfragen; Kanzlei B2B</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2.000 Nutzer, 300 zahlend, 10 B2B-Mandanten</w:t>
            </w:r>
          </w:p>
        </w:tc>
      </w:tr>
      <w:tr>
        <w:tc>
          <w:tcPr>
            <w:tcW w:type="dxa" w:w="20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Phase C: Paid + Partnerschaft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März–Juni 2027</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Google Ads auf DeFi-Steuer-Keywords. CoinTracking Certified Partner-Programm beantragen. Blocktrainer/BTC-Echo Kooperation.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Breiter DE-DeFi-Markt</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10.000 Nutzer, 1.500 zahlend, 50 B2B</w:t>
            </w:r>
          </w:p>
        </w:tc>
      </w:tr>
    </w:tbl>
    <w:p>
      <w:pPr>
        <w:spacing w:before="120" w:after="0"/>
      </w:pPr>
      <w:r>
        <w:t xml:space="preserve"/>
      </w:r>
    </w:p>
    <w:p>
      <w:pPr>
        <w:pStyle w:val="Heading2"/>
        <w:spacing w:before="280" w:after="120"/>
      </w:pPr>
      <w:r>
        <w:rPr>
          <w:rFonts w:ascii="Calibri" w:cs="Calibri" w:eastAsia="Calibri" w:hAnsi="Calibri"/>
          <w:b/>
          <w:bCs/>
          <w:color w:val="0D47A1"/>
          <w:sz w:val="26"/>
          <w:szCs w:val="26"/>
        </w:rPr>
        <w:t xml:space="preserve">W7.2 Competitive Response Plan</w:t>
      </w:r>
    </w:p>
    <w:p>
      <w:pPr>
        <w:spacing w:before="60" w:after="90"/>
      </w:pPr>
      <w:r>
        <w:rPr>
          <w:rFonts w:ascii="Calibri" w:cs="Calibri" w:eastAsia="Calibri" w:hAnsi="Calibri"/>
          <w:color w:val="212121"/>
          <w:sz w:val="21"/>
          <w:szCs w:val="21"/>
        </w:rPr>
        <w:t xml:space="preserve">Wenn ein Hauptwettbewerber Flare-Support ankündigt oder launcht, wird folgende Reaktionsstrategie aktiviert: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000"/>
        <w:gridCol w:w="1626"/>
      </w:tblGrid>
      <w:tr>
        <w:trPr>
          <w:tblHeader/>
        </w:trPr>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Szenario</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Wahrscheinlichkeit</w:t>
            </w:r>
          </w:p>
        </w:tc>
        <w:tc>
          <w:tcPr>
            <w:tcW w:type="dxa" w:w="3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Reaktions-Maßnahme</w:t>
            </w:r>
          </w:p>
        </w:tc>
        <w:tc>
          <w:tcPr>
            <w:tcW w:type="dxa" w:w="16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Zeitfenster</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CoinTracking kündigt Flare-Integration an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 (12–18 Monate)</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Sofort: SparkDEX V4 + Ēnosys CDP als technische Alleinstellungsmerkmale hervorheben die CT nicht hat. Preis aggressiv senken (Starter: €5,99). Community-Events auf Flare.</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48 Stunden Response</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Blockpit übernimmt Flare-Startup</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Pivot zu Multi-Chain-Breite beschleunigen (Arbitrum, Base). B2B-Kanzlei-Segment intensivieren. White-Label-Angebot priorisieren.</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Sprint-Umplanung &lt; 1 Woche</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Neues Flare-natives Steuer-Tool entsteht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 (Community-Projekt)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Technische Tiefe (Dual-Szenario, FTSO-Integration) als Differenzierung betonen. Kooperationsangebot senden (OEM, API-Lizenz).</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Kooperation vor Konkurrenz bevorzugen</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Koinly launcht DE-spezifische Anlage SO</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 (2027)</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Flare-Spezialisierung ist unberührt von Koinlys DE-Verbesserung. Narrative: 'Wir sind DER Flare-Spezialist, Koinly ist generisch.'</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akuter Handlungsbedarf</w:t>
            </w:r>
          </w:p>
        </w:tc>
      </w:tr>
    </w:tbl>
    <w:p>
      <w:pPr>
        <w:spacing w:before="120" w:after="0"/>
      </w:pPr>
      <w:r>
        <w:t xml:space="preserve"/>
      </w:r>
    </w:p>
    <w:p>
      <w:pPr>
        <w:pStyle w:val="Heading2"/>
        <w:spacing w:before="280" w:after="120"/>
      </w:pPr>
      <w:r>
        <w:rPr>
          <w:rFonts w:ascii="Calibri" w:cs="Calibri" w:eastAsia="Calibri" w:hAnsi="Calibri"/>
          <w:b/>
          <w:bCs/>
          <w:color w:val="0D47A1"/>
          <w:sz w:val="26"/>
          <w:szCs w:val="26"/>
        </w:rPr>
        <w:t xml:space="preserve">W7.3 Partnerschaften als Wettbewerbsmoat</w:t>
      </w:r>
    </w:p>
    <w:p>
      <w:pPr>
        <w:spacing w:before="60" w:after="90"/>
      </w:pPr>
      <w:r>
        <w:rPr>
          <w:rFonts w:ascii="Calibri" w:cs="Calibri" w:eastAsia="Calibri" w:hAnsi="Calibri"/>
          <w:color w:val="212121"/>
          <w:sz w:val="21"/>
          <w:szCs w:val="21"/>
        </w:rPr>
        <w:t xml:space="preserve">Strategische Partnerschaften schaffen nachhaltige Wettbewerbsbarrieren, die kurzfristig nicht imitiert werden können:</w:t>
      </w:r>
    </w:p>
    <w:p>
      <w:pPr>
        <w:pStyle w:val="ListParagraph"/>
        <w:numPr>
          <w:ilvl w:val="0"/>
          <w:numId w:val="13"/>
        </w:numPr>
        <w:spacing w:before="40" w:after="40"/>
      </w:pPr>
      <w:r>
        <w:rPr>
          <w:rFonts w:ascii="Calibri" w:cs="Calibri" w:eastAsia="Calibri" w:hAnsi="Calibri"/>
          <w:b w:val="false"/>
          <w:bCs w:val="false"/>
          <w:color w:val="212121"/>
          <w:sz w:val="21"/>
          <w:szCs w:val="21"/>
        </w:rPr>
        <w:t xml:space="preserve">Flare Network Foundation: Official Ecosystem Partner → Co-Marketing, Grants, früher Zugang zu technischen Updates (Flare 2.0, FAssets V2)</w:t>
      </w:r>
    </w:p>
    <w:p>
      <w:pPr>
        <w:pStyle w:val="ListParagraph"/>
        <w:numPr>
          <w:ilvl w:val="0"/>
          <w:numId w:val="13"/>
        </w:numPr>
        <w:spacing w:before="40" w:after="40"/>
      </w:pPr>
      <w:r>
        <w:rPr>
          <w:rFonts w:ascii="Calibri" w:cs="Calibri" w:eastAsia="Calibri" w:hAnsi="Calibri"/>
          <w:b w:val="false"/>
          <w:bCs w:val="false"/>
          <w:color w:val="212121"/>
          <w:sz w:val="21"/>
          <w:szCs w:val="21"/>
        </w:rPr>
        <w:t xml:space="preserve">CoinTracking Certified Partner: Offizieller Import-Partner → Empfehlung im CoinTracking-Ökosystem für Flare-Nutzer</w:t>
      </w:r>
    </w:p>
    <w:p>
      <w:pPr>
        <w:pStyle w:val="ListParagraph"/>
        <w:numPr>
          <w:ilvl w:val="0"/>
          <w:numId w:val="13"/>
        </w:numPr>
        <w:spacing w:before="40" w:after="40"/>
      </w:pPr>
      <w:r>
        <w:rPr>
          <w:rFonts w:ascii="Calibri" w:cs="Calibri" w:eastAsia="Calibri" w:hAnsi="Calibri"/>
          <w:b w:val="false"/>
          <w:bCs w:val="false"/>
          <w:color w:val="212121"/>
          <w:sz w:val="21"/>
          <w:szCs w:val="21"/>
        </w:rPr>
        <w:t xml:space="preserve">Steuerberatungs-Kanzleien: 5–10 Partnerkanzleien mit White-Label → B2B-Umsatz + Glaubwürdigkeit</w:t>
      </w:r>
    </w:p>
    <w:p>
      <w:pPr>
        <w:pStyle w:val="ListParagraph"/>
        <w:numPr>
          <w:ilvl w:val="0"/>
          <w:numId w:val="13"/>
        </w:numPr>
        <w:spacing w:before="40" w:after="40"/>
      </w:pPr>
      <w:r>
        <w:rPr>
          <w:rFonts w:ascii="Calibri" w:cs="Calibri" w:eastAsia="Calibri" w:hAnsi="Calibri"/>
          <w:b w:val="false"/>
          <w:bCs w:val="false"/>
          <w:color w:val="212121"/>
          <w:sz w:val="21"/>
          <w:szCs w:val="21"/>
        </w:rPr>
        <w:t xml:space="preserve">Flare-native Protokolle (SparkDEX, Kinetic, Ēnosys): Integrations-Kooperationsverträge → exklusive Frühzugänge zu neuen Features, gegenseitiges Marketing</w:t>
      </w:r>
    </w:p>
    <w:p>
      <w:pPr>
        <w:pStyle w:val="ListParagraph"/>
        <w:numPr>
          <w:ilvl w:val="0"/>
          <w:numId w:val="13"/>
        </w:numPr>
        <w:spacing w:before="40" w:after="40"/>
      </w:pPr>
      <w:r>
        <w:rPr>
          <w:rFonts w:ascii="Calibri" w:cs="Calibri" w:eastAsia="Calibri" w:hAnsi="Calibri"/>
          <w:b w:val="false"/>
          <w:bCs w:val="false"/>
          <w:color w:val="212121"/>
          <w:sz w:val="21"/>
          <w:szCs w:val="21"/>
        </w:rPr>
        <w:t xml:space="preserve">BSI-Grundschutz Zertifizierung anstreben: Einziges BSI-zertifiziertes DeFi-Steuer-Tool DE → Alleinstellungsmerkmal im Enterprise-Segment</w:t>
      </w:r>
    </w:p>
    <w:p>
      <w:pPr>
        <w:spacing w:before="200" w:after="0"/>
      </w:pPr>
      <w:r>
        <w:t xml:space="preserve"/>
      </w:r>
    </w:p>
    <w:p>
      <w:pPr>
        <w:pBdr>
          <w:top w:val="single" w:color="0D47A1" w:sz="4" w:space="8"/>
        </w:pBdr>
        <w:spacing w:before="200" w:after="0"/>
        <w:jc w:val="center"/>
      </w:pPr>
      <w:r>
        <w:rPr>
          <w:rFonts w:ascii="Calibri" w:cs="Calibri" w:eastAsia="Calibri" w:hAnsi="Calibri"/>
          <w:i/>
          <w:iCs/>
          <w:color w:val="999999"/>
          <w:sz w:val="17"/>
          <w:szCs w:val="17"/>
        </w:rPr>
        <w:t xml:space="preserve">Wettbewerbsanalyse – NextGen IT Solutions GmbH, Stuttgart · März 2026 · Quellen: Misscrypto.de, Finanzwissen.de, Divly.com, Tradetax.de, Bitcoin-2go.de (Stand März 2026)</w:t>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2"/>
              <w:left w:val="single" w:color="0D47A1" w:sz="1"/>
              <w:bottom w:val="single" w:color="E65100" w:sz="6"/>
              <w:right w:val="single" w:color="0D47A1" w:sz="1"/>
            </w:tcBorders>
            <w:shd w:fill="0A3880" w:val="clear"/>
            <w:tcMar>
              <w:top w:type="dxa" w:w="160"/>
              <w:left w:type="dxa" w:w="280"/>
              <w:bottom w:type="dxa" w:w="160"/>
              <w:right w:type="dxa" w:w="200"/>
            </w:tcMar>
          </w:tcPr>
          <w:p>
            <w:pPr>
              <w:spacing w:before="0" w:after="40"/>
              <w:jc w:val="center"/>
            </w:pPr>
            <w:r>
              <w:rPr>
                <w:rFonts w:ascii="Calibri" w:cs="Calibri" w:eastAsia="Calibri" w:hAnsi="Calibri"/>
                <w:b/>
                <w:bCs/>
                <w:color w:val="FFFFFF"/>
                <w:sz w:val="40"/>
                <w:szCs w:val="40"/>
              </w:rPr>
              <w:t xml:space="preserve">TECHNISCHE ANALYSEN</w:t>
            </w:r>
          </w:p>
          <w:p>
            <w:pPr>
              <w:spacing w:before="0" w:after="0"/>
              <w:jc w:val="center"/>
            </w:pPr>
            <w:r>
              <w:rPr>
                <w:rFonts w:ascii="Calibri" w:cs="Calibri" w:eastAsia="Calibri" w:hAnsi="Calibri"/>
                <w:color w:val="B0C4DE"/>
                <w:sz w:val="22"/>
                <w:szCs w:val="22"/>
              </w:rPr>
              <w:t xml:space="preserve">Systemarchitektur · Datenbankschema · Event-Pipeline · Tax-Engine · CI/CD · Security · Monitoring · Stand: März 2026</w:t>
            </w:r>
          </w:p>
        </w:tc>
      </w:tr>
    </w:tbl>
    <w:p>
      <w:pPr>
        <w:spacing w:before="200" w:after="0"/>
      </w:pPr>
      <w:r>
        <w:t xml:space="preserve"/>
      </w:r>
    </w:p>
    <w:p>
      <w:pPr>
        <w:pStyle w:val="Heading1"/>
        <w:pBdr>
          <w:bottom w:val="single" w:color="0D47A1" w:sz="4" w:space="6"/>
        </w:pBdr>
        <w:spacing w:before="360" w:after="160"/>
      </w:pPr>
      <w:r>
        <w:rPr>
          <w:rFonts w:ascii="Calibri" w:cs="Calibri" w:eastAsia="Calibri" w:hAnsi="Calibri"/>
          <w:b/>
          <w:bCs/>
          <w:color w:val="0D47A1"/>
          <w:sz w:val="36"/>
          <w:szCs w:val="36"/>
        </w:rPr>
        <w:t xml:space="preserve">T1. Systemarchitektur – Vollständige Komponentenübersicht</w:t>
      </w:r>
    </w:p>
    <w:p>
      <w:pPr>
        <w:spacing w:before="60" w:after="90"/>
      </w:pPr>
      <w:r>
        <w:rPr>
          <w:rFonts w:ascii="Calibri" w:cs="Calibri" w:eastAsia="Calibri" w:hAnsi="Calibri"/>
          <w:color w:val="212121"/>
          <w:sz w:val="21"/>
          <w:szCs w:val="21"/>
        </w:rPr>
        <w:t xml:space="preserve">Die folgende Analyse beschreibt die vollständige technische Systemarchitektur des DeFi Tracker SaaS-Tools. Sie umfasst alle Komponenten von der Blockchain-Datenschicht bis zum Nutzer-Frontend und definiert die Schnittstellen zwischen den Subsystemen.</w:t>
      </w:r>
    </w:p>
    <w:p>
      <w:pPr>
        <w:spacing w:before="80" w:after="0"/>
      </w:pPr>
      <w:r>
        <w:t xml:space="preserve"/>
      </w:r>
    </w:p>
    <w:p>
      <w:pPr>
        <w:spacing w:before="200" w:after="80"/>
      </w:pPr>
      <w:r>
        <w:rPr>
          <w:rFonts w:ascii="Calibri" w:cs="Calibri" w:eastAsia="Calibri" w:hAnsi="Calibri"/>
          <w:b/>
          <w:bCs/>
          <w:color w:val="006064"/>
          <w:sz w:val="23"/>
          <w:szCs w:val="23"/>
        </w:rPr>
        <w:t xml:space="preserve">T1.1 Schichtenarchitektur (7-Layer-Modell)</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4"/>
              <w:left w:val="thick" w:color="0D47A1" w:sz="12"/>
              <w:bottom w:val="single" w:color="0D47A1" w:sz="1"/>
              <w:right w:val="single" w:color="0D47A1" w:sz="1"/>
            </w:tcBorders>
            <w:shd w:fill="E3F2FD" w:val="clear"/>
            <w:tcMar>
              <w:top w:type="dxa" w:w="100"/>
              <w:left w:type="dxa" w:w="200"/>
              <w:bottom w:type="dxa" w:w="100"/>
              <w:right w:type="dxa" w:w="140"/>
            </w:tcMar>
          </w:tcPr>
          <w:p>
            <w:pPr>
              <w:spacing w:before="0" w:after="30"/>
            </w:pPr>
            <w:r>
              <w:rPr>
                <w:rFonts w:ascii="Calibri" w:cs="Calibri" w:eastAsia="Calibri" w:hAnsi="Calibri"/>
                <w:b/>
                <w:bCs/>
                <w:color w:val="0D47A1"/>
                <w:sz w:val="21"/>
                <w:szCs w:val="21"/>
              </w:rPr>
              <w:t xml:space="preserve">Layer 7 – Presentation</w:t>
            </w:r>
          </w:p>
          <w:p>
            <w:pPr>
              <w:spacing w:before="0" w:after="0"/>
            </w:pPr>
            <w:r>
              <w:rPr>
                <w:rFonts w:ascii="Calibri" w:cs="Calibri" w:eastAsia="Calibri" w:hAnsi="Calibri"/>
                <w:color w:val="212121"/>
                <w:sz w:val="19"/>
                <w:szCs w:val="19"/>
              </w:rPr>
              <w:t xml:space="preserve">Next.js 15 App Router  ·  shadcn/ui + Tailwind CSS  ·  React Server Components  ·  PWA (optional Phase 4)</w:t>
            </w:r>
          </w:p>
        </w:tc>
      </w:tr>
      <w:tr>
        <w:tc>
          <w:tcPr>
            <w:tcW w:type="dxa" w:w="9026"/>
            <w:tcBorders>
              <w:top w:val="single" w:color="283593" w:sz="4"/>
              <w:left w:val="thick" w:color="283593" w:sz="12"/>
              <w:bottom w:val="single" w:color="283593" w:sz="1"/>
              <w:right w:val="single" w:color="283593" w:sz="1"/>
            </w:tcBorders>
            <w:shd w:fill="E8EAF6" w:val="clear"/>
            <w:tcMar>
              <w:top w:type="dxa" w:w="100"/>
              <w:left w:type="dxa" w:w="200"/>
              <w:bottom w:type="dxa" w:w="100"/>
              <w:right w:type="dxa" w:w="140"/>
            </w:tcMar>
          </w:tcPr>
          <w:p>
            <w:pPr>
              <w:spacing w:before="0" w:after="30"/>
            </w:pPr>
            <w:r>
              <w:rPr>
                <w:rFonts w:ascii="Calibri" w:cs="Calibri" w:eastAsia="Calibri" w:hAnsi="Calibri"/>
                <w:b/>
                <w:bCs/>
                <w:color w:val="283593"/>
                <w:sz w:val="21"/>
                <w:szCs w:val="21"/>
              </w:rPr>
              <w:t xml:space="preserve">Layer 6 – API Gateway</w:t>
            </w:r>
          </w:p>
          <w:p>
            <w:pPr>
              <w:spacing w:before="0" w:after="0"/>
            </w:pPr>
            <w:r>
              <w:rPr>
                <w:rFonts w:ascii="Calibri" w:cs="Calibri" w:eastAsia="Calibri" w:hAnsi="Calibri"/>
                <w:color w:val="212121"/>
                <w:sz w:val="19"/>
                <w:szCs w:val="19"/>
              </w:rPr>
              <w:t xml:space="preserve">tRPC v11 (type-safe)  ·  Zod Validation  ·  JWT Auth Middleware  ·  Rate Limiter (Upstash Redis)</w:t>
            </w:r>
          </w:p>
        </w:tc>
      </w:tr>
      <w:tr>
        <w:tc>
          <w:tcPr>
            <w:tcW w:type="dxa" w:w="9026"/>
            <w:tcBorders>
              <w:top w:val="single" w:color="004D40" w:sz="4"/>
              <w:left w:val="thick" w:color="004D40" w:sz="12"/>
              <w:bottom w:val="single" w:color="004D40" w:sz="1"/>
              <w:right w:val="single" w:color="004D40" w:sz="1"/>
            </w:tcBorders>
            <w:shd w:fill="E0F2F1" w:val="clear"/>
            <w:tcMar>
              <w:top w:type="dxa" w:w="100"/>
              <w:left w:type="dxa" w:w="200"/>
              <w:bottom w:type="dxa" w:w="100"/>
              <w:right w:type="dxa" w:w="140"/>
            </w:tcMar>
          </w:tcPr>
          <w:p>
            <w:pPr>
              <w:spacing w:before="0" w:after="30"/>
            </w:pPr>
            <w:r>
              <w:rPr>
                <w:rFonts w:ascii="Calibri" w:cs="Calibri" w:eastAsia="Calibri" w:hAnsi="Calibri"/>
                <w:b/>
                <w:bCs/>
                <w:color w:val="004D40"/>
                <w:sz w:val="21"/>
                <w:szCs w:val="21"/>
              </w:rPr>
              <w:t xml:space="preserve">Layer 5 – Business Logic</w:t>
            </w:r>
          </w:p>
          <w:p>
            <w:pPr>
              <w:spacing w:before="0" w:after="0"/>
            </w:pPr>
            <w:r>
              <w:rPr>
                <w:rFonts w:ascii="Calibri" w:cs="Calibri" w:eastAsia="Calibri" w:hAnsi="Calibri"/>
                <w:color w:val="212121"/>
                <w:sz w:val="19"/>
                <w:szCs w:val="19"/>
              </w:rPr>
              <w:t xml:space="preserve">Tax Calculation Engine  ·  Classification Engine  ·  Export Generator  ·  Wallet Manager</w:t>
            </w:r>
          </w:p>
        </w:tc>
      </w:tr>
      <w:tr>
        <w:tc>
          <w:tcPr>
            <w:tcW w:type="dxa" w:w="9026"/>
            <w:tcBorders>
              <w:top w:val="single" w:color="1B5E20" w:sz="4"/>
              <w:left w:val="thick" w:color="1B5E20" w:sz="12"/>
              <w:bottom w:val="single" w:color="1B5E20" w:sz="1"/>
              <w:right w:val="single" w:color="1B5E20" w:sz="1"/>
            </w:tcBorders>
            <w:shd w:fill="E8F5E9" w:val="clear"/>
            <w:tcMar>
              <w:top w:type="dxa" w:w="100"/>
              <w:left w:type="dxa" w:w="200"/>
              <w:bottom w:type="dxa" w:w="100"/>
              <w:right w:type="dxa" w:w="140"/>
            </w:tcMar>
          </w:tcPr>
          <w:p>
            <w:pPr>
              <w:spacing w:before="0" w:after="30"/>
            </w:pPr>
            <w:r>
              <w:rPr>
                <w:rFonts w:ascii="Calibri" w:cs="Calibri" w:eastAsia="Calibri" w:hAnsi="Calibri"/>
                <w:b/>
                <w:bCs/>
                <w:color w:val="1B5E20"/>
                <w:sz w:val="21"/>
                <w:szCs w:val="21"/>
              </w:rPr>
              <w:t xml:space="preserve">Layer 4 – Job Processing</w:t>
            </w:r>
          </w:p>
          <w:p>
            <w:pPr>
              <w:spacing w:before="0" w:after="0"/>
            </w:pPr>
            <w:r>
              <w:rPr>
                <w:rFonts w:ascii="Calibri" w:cs="Calibri" w:eastAsia="Calibri" w:hAnsi="Calibri"/>
                <w:color w:val="212121"/>
                <w:sz w:val="19"/>
                <w:szCs w:val="19"/>
              </w:rPr>
              <w:t xml:space="preserve">BullMQ (Redis-backed)  ·  Historical Import Worker  ·  Realtime Sync Worker  ·  Price Feed Worker</w:t>
            </w:r>
          </w:p>
        </w:tc>
      </w:tr>
      <w:tr>
        <w:tc>
          <w:tcPr>
            <w:tcW w:type="dxa" w:w="9026"/>
            <w:tcBorders>
              <w:top w:val="single" w:color="E65100" w:sz="4"/>
              <w:left w:val="thick" w:color="E65100" w:sz="12"/>
              <w:bottom w:val="single" w:color="E65100" w:sz="1"/>
              <w:right w:val="single" w:color="E65100" w:sz="1"/>
            </w:tcBorders>
            <w:shd w:fill="FFF8E1" w:val="clear"/>
            <w:tcMar>
              <w:top w:type="dxa" w:w="100"/>
              <w:left w:type="dxa" w:w="200"/>
              <w:bottom w:type="dxa" w:w="100"/>
              <w:right w:type="dxa" w:w="140"/>
            </w:tcMar>
          </w:tcPr>
          <w:p>
            <w:pPr>
              <w:spacing w:before="0" w:after="30"/>
            </w:pPr>
            <w:r>
              <w:rPr>
                <w:rFonts w:ascii="Calibri" w:cs="Calibri" w:eastAsia="Calibri" w:hAnsi="Calibri"/>
                <w:b/>
                <w:bCs/>
                <w:color w:val="E65100"/>
                <w:sz w:val="21"/>
                <w:szCs w:val="21"/>
              </w:rPr>
              <w:t xml:space="preserve">Layer 3 – Data Access</w:t>
            </w:r>
          </w:p>
          <w:p>
            <w:pPr>
              <w:spacing w:before="0" w:after="0"/>
            </w:pPr>
            <w:r>
              <w:rPr>
                <w:rFonts w:ascii="Calibri" w:cs="Calibri" w:eastAsia="Calibri" w:hAnsi="Calibri"/>
                <w:color w:val="212121"/>
                <w:sz w:val="19"/>
                <w:szCs w:val="19"/>
              </w:rPr>
              <w:t xml:space="preserve">Prisma ORM v6  ·  PostgreSQL 16  ·  Redis 7 (Cache + Queue)  ·  S3 (Archiv-Storage)</w:t>
            </w:r>
          </w:p>
        </w:tc>
      </w:tr>
      <w:tr>
        <w:tc>
          <w:tcPr>
            <w:tcW w:type="dxa" w:w="9026"/>
            <w:tcBorders>
              <w:top w:val="single" w:color="4A148C" w:sz="4"/>
              <w:left w:val="thick" w:color="4A148C" w:sz="12"/>
              <w:bottom w:val="single" w:color="4A148C" w:sz="1"/>
              <w:right w:val="single" w:color="4A148C" w:sz="1"/>
            </w:tcBorders>
            <w:shd w:fill="F3E5F5" w:val="clear"/>
            <w:tcMar>
              <w:top w:type="dxa" w:w="100"/>
              <w:left w:type="dxa" w:w="200"/>
              <w:bottom w:type="dxa" w:w="100"/>
              <w:right w:type="dxa" w:w="140"/>
            </w:tcMar>
          </w:tcPr>
          <w:p>
            <w:pPr>
              <w:spacing w:before="0" w:after="30"/>
            </w:pPr>
            <w:r>
              <w:rPr>
                <w:rFonts w:ascii="Calibri" w:cs="Calibri" w:eastAsia="Calibri" w:hAnsi="Calibri"/>
                <w:b/>
                <w:bCs/>
                <w:color w:val="4A148C"/>
                <w:sz w:val="21"/>
                <w:szCs w:val="21"/>
              </w:rPr>
              <w:t xml:space="preserve">Layer 2 – Blockchain Indexer</w:t>
            </w:r>
          </w:p>
          <w:p>
            <w:pPr>
              <w:spacing w:before="0" w:after="0"/>
            </w:pPr>
            <w:r>
              <w:rPr>
                <w:rFonts w:ascii="Calibri" w:cs="Calibri" w:eastAsia="Calibri" w:hAnsi="Calibri"/>
                <w:color w:val="212121"/>
                <w:sz w:val="19"/>
                <w:szCs w:val="19"/>
              </w:rPr>
              <w:t xml:space="preserve">The Graph Client  ·  EVM JSON-RPC (Ethers.js v6)  ·  LayerZero Scan API  ·  ABI Registry</w:t>
            </w:r>
          </w:p>
        </w:tc>
      </w:tr>
      <w:tr>
        <w:tc>
          <w:tcPr>
            <w:tcW w:type="dxa" w:w="9026"/>
            <w:tcBorders>
              <w:top w:val="single" w:color="B71C1C" w:sz="4"/>
              <w:left w:val="thick" w:color="B71C1C" w:sz="12"/>
              <w:bottom w:val="single" w:color="B71C1C" w:sz="1"/>
              <w:right w:val="single" w:color="B71C1C" w:sz="1"/>
            </w:tcBorders>
            <w:shd w:fill="FFEBEE" w:val="clear"/>
            <w:tcMar>
              <w:top w:type="dxa" w:w="100"/>
              <w:left w:type="dxa" w:w="200"/>
              <w:bottom w:type="dxa" w:w="100"/>
              <w:right w:type="dxa" w:w="140"/>
            </w:tcMar>
          </w:tcPr>
          <w:p>
            <w:pPr>
              <w:spacing w:before="0" w:after="30"/>
            </w:pPr>
            <w:r>
              <w:rPr>
                <w:rFonts w:ascii="Calibri" w:cs="Calibri" w:eastAsia="Calibri" w:hAnsi="Calibri"/>
                <w:b/>
                <w:bCs/>
                <w:color w:val="B71C1C"/>
                <w:sz w:val="21"/>
                <w:szCs w:val="21"/>
              </w:rPr>
              <w:t xml:space="preserve">Layer 1 – External Data</w:t>
            </w:r>
          </w:p>
          <w:p>
            <w:pPr>
              <w:spacing w:before="0" w:after="0"/>
            </w:pPr>
            <w:r>
              <w:rPr>
                <w:rFonts w:ascii="Calibri" w:cs="Calibri" w:eastAsia="Calibri" w:hAnsi="Calibri"/>
                <w:color w:val="212121"/>
                <w:sz w:val="19"/>
                <w:szCs w:val="19"/>
              </w:rPr>
              <w:t xml:space="preserve">Flare FTSO (On-Chain)  ·  CoinGecko API  ·  CoinMarketCap API  ·  Hetzner Object Storage</w:t>
            </w:r>
          </w:p>
        </w:tc>
      </w:tr>
    </w:tbl>
    <w:p>
      <w:pPr>
        <w:spacing w:before="120" w:after="0"/>
      </w:pPr>
      <w:r>
        <w:t xml:space="preserve"/>
      </w:r>
    </w:p>
    <w:p>
      <w:pPr>
        <w:spacing w:before="200" w:after="80"/>
      </w:pPr>
      <w:r>
        <w:rPr>
          <w:rFonts w:ascii="Calibri" w:cs="Calibri" w:eastAsia="Calibri" w:hAnsi="Calibri"/>
          <w:b/>
          <w:bCs/>
          <w:color w:val="006064"/>
          <w:sz w:val="23"/>
          <w:szCs w:val="23"/>
        </w:rPr>
        <w:t xml:space="preserve">T1.2 Microservices-Übersicht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1600"/>
        <w:gridCol w:w="1026"/>
      </w:tblGrid>
      <w:tr>
        <w:trPr>
          <w:tblHeader/>
        </w:trPr>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Service</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Technologie</w:t>
            </w:r>
          </w:p>
        </w:tc>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Verantwortlichkeit</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Skalierung</w:t>
            </w:r>
          </w:p>
        </w:tc>
        <w:tc>
          <w:tcPr>
            <w:tcW w:type="dxa" w:w="10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Kommunikation</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api-gateway</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Node.js + tRPC</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Authentifizierung, Routing, Rate-Limiting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Horizontal (stateless)</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REST/tRPC → internal services</w:t>
            </w:r>
          </w:p>
        </w:tc>
      </w:tr>
      <w:tr>
        <w:tc>
          <w:tcPr>
            <w:tcW w:type="dxa" w:w="18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indexer-service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Node.js + Ethers.js v6</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On-Chain TX-Indexierung aller 6 Protokolle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 Instanz/Chain (initial)</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BullMQ Jobs → tx-processor</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tx-processor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Node.js</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ABI-Decoding, Event-Klassifikation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Horizontal (Job-Worker)</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PostgreSQL writes</w:t>
            </w:r>
          </w:p>
        </w:tc>
      </w:tr>
      <w:tr>
        <w:tc>
          <w:tcPr>
            <w:tcW w:type="dxa" w:w="18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price-service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Node.js</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FTSO/CoinGecko Preisfeeds, Caching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 Instanz (Redis-backed)</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Redis Cache → alle Services</w:t>
            </w:r>
          </w:p>
        </w:tc>
      </w:tr>
      <w:tr>
        <w:tc>
          <w:tcPr>
            <w:tcW w:type="dxa" w:w="18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tax-engine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TypeScript</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FIFO/LIFO/HIFO Berechnung, Lot-Tracking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On-demand (compute-heavy)</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PostgreSQL read/write</w:t>
            </w:r>
          </w:p>
        </w:tc>
      </w:tr>
      <w:tr>
        <w:tc>
          <w:tcPr>
            <w:tcW w:type="dxa" w:w="1800"/>
            <w:tcBorders>
              <w:top w:val="single" w:color="CFD8DC" w:sz="1"/>
              <w:left w:val="single" w:color="CFD8DC" w:sz="1"/>
              <w:bottom w:val="single" w:color="CFD8DC" w:sz="1"/>
              <w:right w:val="single" w:color="CFD8DC" w:sz="1"/>
            </w:tcBorders>
            <w:shd w:fill="E8EAF6" w:val="clear"/>
            <w:tcMar>
              <w:top w:type="dxa" w:w="80"/>
              <w:left w:type="dxa" w:w="130"/>
              <w:bottom w:type="dxa" w:w="80"/>
              <w:right w:type="dxa" w:w="80"/>
            </w:tcMar>
          </w:tcPr>
          <w:p>
            <w:pPr>
              <w:jc w:val="left"/>
            </w:pPr>
            <w:r>
              <w:rPr>
                <w:rFonts w:ascii="Calibri" w:cs="Calibri" w:eastAsia="Calibri" w:hAnsi="Calibri"/>
                <w:b/>
                <w:bCs/>
                <w:color w:val="283593"/>
                <w:sz w:val="20"/>
                <w:szCs w:val="20"/>
              </w:rPr>
              <w:t xml:space="preserve">export-service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Node.js + csv-writer</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CSV/PDF/XLSX/ELSTER Generierung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Horizontal (stateless)</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S3 Storage, PostgreSQL read</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notification-service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Node.js + WebSocket</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TX-Alerts, Sync-Status, Threshold-Warnings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 Instanz (initial)</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WebSocket → Frontend</w:t>
            </w:r>
          </w:p>
        </w:tc>
      </w:tr>
      <w:tr>
        <w:tc>
          <w:tcPr>
            <w:tcW w:type="dxa" w:w="18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audit-service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Node.js</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GoBD Audit-Log, Hash-Kette, Archivierung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Append-only (stateless)</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PostgreSQL append-only</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T2. Datenbankschema – PostgreSQL Kerntabellen</w:t>
      </w:r>
    </w:p>
    <w:p>
      <w:pPr>
        <w:spacing w:before="60" w:after="90"/>
      </w:pPr>
      <w:r>
        <w:rPr>
          <w:rFonts w:ascii="Calibri" w:cs="Calibri" w:eastAsia="Calibri" w:hAnsi="Calibri"/>
          <w:color w:val="212121"/>
          <w:sz w:val="21"/>
          <w:szCs w:val="21"/>
        </w:rPr>
        <w:t xml:space="preserve">Das Datenbankschema ist für GoBD-Konformität (Unveränderlichkeit, Vollständigkeit) und steuerliche Korrektheit (Lot-Tracking, Haltefrist, EUR-Werte) optimiert. Alle steuerrelevanten Felder sind NOT NULL mit Constraint-Validierung.</w:t>
      </w:r>
    </w:p>
    <w:p>
      <w:pPr>
        <w:spacing w:before="80" w:after="0"/>
      </w:pPr>
      <w:r>
        <w:t xml:space="preserve"/>
      </w:r>
    </w:p>
    <w:p>
      <w:pPr>
        <w:spacing w:before="200" w:after="80"/>
      </w:pPr>
      <w:r>
        <w:rPr>
          <w:rFonts w:ascii="Calibri" w:cs="Calibri" w:eastAsia="Calibri" w:hAnsi="Calibri"/>
          <w:b/>
          <w:bCs/>
          <w:color w:val="006064"/>
          <w:sz w:val="23"/>
          <w:szCs w:val="23"/>
        </w:rPr>
        <w:t xml:space="preserve">T2.1 Kern-Entitäten (vereinfachtes ER-Modell)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00"/>
        <w:gridCol w:w="1900"/>
        <w:gridCol w:w="726"/>
      </w:tblGrid>
      <w:tr>
        <w:trPr>
          <w:tblHeader/>
        </w:trPr>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Tabelle</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Primärschlüssel</w:t>
            </w:r>
          </w:p>
        </w:tc>
        <w:tc>
          <w:tcPr>
            <w:tcW w:type="dxa" w:w="3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Wichtige Felder</w:t>
            </w:r>
          </w:p>
        </w:tc>
        <w:tc>
          <w:tcPr>
            <w:tcW w:type="dxa" w:w="19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Beziehungen</w:t>
            </w:r>
          </w:p>
        </w:tc>
        <w:tc>
          <w:tcPr>
            <w:tcW w:type="dxa" w:w="7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Indexe</w:t>
            </w:r>
          </w:p>
        </w:tc>
      </w:tr>
      <w:tr>
        <w:tc>
          <w:tcPr>
            <w:tcW w:type="dxa" w:w="16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users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 (UUID)</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email, plan_tier, created_at, deleted_at (soft-delete)</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1:N → wallets, tax_reports</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idx_email (unique)</w:t>
            </w:r>
          </w:p>
        </w:tc>
      </w:tr>
      <w:tr>
        <w:tc>
          <w:tcPr>
            <w:tcW w:type="dxa" w:w="16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wallets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 (UUID)</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user_id, address (42-char EVM), chain_id, label, synced_at</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N:1 → users; 1:N → transactions</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idx_address_chain (unique)</w:t>
            </w:r>
          </w:p>
        </w:tc>
      </w:tr>
      <w:tr>
        <w:tc>
          <w:tcPr>
            <w:tcW w:type="dxa" w:w="16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transactions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 (UUID)</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wallet_id, tx_hash (unique), block_number, block_timestamp, protocol, tx_type, raw_log (JSONB)</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N:1 → wallets; 1:N → tx_legs, price_points</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idx_tx_hash (unique), idx_wallet_timestamp</w:t>
            </w:r>
          </w:p>
        </w:tc>
      </w:tr>
      <w:tr>
        <w:tc>
          <w:tcPr>
            <w:tcW w:type="dxa" w:w="16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tx_legs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 (UUID)</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tx_id, direction (IN/OUT), token_address, token_symbol, amount (NUMERIC 36,18), cointracking_type</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N:1 → transactions; N:1 → token_prices</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idx_tx_id, idx_token_type</w:t>
            </w:r>
          </w:p>
        </w:tc>
      </w:tr>
      <w:tr>
        <w:tc>
          <w:tcPr>
            <w:tcW w:type="dxa" w:w="16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token_prices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 (UUID)</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token_address, chain_id, timestamp (Unix), eur_price (NUMERIC 28,10), source (FTSO/CG/CMC/MANUAL)</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1:N → tx_legs</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idx_token_timestamp (unique)</w:t>
            </w:r>
          </w:p>
        </w:tc>
      </w:tr>
      <w:tr>
        <w:tc>
          <w:tcPr>
            <w:tcW w:type="dxa" w:w="16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tax_lots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 (UUID)</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wallet_id, token_address, acquisition_date, acquisition_eur, amount_original, amount_remaining, lot_status (OPEN/CLOSED/PARTIAL)</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N:1 → wallets; linked to tx_legs</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idx_wallet_token_date</w:t>
            </w:r>
          </w:p>
        </w:tc>
      </w:tr>
      <w:tr>
        <w:tc>
          <w:tcPr>
            <w:tcW w:type="dxa" w:w="16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tax_events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 (UUID)</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wallet_id, tax_year, event_type (23ESTG/22NR3), realized_eur, holding_days, method (FIFO/LIFO/HIFO), lot_ids[]</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N:1 → wallets</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idx_wallet_year</w:t>
            </w:r>
          </w:p>
        </w:tc>
      </w:tr>
      <w:tr>
        <w:tc>
          <w:tcPr>
            <w:tcW w:type="dxa" w:w="16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audit_log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 (BIGSERIAL)</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entity_type, entity_id, action, actor_id, payload (JSONB), sha256_hash, prev_hash</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Append-only – keine Updates/Deletes</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idx_entity, idx_hash</w:t>
            </w:r>
          </w:p>
        </w:tc>
      </w:tr>
      <w:tr>
        <w:tc>
          <w:tcPr>
            <w:tcW w:type="dxa" w:w="16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exports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 (UUID)</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user_id, tax_year, format, method, status, s3_key, row_count, created_at</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N:1 → users</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idx_user_year</w:t>
            </w:r>
          </w:p>
        </w:tc>
      </w:tr>
      <w:tr>
        <w:tc>
          <w:tcPr>
            <w:tcW w:type="dxa" w:w="16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price_audit_log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 (UUID)</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token_address, timestamp, eur_price, source, api_response (JSONB) – GoBD-Pflicht</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Append-only</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idx_token_ts (unique)</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1"/>
              <w:left w:val="thick" w:color="E65100" w:sz="18"/>
              <w:bottom w:val="single" w:color="E65100" w:sz="1"/>
              <w:right w:val="single" w:color="E65100" w:sz="1"/>
            </w:tcBorders>
            <w:shd w:fill="FFF8E1" w:val="clear"/>
            <w:tcMar>
              <w:top w:type="dxa" w:w="110"/>
              <w:left w:type="dxa" w:w="200"/>
              <w:bottom w:type="dxa" w:w="110"/>
              <w:right w:type="dxa" w:w="140"/>
            </w:tcMar>
          </w:tcPr>
          <w:p>
            <w:pPr>
              <w:spacing w:before="0" w:after="40"/>
            </w:pPr>
            <w:r>
              <w:rPr>
                <w:rFonts w:ascii="Calibri" w:cs="Calibri" w:eastAsia="Calibri" w:hAnsi="Calibri"/>
                <w:b/>
                <w:bCs/>
                <w:color w:val="E65100"/>
                <w:sz w:val="21"/>
                <w:szCs w:val="21"/>
              </w:rPr>
              <w:t xml:space="preserve">GoBD-Datenbankdesign-Prinzipien</w:t>
            </w:r>
          </w:p>
          <w:p>
            <w:pPr>
              <w:spacing w:before="0" w:after="0"/>
            </w:pPr>
            <w:r>
              <w:rPr>
                <w:rFonts w:ascii="Calibri" w:cs="Calibri" w:eastAsia="Calibri" w:hAnsi="Calibri"/>
                <w:color w:val="212121"/>
                <w:sz w:val="20"/>
                <w:szCs w:val="20"/>
              </w:rPr>
              <w:t xml:space="preserve">1. Keine DELETE-Statements auf steuerrelevante Tabellen (transactions, tx_legs, tax_lots, tax_events, audit_log). 2. Soft-Delete via deleted_at Timestamp für User-Daten (DSGVO-kompatibel). 3. audit_log ist append-only mit SHA-256 Hash-Kette (jeder Record enthält Hash des Vorgängers). 4. NUMERIC-Typen für alle Geldbeträge (kein FLOAT – Rundungsfehler vermeiden). 5. Alle Timestamps in UTC (Unix epoch) + ISO 8601 für GoBD-Sekundengenauigkeit.</w:t>
            </w:r>
          </w:p>
        </w:tc>
      </w:tr>
    </w:tbl>
    <w:p>
      <w:pPr>
        <w:spacing w:before="80" w:after="0"/>
      </w:pPr>
      <w:r>
        <w:t xml:space="preserve"/>
      </w:r>
    </w:p>
    <w:p>
      <w:pPr>
        <w:spacing w:before="200" w:after="80"/>
      </w:pPr>
      <w:r>
        <w:rPr>
          <w:rFonts w:ascii="Calibri" w:cs="Calibri" w:eastAsia="Calibri" w:hAnsi="Calibri"/>
          <w:b/>
          <w:bCs/>
          <w:color w:val="006064"/>
          <w:sz w:val="23"/>
          <w:szCs w:val="23"/>
        </w:rPr>
        <w:t xml:space="preserve">T2.2 Kritische SQL-Constraints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63238" w:sz="2"/>
              <w:left w:val="single" w:color="263238" w:sz="2"/>
              <w:bottom w:val="single" w:color="263238" w:sz="2"/>
              <w:right w:val="single" w:color="263238" w:sz="2"/>
            </w:tcBorders>
            <w:shd w:fill="1E2A3A" w:val="clear"/>
            <w:tcMar>
              <w:top w:type="dxa" w:w="120"/>
              <w:left w:type="dxa" w:w="200"/>
              <w:bottom w:type="dxa" w:w="120"/>
              <w:right w:type="dxa" w:w="160"/>
            </w:tcMar>
          </w:tcPr>
          <w:p>
            <w:pPr>
              <w:spacing w:before="0" w:after="20"/>
            </w:pPr>
            <w:r>
              <w:rPr>
                <w:rFonts w:ascii="Courier New" w:cs="Courier New" w:eastAsia="Courier New" w:hAnsi="Courier New"/>
                <w:color w:val="A8D8EA"/>
                <w:sz w:val="17"/>
                <w:szCs w:val="17"/>
              </w:rPr>
              <w:t xml:space="preserve">-- Unveränderlichkeit: Keine Updates auf steuerrelevante Felder nach Finalisierung</w:t>
            </w:r>
          </w:p>
          <w:p>
            <w:pPr>
              <w:spacing w:before="0" w:after="20"/>
            </w:pPr>
            <w:r>
              <w:rPr>
                <w:rFonts w:ascii="Courier New" w:cs="Courier New" w:eastAsia="Courier New" w:hAnsi="Courier New"/>
                <w:color w:val="A8D8EA"/>
                <w:sz w:val="17"/>
                <w:szCs w:val="17"/>
              </w:rPr>
              <w:t xml:space="preserve">ALTER TABLE transactions ADD CONSTRAINT no_update_finalized</w:t>
            </w:r>
          </w:p>
          <w:p>
            <w:pPr>
              <w:spacing w:before="0" w:after="20"/>
            </w:pPr>
            <w:r>
              <w:rPr>
                <w:rFonts w:ascii="Courier New" w:cs="Courier New" w:eastAsia="Courier New" w:hAnsi="Courier New"/>
                <w:color w:val="A8D8EA"/>
                <w:sz w:val="17"/>
                <w:szCs w:val="17"/>
              </w:rPr>
              <w:t xml:space="preserve">  CHECK (status IN ('pending', 'classified', 'reviewed', 'finalized'));</w:t>
            </w:r>
          </w:p>
          <w:p>
            <w:pPr>
              <w:spacing w:before="0" w:after="20"/>
            </w:pPr>
            <w:r>
              <w:rPr>
                <w:rFonts w:ascii="Courier New" w:cs="Courier New" w:eastAsia="Courier New" w:hAnsi="Courier New"/>
                <w:color w:val="A8D8EA"/>
                <w:sz w:val="17"/>
                <w:szCs w:val="17"/>
              </w:rPr>
              <w:t xml:space="preserve"/>
            </w:r>
          </w:p>
          <w:p>
            <w:pPr>
              <w:spacing w:before="0" w:after="20"/>
            </w:pPr>
            <w:r>
              <w:rPr>
                <w:rFonts w:ascii="Courier New" w:cs="Courier New" w:eastAsia="Courier New" w:hAnsi="Courier New"/>
                <w:color w:val="A8D8EA"/>
                <w:sz w:val="17"/>
                <w:szCs w:val="17"/>
              </w:rPr>
              <w:t xml:space="preserve">-- Audit-Log Hash-Kette: SHA-256 Integrität</w:t>
            </w:r>
          </w:p>
          <w:p>
            <w:pPr>
              <w:spacing w:before="0" w:after="20"/>
            </w:pPr>
            <w:r>
              <w:rPr>
                <w:rFonts w:ascii="Courier New" w:cs="Courier New" w:eastAsia="Courier New" w:hAnsi="Courier New"/>
                <w:color w:val="A8D8EA"/>
                <w:sz w:val="17"/>
                <w:szCs w:val="17"/>
              </w:rPr>
              <w:t xml:space="preserve">ALTER TABLE audit_log ADD CONSTRAINT sha256_format</w:t>
            </w:r>
          </w:p>
          <w:p>
            <w:pPr>
              <w:spacing w:before="0" w:after="20"/>
            </w:pPr>
            <w:r>
              <w:rPr>
                <w:rFonts w:ascii="Courier New" w:cs="Courier New" w:eastAsia="Courier New" w:hAnsi="Courier New"/>
                <w:color w:val="A8D8EA"/>
                <w:sz w:val="17"/>
                <w:szCs w:val="17"/>
              </w:rPr>
              <w:t xml:space="preserve">  CHECK (sha256_hash ~ '^[a-f0-9]{64}$');</w:t>
            </w:r>
          </w:p>
          <w:p>
            <w:pPr>
              <w:spacing w:before="0" w:after="20"/>
            </w:pPr>
            <w:r>
              <w:rPr>
                <w:rFonts w:ascii="Courier New" w:cs="Courier New" w:eastAsia="Courier New" w:hAnsi="Courier New"/>
                <w:color w:val="A8D8EA"/>
                <w:sz w:val="17"/>
                <w:szCs w:val="17"/>
              </w:rPr>
              <w:t xml:space="preserve"/>
            </w:r>
          </w:p>
          <w:p>
            <w:pPr>
              <w:spacing w:before="0" w:after="20"/>
            </w:pPr>
            <w:r>
              <w:rPr>
                <w:rFonts w:ascii="Courier New" w:cs="Courier New" w:eastAsia="Courier New" w:hAnsi="Courier New"/>
                <w:color w:val="A8D8EA"/>
                <w:sz w:val="17"/>
                <w:szCs w:val="17"/>
              </w:rPr>
              <w:t xml:space="preserve">-- NUMERIC Precision für EUR-Werte (28 Stellen, 10 Dezimalstellen)</w:t>
            </w:r>
          </w:p>
          <w:p>
            <w:pPr>
              <w:spacing w:before="0" w:after="20"/>
            </w:pPr>
            <w:r>
              <w:rPr>
                <w:rFonts w:ascii="Courier New" w:cs="Courier New" w:eastAsia="Courier New" w:hAnsi="Courier New"/>
                <w:color w:val="A8D8EA"/>
                <w:sz w:val="17"/>
                <w:szCs w:val="17"/>
              </w:rPr>
              <w:t xml:space="preserve">ALTER TABLE token_prices ADD CONSTRAINT eur_positive CHECK (eur_price &gt;= 0);</w:t>
            </w:r>
          </w:p>
          <w:p>
            <w:pPr>
              <w:spacing w:before="0" w:after="20"/>
            </w:pPr>
            <w:r>
              <w:rPr>
                <w:rFonts w:ascii="Courier New" w:cs="Courier New" w:eastAsia="Courier New" w:hAnsi="Courier New"/>
                <w:color w:val="A8D8EA"/>
                <w:sz w:val="17"/>
                <w:szCs w:val="17"/>
              </w:rPr>
              <w:t xml:space="preserve"/>
            </w:r>
          </w:p>
          <w:p>
            <w:pPr>
              <w:spacing w:before="0" w:after="20"/>
            </w:pPr>
            <w:r>
              <w:rPr>
                <w:rFonts w:ascii="Courier New" w:cs="Courier New" w:eastAsia="Courier New" w:hAnsi="Courier New"/>
                <w:color w:val="A8D8EA"/>
                <w:sz w:val="17"/>
                <w:szCs w:val="17"/>
              </w:rPr>
              <w:t xml:space="preserve">-- Haltefrist-Validierung: acquisition_date muss vor Disposal liegen</w:t>
            </w:r>
          </w:p>
          <w:p>
            <w:pPr>
              <w:spacing w:before="0" w:after="20"/>
            </w:pPr>
            <w:r>
              <w:rPr>
                <w:rFonts w:ascii="Courier New" w:cs="Courier New" w:eastAsia="Courier New" w:hAnsi="Courier New"/>
                <w:color w:val="A8D8EA"/>
                <w:sz w:val="17"/>
                <w:szCs w:val="17"/>
              </w:rPr>
              <w:t xml:space="preserve">ALTER TABLE tax_lots ADD CONSTRAINT valid_holding</w:t>
            </w:r>
          </w:p>
          <w:p>
            <w:pPr>
              <w:spacing w:before="0" w:after="20"/>
            </w:pPr>
            <w:r>
              <w:rPr>
                <w:rFonts w:ascii="Courier New" w:cs="Courier New" w:eastAsia="Courier New" w:hAnsi="Courier New"/>
                <w:color w:val="A8D8EA"/>
                <w:sz w:val="17"/>
                <w:szCs w:val="17"/>
              </w:rPr>
              <w:t xml:space="preserve">  CHECK (acquisition_date &lt;= COALESCE(disposal_date, NOW()));</w:t>
            </w:r>
          </w:p>
          <w:p>
            <w:pPr>
              <w:spacing w:before="0" w:after="20"/>
            </w:pPr>
            <w:r>
              <w:rPr>
                <w:rFonts w:ascii="Courier New" w:cs="Courier New" w:eastAsia="Courier New" w:hAnsi="Courier New"/>
                <w:color w:val="A8D8EA"/>
                <w:sz w:val="17"/>
                <w:szCs w:val="17"/>
              </w:rPr>
              <w:t xml:space="preserve"/>
            </w:r>
          </w:p>
          <w:p>
            <w:pPr>
              <w:spacing w:before="0" w:after="20"/>
            </w:pPr>
            <w:r>
              <w:rPr>
                <w:rFonts w:ascii="Courier New" w:cs="Courier New" w:eastAsia="Courier New" w:hAnsi="Courier New"/>
                <w:color w:val="A8D8EA"/>
                <w:sz w:val="17"/>
                <w:szCs w:val="17"/>
              </w:rPr>
              <w:t xml:space="preserve">-- Wallet-Adresse: EVM-Format Validierung</w:t>
            </w:r>
          </w:p>
          <w:p>
            <w:pPr>
              <w:spacing w:before="0" w:after="20"/>
            </w:pPr>
            <w:r>
              <w:rPr>
                <w:rFonts w:ascii="Courier New" w:cs="Courier New" w:eastAsia="Courier New" w:hAnsi="Courier New"/>
                <w:color w:val="A8D8EA"/>
                <w:sz w:val="17"/>
                <w:szCs w:val="17"/>
              </w:rPr>
              <w:t xml:space="preserve">ALTER TABLE wallets ADD CONSTRAINT valid_evm_address</w:t>
            </w:r>
          </w:p>
          <w:p>
            <w:pPr>
              <w:spacing w:before="0" w:after="20"/>
            </w:pPr>
            <w:r>
              <w:rPr>
                <w:rFonts w:ascii="Courier New" w:cs="Courier New" w:eastAsia="Courier New" w:hAnsi="Courier New"/>
                <w:color w:val="A8D8EA"/>
                <w:sz w:val="17"/>
                <w:szCs w:val="17"/>
              </w:rPr>
              <w:t xml:space="preserve">  CHECK (address ~ '^0x[0-9a-fA-F]{40}$');</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T3. Event-Decoding-Pipeline – Technische Spezifikation</w:t>
      </w:r>
    </w:p>
    <w:p>
      <w:pPr>
        <w:spacing w:before="60" w:after="90"/>
      </w:pPr>
      <w:r>
        <w:rPr>
          <w:rFonts w:ascii="Calibri" w:cs="Calibri" w:eastAsia="Calibri" w:hAnsi="Calibri"/>
          <w:color w:val="212121"/>
          <w:sz w:val="21"/>
          <w:szCs w:val="21"/>
        </w:rPr>
        <w:t xml:space="preserve">Die Event-Decoding-Pipeline ist das Kernstück der Datenerfassung. Sie transformiert rohe On-Chain-Events in strukturierte, steuerrechtlich klassifizierte Transaktionsdatensätze.</w:t>
      </w:r>
    </w:p>
    <w:p>
      <w:pPr>
        <w:spacing w:before="80" w:after="0"/>
      </w:pPr>
      <w:r>
        <w:t xml:space="preserve"/>
      </w:r>
    </w:p>
    <w:p>
      <w:pPr>
        <w:spacing w:before="200" w:after="80"/>
      </w:pPr>
      <w:r>
        <w:rPr>
          <w:rFonts w:ascii="Calibri" w:cs="Calibri" w:eastAsia="Calibri" w:hAnsi="Calibri"/>
          <w:b/>
          <w:bCs/>
          <w:color w:val="006064"/>
          <w:sz w:val="23"/>
          <w:szCs w:val="23"/>
        </w:rPr>
        <w:t xml:space="preserve">T3.1 Pipeline-Architektur (5 Stufen)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2300"/>
        <w:gridCol w:w="1726"/>
      </w:tblGrid>
      <w:tr>
        <w:trPr>
          <w:tblHeader/>
        </w:trPr>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Stufe</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Komponente</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Input</w:t>
            </w:r>
          </w:p>
        </w:tc>
        <w:tc>
          <w:tcPr>
            <w:tcW w:type="dxa" w:w="2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Output</w:t>
            </w:r>
          </w:p>
        </w:tc>
        <w:tc>
          <w:tcPr>
            <w:tcW w:type="dxa" w:w="17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Fehlerbehandlung</w:t>
            </w:r>
          </w:p>
        </w:tc>
      </w:tr>
      <w:tr>
        <w:tc>
          <w:tcPr>
            <w:tcW w:type="dxa" w:w="14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1. Block-Scan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indexer-service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Neue Block-Headers via eth_subscribe</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Block-Number + TX-Hash-Liste</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Retry mit exp. Backoff; Gap-Detection</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2. Log-Fetch</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indexer-service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TX-Hash-Liste</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Raw Event-Logs (JSONB)</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RPC-Fallback; Batch-Fetch (max 100 TX/Batch)</w:t>
            </w:r>
          </w:p>
        </w:tc>
      </w:tr>
      <w:tr>
        <w:tc>
          <w:tcPr>
            <w:tcW w:type="dxa" w:w="14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3. ABI-Decode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tx-processor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Raw Event-Logs + ABI-Registry</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Decoded Events (Contract + Function + Params)</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Unbekanntes ABI → Heuristik-Fallback</w:t>
            </w:r>
          </w:p>
        </w:tc>
      </w:tr>
      <w:tr>
        <w:tc>
          <w:tcPr>
            <w:tcW w:type="dxa" w:w="14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4. Classification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tx-processor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Decoded Events + Contract-Address</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CoinTracking-Typ + Steuer-§ + DeFi-Protokoll</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Unbekannt → Manual-Review-Flag</w:t>
            </w:r>
          </w:p>
        </w:tc>
      </w:tr>
      <w:tr>
        <w:tc>
          <w:tcPr>
            <w:tcW w:type="dxa" w:w="14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5. Enrichment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price-service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Classified TX + Timestamps</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+EUR-Wert (FTSO/CG) + Audit-Hash</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Price-Not-Found → Alert + Manual-Input</w:t>
            </w:r>
          </w:p>
        </w:tc>
      </w:tr>
    </w:tbl>
    <w:p>
      <w:pPr>
        <w:spacing w:before="80" w:after="0"/>
      </w:pPr>
      <w:r>
        <w:t xml:space="preserve"/>
      </w:r>
    </w:p>
    <w:p>
      <w:pPr>
        <w:spacing w:before="200" w:after="80"/>
      </w:pPr>
      <w:r>
        <w:rPr>
          <w:rFonts w:ascii="Calibri" w:cs="Calibri" w:eastAsia="Calibri" w:hAnsi="Calibri"/>
          <w:b/>
          <w:bCs/>
          <w:color w:val="006064"/>
          <w:sz w:val="23"/>
          <w:szCs w:val="23"/>
        </w:rPr>
        <w:t xml:space="preserve">T3.2 ABI-Registry-Management</w:t>
      </w:r>
    </w:p>
    <w:p>
      <w:pPr>
        <w:spacing w:before="60" w:after="90"/>
      </w:pPr>
      <w:r>
        <w:rPr>
          <w:rFonts w:ascii="Calibri" w:cs="Calibri" w:eastAsia="Calibri" w:hAnsi="Calibri"/>
          <w:color w:val="212121"/>
          <w:sz w:val="21"/>
          <w:szCs w:val="21"/>
        </w:rPr>
        <w:t xml:space="preserve">Das ABI-Registry ist der Katalog aller bekannten Smart-Contract-Interfaces. Es ermöglicht die korrekte Dekodierung von Event-Logs und Input-Daten für alle integrierten Protokolle.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700"/>
        <w:gridCol w:w="1526"/>
      </w:tblGrid>
      <w:tr>
        <w:trPr>
          <w:tblHeader/>
        </w:trPr>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Protokoll</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Versionierung</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ABI-Quelle</w:t>
            </w:r>
          </w:p>
        </w:tc>
        <w:tc>
          <w:tcPr>
            <w:tcW w:type="dxa" w:w="1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Update-Trigger</w:t>
            </w:r>
          </w:p>
        </w:tc>
        <w:tc>
          <w:tcPr>
            <w:tcW w:type="dxa" w:w="15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Breaking-Change-Handling</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SparkDEX V3</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algebra-v3 (QuickSwap-Fork)</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GitHub: SparkDEX/contracts</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V4-Launch Feb 2026 erkannt</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Dual-ABI: V3 + V4 parallel aktiv</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SparkDEX V4</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Algebra Integral v1.2.2</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Algebra GitHub + SparkDEX</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Release-Monitor via GitHub Actions</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V4-Events rückwärtskompatibel prüfen</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Ēnosys DEX</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Uniswap V3-kompatibel</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Ēnosys GitHub / Etherscan</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Ēnosys-Changelog Monitor</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Separate ABI pro Deployed Contract</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Ēnosys Loans</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Liquity V2-Fork</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Ēnosys/contracts GitHub</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CDP-Launch Dez 2025 (aktiv)</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Event-Signatur-Whitelist</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Kinetic Market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Compound V2-kompatibel</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Kinetic GitHub / Etherscan</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BENQI-ABI als Baseline</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Parameters-Check (CollateralFactor etc.)</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Stargate Finance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LayerZero OFT + Stargate V2</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Stargate GitHub</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V1→V2-Migration 2024 (abgeschlossen)</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V1-ABI für historische TX beibehalten</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Aave V3</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Aave Protocol Core V3</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Aave GitHub (gepflegt)</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v3.6 Jan 2026; V4 Early 2026</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Versions-Flag per Deployed Contract-Address</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Generisch ERC-20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OpenZeppelin ERC-20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Standard (unveränderlich)</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Niemals</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N/A – Basis-Transfer immer verfügbar</w:t>
            </w:r>
          </w:p>
        </w:tc>
      </w:tr>
    </w:tbl>
    <w:p>
      <w:pPr>
        <w:spacing w:before="80" w:after="0"/>
      </w:pPr>
      <w:r>
        <w:t xml:space="preserve"/>
      </w:r>
    </w:p>
    <w:p>
      <w:pPr>
        <w:spacing w:before="200" w:after="80"/>
      </w:pPr>
      <w:r>
        <w:rPr>
          <w:rFonts w:ascii="Calibri" w:cs="Calibri" w:eastAsia="Calibri" w:hAnsi="Calibri"/>
          <w:b/>
          <w:bCs/>
          <w:color w:val="006064"/>
          <w:sz w:val="23"/>
          <w:szCs w:val="23"/>
        </w:rPr>
        <w:t xml:space="preserve">T3.3 SparkDEX V4 Multi-Action-TX-Decoder</w:t>
      </w:r>
    </w:p>
    <w:p>
      <w:pPr>
        <w:spacing w:before="60" w:after="90"/>
      </w:pPr>
      <w:r>
        <w:rPr>
          <w:rFonts w:ascii="Calibri" w:cs="Calibri" w:eastAsia="Calibri" w:hAnsi="Calibri"/>
          <w:color w:val="212121"/>
          <w:sz w:val="21"/>
          <w:szCs w:val="21"/>
        </w:rPr>
        <w:t xml:space="preserve">SparkDEX V4 führt atomare Multi-Action-Transaktionen ein: Swap + LP-Adjustment + Collateral-Update können in EINER TX passieren. Der Decoder muss diese korrekt aufschlüsseln.</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63238" w:sz="2"/>
              <w:left w:val="single" w:color="263238" w:sz="2"/>
              <w:bottom w:val="single" w:color="263238" w:sz="2"/>
              <w:right w:val="single" w:color="263238" w:sz="2"/>
            </w:tcBorders>
            <w:shd w:fill="1E2A3A" w:val="clear"/>
            <w:tcMar>
              <w:top w:type="dxa" w:w="120"/>
              <w:left w:type="dxa" w:w="200"/>
              <w:bottom w:type="dxa" w:w="120"/>
              <w:right w:type="dxa" w:w="160"/>
            </w:tcMar>
          </w:tcPr>
          <w:p>
            <w:pPr>
              <w:spacing w:before="0" w:after="20"/>
            </w:pPr>
            <w:r>
              <w:rPr>
                <w:rFonts w:ascii="Courier New" w:cs="Courier New" w:eastAsia="Courier New" w:hAnsi="Courier New"/>
                <w:color w:val="A8D8EA"/>
                <w:sz w:val="17"/>
                <w:szCs w:val="17"/>
              </w:rPr>
              <w:t xml:space="preserve">// SparkDEX V4: Multi-Action TX Decomposition Algorithm</w:t>
            </w:r>
          </w:p>
          <w:p>
            <w:pPr>
              <w:spacing w:before="0" w:after="20"/>
            </w:pPr>
            <w:r>
              <w:rPr>
                <w:rFonts w:ascii="Courier New" w:cs="Courier New" w:eastAsia="Courier New" w:hAnsi="Courier New"/>
                <w:color w:val="A8D8EA"/>
                <w:sz w:val="17"/>
                <w:szCs w:val="17"/>
              </w:rPr>
              <w:t xml:space="preserve">async function decodeV4MultiAction(txHash: string): Promise&lt;TxLeg[]&gt; {</w:t>
            </w:r>
          </w:p>
          <w:p>
            <w:pPr>
              <w:spacing w:before="0" w:after="20"/>
            </w:pPr>
            <w:r>
              <w:rPr>
                <w:rFonts w:ascii="Courier New" w:cs="Courier New" w:eastAsia="Courier New" w:hAnsi="Courier New"/>
                <w:color w:val="A8D8EA"/>
                <w:sz w:val="17"/>
                <w:szCs w:val="17"/>
              </w:rPr>
              <w:t xml:space="preserve">  const receipt = await provider.getTransactionReceipt(txHash);</w:t>
            </w:r>
          </w:p>
          <w:p>
            <w:pPr>
              <w:spacing w:before="0" w:after="20"/>
            </w:pPr>
            <w:r>
              <w:rPr>
                <w:rFonts w:ascii="Courier New" w:cs="Courier New" w:eastAsia="Courier New" w:hAnsi="Courier New"/>
                <w:color w:val="A8D8EA"/>
                <w:sz w:val="17"/>
                <w:szCs w:val="17"/>
              </w:rPr>
              <w:t xml:space="preserve">  const legs: TxLeg[] = [];</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  // Layer 1: Identifiziere alle Event-Signaturen in dieser TX</w:t>
            </w:r>
          </w:p>
          <w:p>
            <w:pPr>
              <w:spacing w:before="0" w:after="20"/>
            </w:pPr>
            <w:r>
              <w:rPr>
                <w:rFonts w:ascii="Courier New" w:cs="Courier New" w:eastAsia="Courier New" w:hAnsi="Courier New"/>
                <w:color w:val="A8D8EA"/>
                <w:sz w:val="17"/>
                <w:szCs w:val="17"/>
              </w:rPr>
              <w:t xml:space="preserve">  const eventGroups = groupEventsBySignature(receipt.logs);</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  // Layer 2: Dekodiere jede Event-Gruppe separat</w:t>
            </w:r>
          </w:p>
          <w:p>
            <w:pPr>
              <w:spacing w:before="0" w:after="20"/>
            </w:pPr>
            <w:r>
              <w:rPr>
                <w:rFonts w:ascii="Courier New" w:cs="Courier New" w:eastAsia="Courier New" w:hAnsi="Courier New"/>
                <w:color w:val="A8D8EA"/>
                <w:sz w:val="17"/>
                <w:szCs w:val="17"/>
              </w:rPr>
              <w:t xml:space="preserve">  if (eventGroups.has(SWAP_SIGNATURE)) {</w:t>
            </w:r>
          </w:p>
          <w:p>
            <w:pPr>
              <w:spacing w:before="0" w:after="20"/>
            </w:pPr>
            <w:r>
              <w:rPr>
                <w:rFonts w:ascii="Courier New" w:cs="Courier New" w:eastAsia="Courier New" w:hAnsi="Courier New"/>
                <w:color w:val="A8D8EA"/>
                <w:sz w:val="17"/>
                <w:szCs w:val="17"/>
              </w:rPr>
              <w:t xml:space="preserve">    legs.push(...decodeSwapEvents(eventGroups.get(SWAP_SIGNATURE)));</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  if (eventGroups.has(LP_MINT_SIGNATURE)) {</w:t>
            </w:r>
          </w:p>
          <w:p>
            <w:pPr>
              <w:spacing w:before="0" w:after="20"/>
            </w:pPr>
            <w:r>
              <w:rPr>
                <w:rFonts w:ascii="Courier New" w:cs="Courier New" w:eastAsia="Courier New" w:hAnsi="Courier New"/>
                <w:color w:val="A8D8EA"/>
                <w:sz w:val="17"/>
                <w:szCs w:val="17"/>
              </w:rPr>
              <w:t xml:space="preserve">    legs.push(...decodeLPMintEvents(eventGroups.get(LP_MINT_SIGNATURE)));</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  if (eventGroups.has(COLLECT_SIGNATURE)) {</w:t>
            </w:r>
          </w:p>
          <w:p>
            <w:pPr>
              <w:spacing w:before="0" w:after="20"/>
            </w:pPr>
            <w:r>
              <w:rPr>
                <w:rFonts w:ascii="Courier New" w:cs="Courier New" w:eastAsia="Courier New" w:hAnsi="Courier New"/>
                <w:color w:val="A8D8EA"/>
                <w:sz w:val="17"/>
                <w:szCs w:val="17"/>
              </w:rPr>
              <w:t xml:space="preserve">    legs.push(...decodeCollectEvents(eventGroups.get(COLLECT_SIGNATURE)));</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  // Layer 3: Cross-Referenz-Check (Netto-Transfer validieren)</w:t>
            </w:r>
          </w:p>
          <w:p>
            <w:pPr>
              <w:spacing w:before="0" w:after="20"/>
            </w:pPr>
            <w:r>
              <w:rPr>
                <w:rFonts w:ascii="Courier New" w:cs="Courier New" w:eastAsia="Courier New" w:hAnsi="Courier New"/>
                <w:color w:val="A8D8EA"/>
                <w:sz w:val="17"/>
                <w:szCs w:val="17"/>
              </w:rPr>
              <w:t xml:space="preserve">  validateNetTransfer(receipt, legs); // Guards gegen Doppelzählung</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  return legs; // Jede Leg = ein CoinTracking-Eintrag</w:t>
            </w:r>
          </w:p>
          <w:p>
            <w:pPr>
              <w:spacing w:before="0" w:after="20"/>
            </w:pPr>
            <w:r>
              <w:rPr>
                <w:rFonts w:ascii="Courier New" w:cs="Courier New" w:eastAsia="Courier New" w:hAnsi="Courier New"/>
                <w:color w:val="A8D8EA"/>
                <w:sz w:val="17"/>
                <w:szCs w:val="17"/>
              </w:rPr>
              <w:t xml:space="preserve">}</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T4. Tax-Engine – Algorithmus-Spezifikation</w:t>
      </w:r>
    </w:p>
    <w:p>
      <w:pPr>
        <w:spacing w:before="60" w:after="90"/>
      </w:pPr>
      <w:r>
        <w:rPr>
          <w:rFonts w:ascii="Calibri" w:cs="Calibri" w:eastAsia="Calibri" w:hAnsi="Calibri"/>
          <w:color w:val="212121"/>
          <w:sz w:val="21"/>
          <w:szCs w:val="21"/>
        </w:rPr>
        <w:t xml:space="preserve">Die Tax-Engine ist der steuerlich kritischste Algorithmus im gesamten System. Ein Fehler hier führt direkt zu falschen Steuererklärungen. Die Engine implementiert drei Bewertungsmethoden und das LP-Dual-Szenario-Modell.</w:t>
      </w:r>
    </w:p>
    <w:p>
      <w:pPr>
        <w:spacing w:before="80" w:after="0"/>
      </w:pPr>
      <w:r>
        <w:t xml:space="preserve"/>
      </w:r>
    </w:p>
    <w:p>
      <w:pPr>
        <w:spacing w:before="200" w:after="80"/>
      </w:pPr>
      <w:r>
        <w:rPr>
          <w:rFonts w:ascii="Calibri" w:cs="Calibri" w:eastAsia="Calibri" w:hAnsi="Calibri"/>
          <w:b/>
          <w:bCs/>
          <w:color w:val="006064"/>
          <w:sz w:val="23"/>
          <w:szCs w:val="23"/>
        </w:rPr>
        <w:t xml:space="preserve">T4.1 FIFO Lot-Tracking-Algorithmus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63238" w:sz="2"/>
              <w:left w:val="single" w:color="263238" w:sz="2"/>
              <w:bottom w:val="single" w:color="263238" w:sz="2"/>
              <w:right w:val="single" w:color="263238" w:sz="2"/>
            </w:tcBorders>
            <w:shd w:fill="1E2A3A" w:val="clear"/>
            <w:tcMar>
              <w:top w:type="dxa" w:w="120"/>
              <w:left w:type="dxa" w:w="200"/>
              <w:bottom w:type="dxa" w:w="120"/>
              <w:right w:type="dxa" w:w="160"/>
            </w:tcMar>
          </w:tcPr>
          <w:p>
            <w:pPr>
              <w:spacing w:before="0" w:after="20"/>
            </w:pPr>
            <w:r>
              <w:rPr>
                <w:rFonts w:ascii="Courier New" w:cs="Courier New" w:eastAsia="Courier New" w:hAnsi="Courier New"/>
                <w:color w:val="A8D8EA"/>
                <w:sz w:val="17"/>
                <w:szCs w:val="17"/>
              </w:rPr>
              <w:t xml:space="preserve">// FIFO Algorithmus: Lot-basierte Anschaffungskosten-Ermittlung</w:t>
            </w:r>
          </w:p>
          <w:p>
            <w:pPr>
              <w:spacing w:before="0" w:after="20"/>
            </w:pPr>
            <w:r>
              <w:rPr>
                <w:rFonts w:ascii="Courier New" w:cs="Courier New" w:eastAsia="Courier New" w:hAnsi="Courier New"/>
                <w:color w:val="A8D8EA"/>
                <w:sz w:val="17"/>
                <w:szCs w:val="17"/>
              </w:rPr>
              <w:t xml:space="preserve">interface TaxLot {</w:t>
            </w:r>
          </w:p>
          <w:p>
            <w:pPr>
              <w:spacing w:before="0" w:after="20"/>
            </w:pPr>
            <w:r>
              <w:rPr>
                <w:rFonts w:ascii="Courier New" w:cs="Courier New" w:eastAsia="Courier New" w:hAnsi="Courier New"/>
                <w:color w:val="A8D8EA"/>
                <w:sz w:val="17"/>
                <w:szCs w:val="17"/>
              </w:rPr>
              <w:t xml:space="preserve">  id: string;</w:t>
            </w:r>
          </w:p>
          <w:p>
            <w:pPr>
              <w:spacing w:before="0" w:after="20"/>
            </w:pPr>
            <w:r>
              <w:rPr>
                <w:rFonts w:ascii="Courier New" w:cs="Courier New" w:eastAsia="Courier New" w:hAnsi="Courier New"/>
                <w:color w:val="A8D8EA"/>
                <w:sz w:val="17"/>
                <w:szCs w:val="17"/>
              </w:rPr>
              <w:t xml:space="preserve">  token: string;</w:t>
            </w:r>
          </w:p>
          <w:p>
            <w:pPr>
              <w:spacing w:before="0" w:after="20"/>
            </w:pPr>
            <w:r>
              <w:rPr>
                <w:rFonts w:ascii="Courier New" w:cs="Courier New" w:eastAsia="Courier New" w:hAnsi="Courier New"/>
                <w:color w:val="A8D8EA"/>
                <w:sz w:val="17"/>
                <w:szCs w:val="17"/>
              </w:rPr>
              <w:t xml:space="preserve">  acquisitionDate: Date;   // Anschaffungszeitpunkt</w:t>
            </w:r>
          </w:p>
          <w:p>
            <w:pPr>
              <w:spacing w:before="0" w:after="20"/>
            </w:pPr>
            <w:r>
              <w:rPr>
                <w:rFonts w:ascii="Courier New" w:cs="Courier New" w:eastAsia="Courier New" w:hAnsi="Courier New"/>
                <w:color w:val="A8D8EA"/>
                <w:sz w:val="17"/>
                <w:szCs w:val="17"/>
              </w:rPr>
              <w:t xml:space="preserve">  acquisitionEUR: number;  // EUR-Kurs bei Anschaffung (FTSO/CoinGecko)</w:t>
            </w:r>
          </w:p>
          <w:p>
            <w:pPr>
              <w:spacing w:before="0" w:after="20"/>
            </w:pPr>
            <w:r>
              <w:rPr>
                <w:rFonts w:ascii="Courier New" w:cs="Courier New" w:eastAsia="Courier New" w:hAnsi="Courier New"/>
                <w:color w:val="A8D8EA"/>
                <w:sz w:val="17"/>
                <w:szCs w:val="17"/>
              </w:rPr>
              <w:t xml:space="preserve">  originalAmount: number;  // Ursprüngliche Menge</w:t>
            </w:r>
          </w:p>
          <w:p>
            <w:pPr>
              <w:spacing w:before="0" w:after="20"/>
            </w:pPr>
            <w:r>
              <w:rPr>
                <w:rFonts w:ascii="Courier New" w:cs="Courier New" w:eastAsia="Courier New" w:hAnsi="Courier New"/>
                <w:color w:val="A8D8EA"/>
                <w:sz w:val="17"/>
                <w:szCs w:val="17"/>
              </w:rPr>
              <w:t xml:space="preserve">  remainingAmount: number; // Noch nicht veräußerte Menge</w:t>
            </w:r>
          </w:p>
          <w:p>
            <w:pPr>
              <w:spacing w:before="0" w:after="20"/>
            </w:pPr>
            <w:r>
              <w:rPr>
                <w:rFonts w:ascii="Courier New" w:cs="Courier New" w:eastAsia="Courier New" w:hAnsi="Courier New"/>
                <w:color w:val="A8D8EA"/>
                <w:sz w:val="17"/>
                <w:szCs w:val="17"/>
              </w:rPr>
              <w:t xml:space="preserve">  source: string;          // Protokoll/Wallet der Anschaffung</w:t>
            </w:r>
          </w:p>
          <w:p>
            <w:pPr>
              <w:spacing w:before="0" w:after="20"/>
            </w:pPr>
            <w:r>
              <w:rPr>
                <w:rFonts w:ascii="Courier New" w:cs="Courier New" w:eastAsia="Courier New" w:hAnsi="Courier New"/>
                <w:color w:val="A8D8EA"/>
                <w:sz w:val="17"/>
                <w:szCs w:val="17"/>
              </w:rPr>
              <w:t xml:space="preserve">}</w:t>
            </w:r>
          </w:p>
          <w:p>
            <w:pPr>
              <w:spacing w:before="0" w:after="20"/>
            </w:pPr>
            <w:r>
              <w:rPr>
                <w:rFonts w:ascii="Courier New" w:cs="Courier New" w:eastAsia="Courier New" w:hAnsi="Courier New"/>
                <w:color w:val="A8D8EA"/>
                <w:sz w:val="17"/>
                <w:szCs w:val="17"/>
              </w:rPr>
              <w:t xml:space="preserve"/>
            </w:r>
          </w:p>
          <w:p>
            <w:pPr>
              <w:spacing w:before="0" w:after="20"/>
            </w:pPr>
            <w:r>
              <w:rPr>
                <w:rFonts w:ascii="Courier New" w:cs="Courier New" w:eastAsia="Courier New" w:hAnsi="Courier New"/>
                <w:color w:val="A8D8EA"/>
                <w:sz w:val="17"/>
                <w:szCs w:val="17"/>
              </w:rPr>
              <w:t xml:space="preserve">function disposeFIFO(disposalAmount: number, token: string, disposalDate: Date,</w:t>
            </w:r>
          </w:p>
          <w:p>
            <w:pPr>
              <w:spacing w:before="0" w:after="20"/>
            </w:pPr>
            <w:r>
              <w:rPr>
                <w:rFonts w:ascii="Courier New" w:cs="Courier New" w:eastAsia="Courier New" w:hAnsi="Courier New"/>
                <w:color w:val="A8D8EA"/>
                <w:sz w:val="17"/>
                <w:szCs w:val="17"/>
              </w:rPr>
              <w:t xml:space="preserve">                     disposalEUR: number, lots: TaxLot[]): TaxResult {</w:t>
            </w:r>
          </w:p>
          <w:p>
            <w:pPr>
              <w:spacing w:before="0" w:after="20"/>
            </w:pPr>
            <w:r>
              <w:rPr>
                <w:rFonts w:ascii="Courier New" w:cs="Courier New" w:eastAsia="Courier New" w:hAnsi="Courier New"/>
                <w:color w:val="A8D8EA"/>
                <w:sz w:val="17"/>
                <w:szCs w:val="17"/>
              </w:rPr>
              <w:t xml:space="preserve">  const sortedLots = lots</w:t>
            </w:r>
          </w:p>
          <w:p>
            <w:pPr>
              <w:spacing w:before="0" w:after="20"/>
            </w:pPr>
            <w:r>
              <w:rPr>
                <w:rFonts w:ascii="Courier New" w:cs="Courier New" w:eastAsia="Courier New" w:hAnsi="Courier New"/>
                <w:color w:val="A8D8EA"/>
                <w:sz w:val="17"/>
                <w:szCs w:val="17"/>
              </w:rPr>
              <w:t xml:space="preserve">    .filter(l =&gt; l.token === token &amp;&amp; l.remainingAmount &gt; 0)</w:t>
            </w:r>
          </w:p>
          <w:p>
            <w:pPr>
              <w:spacing w:before="0" w:after="20"/>
            </w:pPr>
            <w:r>
              <w:rPr>
                <w:rFonts w:ascii="Courier New" w:cs="Courier New" w:eastAsia="Courier New" w:hAnsi="Courier New"/>
                <w:color w:val="A8D8EA"/>
                <w:sz w:val="17"/>
                <w:szCs w:val="17"/>
              </w:rPr>
              <w:t xml:space="preserve">    .sort((a, b) =&gt; a.acquisitionDate.getTime() - b.acquisitionDate.getTime()); // FIFO</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  let remaining = disposalAmount;</w:t>
            </w:r>
          </w:p>
          <w:p>
            <w:pPr>
              <w:spacing w:before="0" w:after="20"/>
            </w:pPr>
            <w:r>
              <w:rPr>
                <w:rFonts w:ascii="Courier New" w:cs="Courier New" w:eastAsia="Courier New" w:hAnsi="Courier New"/>
                <w:color w:val="A8D8EA"/>
                <w:sz w:val="17"/>
                <w:szCs w:val="17"/>
              </w:rPr>
              <w:t xml:space="preserve">  let totalAcquisitionEUR = 0;</w:t>
            </w:r>
          </w:p>
          <w:p>
            <w:pPr>
              <w:spacing w:before="0" w:after="20"/>
            </w:pPr>
            <w:r>
              <w:rPr>
                <w:rFonts w:ascii="Courier New" w:cs="Courier New" w:eastAsia="Courier New" w:hAnsi="Courier New"/>
                <w:color w:val="A8D8EA"/>
                <w:sz w:val="17"/>
                <w:szCs w:val="17"/>
              </w:rPr>
              <w:t xml:space="preserve">  const usedLots: LotUsage[] = [];</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  for (const lot of sortedLots) {</w:t>
            </w:r>
          </w:p>
          <w:p>
            <w:pPr>
              <w:spacing w:before="0" w:after="20"/>
            </w:pPr>
            <w:r>
              <w:rPr>
                <w:rFonts w:ascii="Courier New" w:cs="Courier New" w:eastAsia="Courier New" w:hAnsi="Courier New"/>
                <w:color w:val="A8D8EA"/>
                <w:sz w:val="17"/>
                <w:szCs w:val="17"/>
              </w:rPr>
              <w:t xml:space="preserve">    if (remaining &lt;= 0) break;</w:t>
            </w:r>
          </w:p>
          <w:p>
            <w:pPr>
              <w:spacing w:before="0" w:after="20"/>
            </w:pPr>
            <w:r>
              <w:rPr>
                <w:rFonts w:ascii="Courier New" w:cs="Courier New" w:eastAsia="Courier New" w:hAnsi="Courier New"/>
                <w:color w:val="A8D8EA"/>
                <w:sz w:val="17"/>
                <w:szCs w:val="17"/>
              </w:rPr>
              <w:t xml:space="preserve">    const used = Math.min(lot.remainingAmount, remaining);</w:t>
            </w:r>
          </w:p>
          <w:p>
            <w:pPr>
              <w:spacing w:before="0" w:after="20"/>
            </w:pPr>
            <w:r>
              <w:rPr>
                <w:rFonts w:ascii="Courier New" w:cs="Courier New" w:eastAsia="Courier New" w:hAnsi="Courier New"/>
                <w:color w:val="A8D8EA"/>
                <w:sz w:val="17"/>
                <w:szCs w:val="17"/>
              </w:rPr>
              <w:t xml:space="preserve">    const holdingDays = daysBetween(lot.acquisitionDate, disposalDate);</w:t>
            </w:r>
          </w:p>
          <w:p>
            <w:pPr>
              <w:spacing w:before="0" w:after="20"/>
            </w:pPr>
            <w:r>
              <w:rPr>
                <w:rFonts w:ascii="Courier New" w:cs="Courier New" w:eastAsia="Courier New" w:hAnsi="Courier New"/>
                <w:color w:val="A8D8EA"/>
                <w:sz w:val="17"/>
                <w:szCs w:val="17"/>
              </w:rPr>
              <w:t xml:space="preserve">    totalAcquisitionEUR += (used / lot.originalAmount) * lot.acquisitionEUR;</w:t>
            </w:r>
          </w:p>
          <w:p>
            <w:pPr>
              <w:spacing w:before="0" w:after="20"/>
            </w:pPr>
            <w:r>
              <w:rPr>
                <w:rFonts w:ascii="Courier New" w:cs="Courier New" w:eastAsia="Courier New" w:hAnsi="Courier New"/>
                <w:color w:val="A8D8EA"/>
                <w:sz w:val="17"/>
                <w:szCs w:val="17"/>
              </w:rPr>
              <w:t xml:space="preserve">    usedLots.push({ lotId: lot.id, usedAmount: used, holdingDays });</w:t>
            </w:r>
          </w:p>
          <w:p>
            <w:pPr>
              <w:spacing w:before="0" w:after="20"/>
            </w:pPr>
            <w:r>
              <w:rPr>
                <w:rFonts w:ascii="Courier New" w:cs="Courier New" w:eastAsia="Courier New" w:hAnsi="Courier New"/>
                <w:color w:val="A8D8EA"/>
                <w:sz w:val="17"/>
                <w:szCs w:val="17"/>
              </w:rPr>
              <w:t xml:space="preserve">    remaining -= used;</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  const proceedsEUR = disposalAmount * disposalEUR;</w:t>
            </w:r>
          </w:p>
          <w:p>
            <w:pPr>
              <w:spacing w:before="0" w:after="20"/>
            </w:pPr>
            <w:r>
              <w:rPr>
                <w:rFonts w:ascii="Courier New" w:cs="Courier New" w:eastAsia="Courier New" w:hAnsi="Courier New"/>
                <w:color w:val="A8D8EA"/>
                <w:sz w:val="17"/>
                <w:szCs w:val="17"/>
              </w:rPr>
              <w:t xml:space="preserve">  const gainLossEUR = proceedsEUR - totalAcquisitionEUR;</w:t>
            </w:r>
          </w:p>
          <w:p>
            <w:pPr>
              <w:spacing w:before="0" w:after="20"/>
            </w:pPr>
            <w:r>
              <w:rPr>
                <w:rFonts w:ascii="Courier New" w:cs="Courier New" w:eastAsia="Courier New" w:hAnsi="Courier New"/>
                <w:color w:val="A8D8EA"/>
                <w:sz w:val="17"/>
                <w:szCs w:val="17"/>
              </w:rPr>
              <w:t xml:space="preserve">  const taxFree = usedLots.every(ul =&gt; ul.holdingDays &gt;= 365); // § 23 EStG</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  return { gainLossEUR, taxFree, usedLots, method: 'FIFO' };</w:t>
            </w:r>
          </w:p>
          <w:p>
            <w:pPr>
              <w:spacing w:before="0" w:after="20"/>
            </w:pPr>
            <w:r>
              <w:rPr>
                <w:rFonts w:ascii="Courier New" w:cs="Courier New" w:eastAsia="Courier New" w:hAnsi="Courier New"/>
                <w:color w:val="A8D8EA"/>
                <w:sz w:val="17"/>
                <w:szCs w:val="17"/>
              </w:rPr>
              <w:t xml:space="preserve">}</w:t>
            </w:r>
          </w:p>
        </w:tc>
      </w:tr>
    </w:tbl>
    <w:p>
      <w:pPr>
        <w:spacing w:before="80" w:after="0"/>
      </w:pPr>
      <w:r>
        <w:t xml:space="preserve"/>
      </w:r>
    </w:p>
    <w:p>
      <w:pPr>
        <w:spacing w:before="200" w:after="80"/>
      </w:pPr>
      <w:r>
        <w:rPr>
          <w:rFonts w:ascii="Calibri" w:cs="Calibri" w:eastAsia="Calibri" w:hAnsi="Calibri"/>
          <w:b/>
          <w:bCs/>
          <w:color w:val="006064"/>
          <w:sz w:val="23"/>
          <w:szCs w:val="23"/>
        </w:rPr>
        <w:t xml:space="preserve">T4.2 LP Dual-Szenario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1626"/>
      </w:tblGrid>
      <w:tr>
        <w:trPr>
          <w:tblHeader/>
        </w:trPr>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LP-Ereignis</w:t>
            </w:r>
          </w:p>
        </w:tc>
        <w:tc>
          <w:tcPr>
            <w:tcW w:type="dxa" w:w="2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Modell A (Konservativ – §23 Tausch)</w:t>
            </w:r>
          </w:p>
        </w:tc>
        <w:tc>
          <w:tcPr>
            <w:tcW w:type="dxa" w:w="2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Modell B (Liberal – Nutzungsüberlassung)</w:t>
            </w:r>
          </w:p>
        </w:tc>
        <w:tc>
          <w:tcPr>
            <w:tcW w:type="dxa" w:w="16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Datenbank-Speicherung</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LP Provide</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Erstellt Disposal-Event: Token → LP-Token. Neue Lot-Haltefrist für LP-Token beginnt. Tauschgewinn/verlust wird berechnet.</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Disposal-Event. Token-Lot bleibt mit ursprünglichem Datum. Nur Pool-Eintritt vermerkt.</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BEIDE Szenarien als tax_event mit scenario='A'/'B' gespeichert</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LP Reward Claiming</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Neues Lot für Reward-Token (§ 22 Nr. 3 EStG Zufluss). Reward-Wert in EUR = FTSO-Tageskurs × Menge.</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Identisch mit Modell A – Rewards immer steuerpflichtig</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Einziges Szenario für Rewards</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LP Remove</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Disposal von LP-Token (Tausch zurück). Neues Lot für erhaltene Token.</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Token-Lot wird mit ursprünglichem Datum wieder freigeschaltet. Impermanent Loss als Anmerkung.</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BEIDE Szenarien mit Netto-Differenz-Berechnung</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Impermanent Loss</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Wird als Teil des Veräußerungsverlusts verbucht</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Wird als steuerneutrale Portfolio-Änderung vermerkt (kein § 23 Ereignis)</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IL separat als Informationsfeld gespeichert</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T5. CI/CD Pipeline &amp; Deployment-Architektur</w:t>
      </w:r>
    </w:p>
    <w:p>
      <w:pPr>
        <w:spacing w:before="60" w:after="90"/>
      </w:pPr>
      <w:r>
        <w:rPr>
          <w:rFonts w:ascii="Calibri" w:cs="Calibri" w:eastAsia="Calibri" w:hAnsi="Calibri"/>
          <w:color w:val="212121"/>
          <w:sz w:val="21"/>
          <w:szCs w:val="21"/>
        </w:rPr>
        <w:t xml:space="preserve">Die CI/CD-Pipeline gewährleistet schnelle, sichere Deployments mit automatisierten Tests und Zero-Downtime-Strategie. Jede Code-Änderung durchläuft einen mehrstufigen Qualitätssicherungsprozess.</w:t>
      </w:r>
    </w:p>
    <w:p>
      <w:pPr>
        <w:spacing w:before="80" w:after="0"/>
      </w:pPr>
      <w:r>
        <w:t xml:space="preserve"/>
      </w:r>
    </w:p>
    <w:p>
      <w:pPr>
        <w:spacing w:before="200" w:after="80"/>
      </w:pPr>
      <w:r>
        <w:rPr>
          <w:rFonts w:ascii="Calibri" w:cs="Calibri" w:eastAsia="Calibri" w:hAnsi="Calibri"/>
          <w:b/>
          <w:bCs/>
          <w:color w:val="006064"/>
          <w:sz w:val="23"/>
          <w:szCs w:val="23"/>
        </w:rPr>
        <w:t xml:space="preserve">T5.1 GitHub Actions CI/CD-Workflow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63238" w:sz="2"/>
              <w:left w:val="single" w:color="263238" w:sz="2"/>
              <w:bottom w:val="single" w:color="263238" w:sz="2"/>
              <w:right w:val="single" w:color="263238" w:sz="2"/>
            </w:tcBorders>
            <w:shd w:fill="1E2A3A" w:val="clear"/>
            <w:tcMar>
              <w:top w:type="dxa" w:w="120"/>
              <w:left w:type="dxa" w:w="200"/>
              <w:bottom w:type="dxa" w:w="120"/>
              <w:right w:type="dxa" w:w="160"/>
            </w:tcMar>
          </w:tcPr>
          <w:p>
            <w:pPr>
              <w:spacing w:before="0" w:after="20"/>
            </w:pPr>
            <w:r>
              <w:rPr>
                <w:rFonts w:ascii="Courier New" w:cs="Courier New" w:eastAsia="Courier New" w:hAnsi="Courier New"/>
                <w:color w:val="A8D8EA"/>
                <w:sz w:val="17"/>
                <w:szCs w:val="17"/>
              </w:rPr>
              <w:t xml:space="preserve"># .github/workflows/deploy.yml (vereinfacht)</w:t>
            </w:r>
          </w:p>
          <w:p>
            <w:pPr>
              <w:spacing w:before="0" w:after="20"/>
            </w:pPr>
            <w:r>
              <w:rPr>
                <w:rFonts w:ascii="Courier New" w:cs="Courier New" w:eastAsia="Courier New" w:hAnsi="Courier New"/>
                <w:color w:val="A8D8EA"/>
                <w:sz w:val="17"/>
                <w:szCs w:val="17"/>
              </w:rPr>
              <w:t xml:space="preserve">name: DeFi Tracker CI/CD Pipeline</w:t>
            </w:r>
          </w:p>
          <w:p>
            <w:pPr>
              <w:spacing w:before="0" w:after="20"/>
            </w:pPr>
            <w:r>
              <w:rPr>
                <w:rFonts w:ascii="Courier New" w:cs="Courier New" w:eastAsia="Courier New" w:hAnsi="Courier New"/>
                <w:color w:val="A8D8EA"/>
                <w:sz w:val="17"/>
                <w:szCs w:val="17"/>
              </w:rPr>
              <w:t xml:space="preserve"/>
            </w:r>
          </w:p>
          <w:p>
            <w:pPr>
              <w:spacing w:before="0" w:after="20"/>
            </w:pPr>
            <w:r>
              <w:rPr>
                <w:rFonts w:ascii="Courier New" w:cs="Courier New" w:eastAsia="Courier New" w:hAnsi="Courier New"/>
                <w:color w:val="A8D8EA"/>
                <w:sz w:val="17"/>
                <w:szCs w:val="17"/>
              </w:rPr>
              <w:t xml:space="preserve">on:</w:t>
            </w:r>
          </w:p>
          <w:p>
            <w:pPr>
              <w:spacing w:before="0" w:after="20"/>
            </w:pPr>
            <w:r>
              <w:rPr>
                <w:rFonts w:ascii="Courier New" w:cs="Courier New" w:eastAsia="Courier New" w:hAnsi="Courier New"/>
                <w:color w:val="A8D8EA"/>
                <w:sz w:val="17"/>
                <w:szCs w:val="17"/>
              </w:rPr>
              <w:t xml:space="preserve">  push:</w:t>
            </w:r>
          </w:p>
          <w:p>
            <w:pPr>
              <w:spacing w:before="0" w:after="20"/>
            </w:pPr>
            <w:r>
              <w:rPr>
                <w:rFonts w:ascii="Courier New" w:cs="Courier New" w:eastAsia="Courier New" w:hAnsi="Courier New"/>
                <w:color w:val="A8D8EA"/>
                <w:sz w:val="17"/>
                <w:szCs w:val="17"/>
              </w:rPr>
              <w:t xml:space="preserve">    branches: [main, staging]</w:t>
            </w:r>
          </w:p>
          <w:p>
            <w:pPr>
              <w:spacing w:before="0" w:after="20"/>
            </w:pPr>
            <w:r>
              <w:rPr>
                <w:rFonts w:ascii="Courier New" w:cs="Courier New" w:eastAsia="Courier New" w:hAnsi="Courier New"/>
                <w:color w:val="A8D8EA"/>
                <w:sz w:val="17"/>
                <w:szCs w:val="17"/>
              </w:rPr>
              <w:t xml:space="preserve">  pull_request:</w:t>
            </w:r>
          </w:p>
          <w:p>
            <w:pPr>
              <w:spacing w:before="0" w:after="20"/>
            </w:pPr>
            <w:r>
              <w:rPr>
                <w:rFonts w:ascii="Courier New" w:cs="Courier New" w:eastAsia="Courier New" w:hAnsi="Courier New"/>
                <w:color w:val="A8D8EA"/>
                <w:sz w:val="17"/>
                <w:szCs w:val="17"/>
              </w:rPr>
              <w:t xml:space="preserve">    branches: [main]</w:t>
            </w:r>
          </w:p>
          <w:p>
            <w:pPr>
              <w:spacing w:before="0" w:after="20"/>
            </w:pPr>
            <w:r>
              <w:rPr>
                <w:rFonts w:ascii="Courier New" w:cs="Courier New" w:eastAsia="Courier New" w:hAnsi="Courier New"/>
                <w:color w:val="A8D8EA"/>
                <w:sz w:val="17"/>
                <w:szCs w:val="17"/>
              </w:rPr>
              <w:t xml:space="preserve"/>
            </w:r>
          </w:p>
          <w:p>
            <w:pPr>
              <w:spacing w:before="0" w:after="20"/>
            </w:pPr>
            <w:r>
              <w:rPr>
                <w:rFonts w:ascii="Courier New" w:cs="Courier New" w:eastAsia="Courier New" w:hAnsi="Courier New"/>
                <w:color w:val="A8D8EA"/>
                <w:sz w:val="17"/>
                <w:szCs w:val="17"/>
              </w:rPr>
              <w:t xml:space="preserve">jobs:</w:t>
            </w:r>
          </w:p>
          <w:p>
            <w:pPr>
              <w:spacing w:before="0" w:after="20"/>
            </w:pPr>
            <w:r>
              <w:rPr>
                <w:rFonts w:ascii="Courier New" w:cs="Courier New" w:eastAsia="Courier New" w:hAnsi="Courier New"/>
                <w:color w:val="A8D8EA"/>
                <w:sz w:val="17"/>
                <w:szCs w:val="17"/>
              </w:rPr>
              <w:t xml:space="preserve">  test:                          # Stage 1: Automatische Tests</w:t>
            </w:r>
          </w:p>
          <w:p>
            <w:pPr>
              <w:spacing w:before="0" w:after="20"/>
            </w:pPr>
            <w:r>
              <w:rPr>
                <w:rFonts w:ascii="Courier New" w:cs="Courier New" w:eastAsia="Courier New" w:hAnsi="Courier New"/>
                <w:color w:val="A8D8EA"/>
                <w:sz w:val="17"/>
                <w:szCs w:val="17"/>
              </w:rPr>
              <w:t xml:space="preserve">    steps:</w:t>
            </w:r>
          </w:p>
          <w:p>
            <w:pPr>
              <w:spacing w:before="0" w:after="20"/>
            </w:pPr>
            <w:r>
              <w:rPr>
                <w:rFonts w:ascii="Courier New" w:cs="Courier New" w:eastAsia="Courier New" w:hAnsi="Courier New"/>
                <w:color w:val="A8D8EA"/>
                <w:sz w:val="17"/>
                <w:szCs w:val="17"/>
              </w:rPr>
              <w:t xml:space="preserve">      - run: pnpm install --frozen-lockfile</w:t>
            </w:r>
          </w:p>
          <w:p>
            <w:pPr>
              <w:spacing w:before="0" w:after="20"/>
            </w:pPr>
            <w:r>
              <w:rPr>
                <w:rFonts w:ascii="Courier New" w:cs="Courier New" w:eastAsia="Courier New" w:hAnsi="Courier New"/>
                <w:color w:val="A8D8EA"/>
                <w:sz w:val="17"/>
                <w:szCs w:val="17"/>
              </w:rPr>
              <w:t xml:space="preserve">      - run: pnpm lint           # ESLint + TypeScript check</w:t>
            </w:r>
          </w:p>
          <w:p>
            <w:pPr>
              <w:spacing w:before="0" w:after="20"/>
            </w:pPr>
            <w:r>
              <w:rPr>
                <w:rFonts w:ascii="Courier New" w:cs="Courier New" w:eastAsia="Courier New" w:hAnsi="Courier New"/>
                <w:color w:val="A8D8EA"/>
                <w:sz w:val="17"/>
                <w:szCs w:val="17"/>
              </w:rPr>
              <w:t xml:space="preserve">      - run: pnpm test:unit      # Vitest Unit Tests (Tax-Engine 100% Coverage)</w:t>
            </w:r>
          </w:p>
          <w:p>
            <w:pPr>
              <w:spacing w:before="0" w:after="20"/>
            </w:pPr>
            <w:r>
              <w:rPr>
                <w:rFonts w:ascii="Courier New" w:cs="Courier New" w:eastAsia="Courier New" w:hAnsi="Courier New"/>
                <w:color w:val="A8D8EA"/>
                <w:sz w:val="17"/>
                <w:szCs w:val="17"/>
              </w:rPr>
              <w:t xml:space="preserve">      - run: pnpm test:integration # Vitest + Test-DB</w:t>
            </w:r>
          </w:p>
          <w:p>
            <w:pPr>
              <w:spacing w:before="0" w:after="20"/>
            </w:pPr>
            <w:r>
              <w:rPr>
                <w:rFonts w:ascii="Courier New" w:cs="Courier New" w:eastAsia="Courier New" w:hAnsi="Courier New"/>
                <w:color w:val="A8D8EA"/>
                <w:sz w:val="17"/>
                <w:szCs w:val="17"/>
              </w:rPr>
              <w:t xml:space="preserve">      - run: pnpm test:security  # npm audit + Dependabot check</w:t>
            </w:r>
          </w:p>
          <w:p>
            <w:pPr>
              <w:spacing w:before="0" w:after="20"/>
            </w:pPr>
            <w:r>
              <w:rPr>
                <w:rFonts w:ascii="Courier New" w:cs="Courier New" w:eastAsia="Courier New" w:hAnsi="Courier New"/>
                <w:color w:val="A8D8EA"/>
                <w:sz w:val="17"/>
                <w:szCs w:val="17"/>
              </w:rPr>
              <w:t xml:space="preserve"/>
            </w:r>
          </w:p>
          <w:p>
            <w:pPr>
              <w:spacing w:before="0" w:after="20"/>
            </w:pPr>
            <w:r>
              <w:rPr>
                <w:rFonts w:ascii="Courier New" w:cs="Courier New" w:eastAsia="Courier New" w:hAnsi="Courier New"/>
                <w:color w:val="A8D8EA"/>
                <w:sz w:val="17"/>
                <w:szCs w:val="17"/>
              </w:rPr>
              <w:t xml:space="preserve">  test-e2e:                      # Stage 2: E2E-Tests</w:t>
            </w:r>
          </w:p>
          <w:p>
            <w:pPr>
              <w:spacing w:before="0" w:after="20"/>
            </w:pPr>
            <w:r>
              <w:rPr>
                <w:rFonts w:ascii="Courier New" w:cs="Courier New" w:eastAsia="Courier New" w:hAnsi="Courier New"/>
                <w:color w:val="A8D8EA"/>
                <w:sz w:val="17"/>
                <w:szCs w:val="17"/>
              </w:rPr>
              <w:t xml:space="preserve">    needs: test</w:t>
            </w:r>
          </w:p>
          <w:p>
            <w:pPr>
              <w:spacing w:before="0" w:after="20"/>
            </w:pPr>
            <w:r>
              <w:rPr>
                <w:rFonts w:ascii="Courier New" w:cs="Courier New" w:eastAsia="Courier New" w:hAnsi="Courier New"/>
                <w:color w:val="A8D8EA"/>
                <w:sz w:val="17"/>
                <w:szCs w:val="17"/>
              </w:rPr>
              <w:t xml:space="preserve">    steps:</w:t>
            </w:r>
          </w:p>
          <w:p>
            <w:pPr>
              <w:spacing w:before="0" w:after="20"/>
            </w:pPr>
            <w:r>
              <w:rPr>
                <w:rFonts w:ascii="Courier New" w:cs="Courier New" w:eastAsia="Courier New" w:hAnsi="Courier New"/>
                <w:color w:val="A8D8EA"/>
                <w:sz w:val="17"/>
                <w:szCs w:val="17"/>
              </w:rPr>
              <w:t xml:space="preserve">      - run: pnpm test:e2e       # Playwright: Onboarding-Flow + Export-Flow</w:t>
            </w:r>
          </w:p>
          <w:p>
            <w:pPr>
              <w:spacing w:before="0" w:after="20"/>
            </w:pPr>
            <w:r>
              <w:rPr>
                <w:rFonts w:ascii="Courier New" w:cs="Courier New" w:eastAsia="Courier New" w:hAnsi="Courier New"/>
                <w:color w:val="A8D8EA"/>
                <w:sz w:val="17"/>
                <w:szCs w:val="17"/>
              </w:rPr>
              <w:t xml:space="preserve">      - run: pnpm test:cointracking-import  # CoinTracking CSV Validierung</w:t>
            </w:r>
          </w:p>
          <w:p>
            <w:pPr>
              <w:spacing w:before="0" w:after="20"/>
            </w:pPr>
            <w:r>
              <w:rPr>
                <w:rFonts w:ascii="Courier New" w:cs="Courier New" w:eastAsia="Courier New" w:hAnsi="Courier New"/>
                <w:color w:val="A8D8EA"/>
                <w:sz w:val="17"/>
                <w:szCs w:val="17"/>
              </w:rPr>
              <w:t xml:space="preserve"/>
            </w:r>
          </w:p>
          <w:p>
            <w:pPr>
              <w:spacing w:before="0" w:after="20"/>
            </w:pPr>
            <w:r>
              <w:rPr>
                <w:rFonts w:ascii="Courier New" w:cs="Courier New" w:eastAsia="Courier New" w:hAnsi="Courier New"/>
                <w:color w:val="A8D8EA"/>
                <w:sz w:val="17"/>
                <w:szCs w:val="17"/>
              </w:rPr>
              <w:t xml:space="preserve">  build:</w:t>
            </w:r>
          </w:p>
          <w:p>
            <w:pPr>
              <w:spacing w:before="0" w:after="20"/>
            </w:pPr>
            <w:r>
              <w:rPr>
                <w:rFonts w:ascii="Courier New" w:cs="Courier New" w:eastAsia="Courier New" w:hAnsi="Courier New"/>
                <w:color w:val="A8D8EA"/>
                <w:sz w:val="17"/>
                <w:szCs w:val="17"/>
              </w:rPr>
              <w:t xml:space="preserve">    needs: [test, test-e2e]</w:t>
            </w:r>
          </w:p>
          <w:p>
            <w:pPr>
              <w:spacing w:before="0" w:after="20"/>
            </w:pPr>
            <w:r>
              <w:rPr>
                <w:rFonts w:ascii="Courier New" w:cs="Courier New" w:eastAsia="Courier New" w:hAnsi="Courier New"/>
                <w:color w:val="A8D8EA"/>
                <w:sz w:val="17"/>
                <w:szCs w:val="17"/>
              </w:rPr>
              <w:t xml:space="preserve">    steps:</w:t>
            </w:r>
          </w:p>
          <w:p>
            <w:pPr>
              <w:spacing w:before="0" w:after="20"/>
            </w:pPr>
            <w:r>
              <w:rPr>
                <w:rFonts w:ascii="Courier New" w:cs="Courier New" w:eastAsia="Courier New" w:hAnsi="Courier New"/>
                <w:color w:val="A8D8EA"/>
                <w:sz w:val="17"/>
                <w:szCs w:val="17"/>
              </w:rPr>
              <w:t xml:space="preserve">      - run: pnpm build          # Next.js Production Build</w:t>
            </w:r>
          </w:p>
          <w:p>
            <w:pPr>
              <w:spacing w:before="0" w:after="20"/>
            </w:pPr>
            <w:r>
              <w:rPr>
                <w:rFonts w:ascii="Courier New" w:cs="Courier New" w:eastAsia="Courier New" w:hAnsi="Courier New"/>
                <w:color w:val="A8D8EA"/>
                <w:sz w:val="17"/>
                <w:szCs w:val="17"/>
              </w:rPr>
              <w:t xml:space="preserve">      - run: docker build -t defi-tracker:${{ github.sha }} .</w:t>
            </w:r>
          </w:p>
          <w:p>
            <w:pPr>
              <w:spacing w:before="0" w:after="20"/>
            </w:pPr>
            <w:r>
              <w:rPr>
                <w:rFonts w:ascii="Courier New" w:cs="Courier New" w:eastAsia="Courier New" w:hAnsi="Courier New"/>
                <w:color w:val="A8D8EA"/>
                <w:sz w:val="17"/>
                <w:szCs w:val="17"/>
              </w:rPr>
              <w:t xml:space="preserve">      - run: docker push registry.hetzner.com/defi-tracker:${{ github.sha }}</w:t>
            </w:r>
          </w:p>
          <w:p>
            <w:pPr>
              <w:spacing w:before="0" w:after="20"/>
            </w:pPr>
            <w:r>
              <w:rPr>
                <w:rFonts w:ascii="Courier New" w:cs="Courier New" w:eastAsia="Courier New" w:hAnsi="Courier New"/>
                <w:color w:val="A8D8EA"/>
                <w:sz w:val="17"/>
                <w:szCs w:val="17"/>
              </w:rPr>
              <w:t xml:space="preserve"/>
            </w:r>
          </w:p>
          <w:p>
            <w:pPr>
              <w:spacing w:before="0" w:after="20"/>
            </w:pPr>
            <w:r>
              <w:rPr>
                <w:rFonts w:ascii="Courier New" w:cs="Courier New" w:eastAsia="Courier New" w:hAnsi="Courier New"/>
                <w:color w:val="A8D8EA"/>
                <w:sz w:val="17"/>
                <w:szCs w:val="17"/>
              </w:rPr>
              <w:t xml:space="preserve">  deploy-staging:               # Stage 3: Staging Deploy</w:t>
            </w:r>
          </w:p>
          <w:p>
            <w:pPr>
              <w:spacing w:before="0" w:after="20"/>
            </w:pPr>
            <w:r>
              <w:rPr>
                <w:rFonts w:ascii="Courier New" w:cs="Courier New" w:eastAsia="Courier New" w:hAnsi="Courier New"/>
                <w:color w:val="A8D8EA"/>
                <w:sz w:val="17"/>
                <w:szCs w:val="17"/>
              </w:rPr>
              <w:t xml:space="preserve">    needs: build</w:t>
            </w:r>
          </w:p>
          <w:p>
            <w:pPr>
              <w:spacing w:before="0" w:after="20"/>
            </w:pPr>
            <w:r>
              <w:rPr>
                <w:rFonts w:ascii="Courier New" w:cs="Courier New" w:eastAsia="Courier New" w:hAnsi="Courier New"/>
                <w:color w:val="A8D8EA"/>
                <w:sz w:val="17"/>
                <w:szCs w:val="17"/>
              </w:rPr>
              <w:t xml:space="preserve">    if: github.ref == 'refs/heads/staging'</w:t>
            </w:r>
          </w:p>
          <w:p>
            <w:pPr>
              <w:spacing w:before="0" w:after="20"/>
            </w:pPr>
            <w:r>
              <w:rPr>
                <w:rFonts w:ascii="Courier New" w:cs="Courier New" w:eastAsia="Courier New" w:hAnsi="Courier New"/>
                <w:color w:val="A8D8EA"/>
                <w:sz w:val="17"/>
                <w:szCs w:val="17"/>
              </w:rPr>
              <w:t xml:space="preserve">    steps:</w:t>
            </w:r>
          </w:p>
          <w:p>
            <w:pPr>
              <w:spacing w:before="0" w:after="20"/>
            </w:pPr>
            <w:r>
              <w:rPr>
                <w:rFonts w:ascii="Courier New" w:cs="Courier New" w:eastAsia="Courier New" w:hAnsi="Courier New"/>
                <w:color w:val="A8D8EA"/>
                <w:sz w:val="17"/>
                <w:szCs w:val="17"/>
              </w:rPr>
              <w:t xml:space="preserve">      - run: coolify deploy --env staging --image ${{ github.sha }}</w:t>
            </w:r>
          </w:p>
          <w:p>
            <w:pPr>
              <w:spacing w:before="0" w:after="20"/>
            </w:pPr>
            <w:r>
              <w:rPr>
                <w:rFonts w:ascii="Courier New" w:cs="Courier New" w:eastAsia="Courier New" w:hAnsi="Courier New"/>
                <w:color w:val="A8D8EA"/>
                <w:sz w:val="17"/>
                <w:szCs w:val="17"/>
              </w:rPr>
              <w:t xml:space="preserve">      - run: pnpm test:smoke-staging  # Post-Deploy Smoke Tests</w:t>
            </w:r>
          </w:p>
          <w:p>
            <w:pPr>
              <w:spacing w:before="0" w:after="20"/>
            </w:pPr>
            <w:r>
              <w:rPr>
                <w:rFonts w:ascii="Courier New" w:cs="Courier New" w:eastAsia="Courier New" w:hAnsi="Courier New"/>
                <w:color w:val="A8D8EA"/>
                <w:sz w:val="17"/>
                <w:szCs w:val="17"/>
              </w:rPr>
              <w:t xml:space="preserve"/>
            </w:r>
          </w:p>
          <w:p>
            <w:pPr>
              <w:spacing w:before="0" w:after="20"/>
            </w:pPr>
            <w:r>
              <w:rPr>
                <w:rFonts w:ascii="Courier New" w:cs="Courier New" w:eastAsia="Courier New" w:hAnsi="Courier New"/>
                <w:color w:val="A8D8EA"/>
                <w:sz w:val="17"/>
                <w:szCs w:val="17"/>
              </w:rPr>
              <w:t xml:space="preserve">  deploy-production:            # Stage 4: Blue-Green Production</w:t>
            </w:r>
          </w:p>
          <w:p>
            <w:pPr>
              <w:spacing w:before="0" w:after="20"/>
            </w:pPr>
            <w:r>
              <w:rPr>
                <w:rFonts w:ascii="Courier New" w:cs="Courier New" w:eastAsia="Courier New" w:hAnsi="Courier New"/>
                <w:color w:val="A8D8EA"/>
                <w:sz w:val="17"/>
                <w:szCs w:val="17"/>
              </w:rPr>
              <w:t xml:space="preserve">    needs: build</w:t>
            </w:r>
          </w:p>
          <w:p>
            <w:pPr>
              <w:spacing w:before="0" w:after="20"/>
            </w:pPr>
            <w:r>
              <w:rPr>
                <w:rFonts w:ascii="Courier New" w:cs="Courier New" w:eastAsia="Courier New" w:hAnsi="Courier New"/>
                <w:color w:val="A8D8EA"/>
                <w:sz w:val="17"/>
                <w:szCs w:val="17"/>
              </w:rPr>
              <w:t xml:space="preserve">    if: github.ref == 'refs/heads/main'</w:t>
            </w:r>
          </w:p>
          <w:p>
            <w:pPr>
              <w:spacing w:before="0" w:after="20"/>
            </w:pPr>
            <w:r>
              <w:rPr>
                <w:rFonts w:ascii="Courier New" w:cs="Courier New" w:eastAsia="Courier New" w:hAnsi="Courier New"/>
                <w:color w:val="A8D8EA"/>
                <w:sz w:val="17"/>
                <w:szCs w:val="17"/>
              </w:rPr>
              <w:t xml:space="preserve">    environment: production</w:t>
            </w:r>
          </w:p>
          <w:p>
            <w:pPr>
              <w:spacing w:before="0" w:after="20"/>
            </w:pPr>
            <w:r>
              <w:rPr>
                <w:rFonts w:ascii="Courier New" w:cs="Courier New" w:eastAsia="Courier New" w:hAnsi="Courier New"/>
                <w:color w:val="A8D8EA"/>
                <w:sz w:val="17"/>
                <w:szCs w:val="17"/>
              </w:rPr>
              <w:t xml:space="preserve">    steps:</w:t>
            </w:r>
          </w:p>
          <w:p>
            <w:pPr>
              <w:spacing w:before="0" w:after="20"/>
            </w:pPr>
            <w:r>
              <w:rPr>
                <w:rFonts w:ascii="Courier New" w:cs="Courier New" w:eastAsia="Courier New" w:hAnsi="Courier New"/>
                <w:color w:val="A8D8EA"/>
                <w:sz w:val="17"/>
                <w:szCs w:val="17"/>
              </w:rPr>
              <w:t xml:space="preserve">      - run: coolify deploy --strategy blue-green --env production</w:t>
            </w:r>
          </w:p>
          <w:p>
            <w:pPr>
              <w:spacing w:before="0" w:after="20"/>
            </w:pPr>
            <w:r>
              <w:rPr>
                <w:rFonts w:ascii="Courier New" w:cs="Courier New" w:eastAsia="Courier New" w:hAnsi="Courier New"/>
                <w:color w:val="A8D8EA"/>
                <w:sz w:val="17"/>
                <w:szCs w:val="17"/>
              </w:rPr>
              <w:t xml:space="preserve">      - run: pnpm test:smoke-production</w:t>
            </w:r>
          </w:p>
          <w:p>
            <w:pPr>
              <w:spacing w:before="0" w:after="20"/>
            </w:pPr>
            <w:r>
              <w:rPr>
                <w:rFonts w:ascii="Courier New" w:cs="Courier New" w:eastAsia="Courier New" w:hAnsi="Courier New"/>
                <w:color w:val="A8D8EA"/>
                <w:sz w:val="17"/>
                <w:szCs w:val="17"/>
              </w:rPr>
              <w:t xml:space="preserve">      - run: curl -X POST $PAGERDUTY_WEBHOOK -d '{"event":"deploy_success"}'</w:t>
            </w:r>
          </w:p>
        </w:tc>
      </w:tr>
    </w:tbl>
    <w:p>
      <w:pPr>
        <w:spacing w:before="80" w:after="0"/>
      </w:pPr>
      <w:r>
        <w:t xml:space="preserve"/>
      </w:r>
    </w:p>
    <w:p>
      <w:pPr>
        <w:spacing w:before="200" w:after="80"/>
      </w:pPr>
      <w:r>
        <w:rPr>
          <w:rFonts w:ascii="Calibri" w:cs="Calibri" w:eastAsia="Calibri" w:hAnsi="Calibri"/>
          <w:b/>
          <w:bCs/>
          <w:color w:val="006064"/>
          <w:sz w:val="23"/>
          <w:szCs w:val="23"/>
        </w:rPr>
        <w:t xml:space="preserve">T5.2 Infrastruktur – Hetzner Nürnberg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1900"/>
        <w:gridCol w:w="1226"/>
      </w:tblGrid>
      <w:tr>
        <w:trPr>
          <w:tblHeader/>
        </w:trPr>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Komponente</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Hetzner Produkt</w:t>
            </w:r>
          </w:p>
        </w:tc>
        <w:tc>
          <w:tcPr>
            <w:tcW w:type="dxa" w:w="19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Specs (MVP)</w:t>
            </w:r>
          </w:p>
        </w:tc>
        <w:tc>
          <w:tcPr>
            <w:tcW w:type="dxa" w:w="19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Specs (Scale)</w:t>
            </w:r>
          </w:p>
        </w:tc>
        <w:tc>
          <w:tcPr>
            <w:tcW w:type="dxa" w:w="12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Zweck</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App-Server (Primary)</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CX31 dedicated</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4 vCPU, 8 GB RAM</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CCX23 (8 vCPU, 32 GB)</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Next.js + API + Indexer</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Datenbank</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CPX31 + Volume</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4 vCPU, 8 GB, 100 GB SSD</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CPX51 + 1 TB SSD</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PostgreSQL 16</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Cache / Queue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CPX11</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 vCPU, 2 GB RAM</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CPX21 (4 vCPU, 8 GB)</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Redis 7 (BullMQ + Cache)</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Load Balancer</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 LB</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 Services</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 Services</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Zero-Downtime Deploy</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Object Storage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 S3 (Nürnberg)</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 TB</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Unlimited</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Exports + Audit-Archiv (10 Jahre)</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Backup</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 Backups</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Daily (7 Tage)</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Daily + Weekly + Monthly</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PostgreSQL Snapshots</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Firewall</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 Firewall</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Whitelist: Port 443, 22</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Same</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DSGVO-konforme Netzwerk-Isolation</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T6. Testing-Strategie</w:t>
      </w:r>
    </w:p>
    <w:p>
      <w:pPr>
        <w:spacing w:before="60" w:after="90"/>
      </w:pPr>
      <w:r>
        <w:rPr>
          <w:rFonts w:ascii="Calibri" w:cs="Calibri" w:eastAsia="Calibri" w:hAnsi="Calibri"/>
          <w:color w:val="212121"/>
          <w:sz w:val="21"/>
          <w:szCs w:val="21"/>
        </w:rPr>
        <w:t xml:space="preserve">Eine umfassende Testing-Strategie ist kritisch, da Fehler in der Steuerberechnung direkte rechtliche Konsequenzen für Nutzer haben. Die Testing-Pyramide priorisiert Unit-Tests für die Tax-Engine und E2E-Tests für den CoinTracking-Export.</w:t>
      </w:r>
    </w:p>
    <w:p>
      <w:pPr>
        <w:spacing w:before="80" w:after="0"/>
      </w:pPr>
      <w:r>
        <w:t xml:space="preserve"/>
      </w:r>
    </w:p>
    <w:p>
      <w:pPr>
        <w:spacing w:before="200" w:after="80"/>
      </w:pPr>
      <w:r>
        <w:rPr>
          <w:rFonts w:ascii="Calibri" w:cs="Calibri" w:eastAsia="Calibri" w:hAnsi="Calibri"/>
          <w:b/>
          <w:bCs/>
          <w:color w:val="006064"/>
          <w:sz w:val="23"/>
          <w:szCs w:val="23"/>
        </w:rPr>
        <w:t xml:space="preserve">T6.1 Testing-Pyramide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200"/>
        <w:gridCol w:w="1026"/>
      </w:tblGrid>
      <w:tr>
        <w:trPr>
          <w:tblHeader/>
        </w:trPr>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Test-Ebene</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Framework</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Abdeckungsziel</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Kritische Testfälle</w:t>
            </w:r>
          </w:p>
        </w:tc>
        <w:tc>
          <w:tcPr>
            <w:tcW w:type="dxa" w:w="10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Automatisiert</w:t>
            </w:r>
          </w:p>
        </w:tc>
      </w:tr>
      <w:tr>
        <w:tc>
          <w:tcPr>
            <w:tcW w:type="dxa" w:w="22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Unit Tests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Vitest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90% (Tax-Engine: 100%)</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FIFO/LIFO/HIFO Lot-Berechnung; LP Dual-Szenario; EUR-Rundung; Freigrenze-Berechnung</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CI/CD Stage 1</w:t>
            </w:r>
          </w:p>
        </w:tc>
      </w:tr>
      <w:tr>
        <w:tc>
          <w:tcPr>
            <w:tcW w:type="dxa" w:w="22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Integration Tests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Vitest + Test-DB</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80%</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TX-Classification für alle 6 Protokolle; ABI-Decoding; Price-Feed-Fallback; GoBD-Hash-Kette</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CI/CD Stage 1</w:t>
            </w:r>
          </w:p>
        </w:tc>
      </w:tr>
      <w:tr>
        <w:tc>
          <w:tcPr>
            <w:tcW w:type="dxa" w:w="22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E2E Tests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Playwright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Kritische Flows</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Onboarding &lt; 5 Min.; CoinTracking CSV Import E2E; LP Graubereich-Flow; Dashboard-Aktualisierung</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CI/CD Stage 2</w:t>
            </w:r>
          </w:p>
        </w:tc>
      </w:tr>
      <w:tr>
        <w:tc>
          <w:tcPr>
            <w:tcW w:type="dxa" w:w="22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CoinTracking CSV Validation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Custom Validator + CoinTracking API</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 aller TX-Typen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Jeder der 35+ CoinTracking-Typen wird mit Testdaten importiert und Ergebnis validiert</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 CI/CD Stage 2</w:t>
            </w:r>
          </w:p>
        </w:tc>
      </w:tr>
      <w:tr>
        <w:tc>
          <w:tcPr>
            <w:tcW w:type="dxa" w:w="22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Performance Tests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k6</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SLA-Targets</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Dashboard-Load &lt; 2s (P95); CSV-Export 1 Jahr &lt; 5s; API &lt; 200ms (P95); 10.000 TX Import &lt; 10 Min.</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Manuell (pre-release)</w:t>
            </w:r>
          </w:p>
        </w:tc>
      </w:tr>
      <w:tr>
        <w:tc>
          <w:tcPr>
            <w:tcW w:type="dxa" w:w="22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Security Tests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OWASP ZAP + npm audit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Jeder Release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SQL Injection; XSS; CSRF; JWT-Manipulation; Private-Key-Leak-Detection</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Jährlich (extern)</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Steuerberater-Review</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Manuell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Jedes BMF-Update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TX-Mappings nach neuem BMF-Schreiben; LP-Dual-Szenario-Ergebnisse</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Manuell (extern)</w:t>
            </w:r>
          </w:p>
        </w:tc>
      </w:tr>
    </w:tbl>
    <w:p>
      <w:pPr>
        <w:spacing w:before="80" w:after="0"/>
      </w:pPr>
      <w:r>
        <w:t xml:space="preserve"/>
      </w:r>
    </w:p>
    <w:p>
      <w:pPr>
        <w:spacing w:before="200" w:after="80"/>
      </w:pPr>
      <w:r>
        <w:rPr>
          <w:rFonts w:ascii="Calibri" w:cs="Calibri" w:eastAsia="Calibri" w:hAnsi="Calibri"/>
          <w:b/>
          <w:bCs/>
          <w:color w:val="006064"/>
          <w:sz w:val="23"/>
          <w:szCs w:val="23"/>
        </w:rPr>
        <w:t xml:space="preserve">T6.2 Kritische Tax-Engine Unit-Tests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63238" w:sz="2"/>
              <w:left w:val="single" w:color="263238" w:sz="2"/>
              <w:bottom w:val="single" w:color="263238" w:sz="2"/>
              <w:right w:val="single" w:color="263238" w:sz="2"/>
            </w:tcBorders>
            <w:shd w:fill="1E2A3A" w:val="clear"/>
            <w:tcMar>
              <w:top w:type="dxa" w:w="120"/>
              <w:left w:type="dxa" w:w="200"/>
              <w:bottom w:type="dxa" w:w="120"/>
              <w:right w:type="dxa" w:w="160"/>
            </w:tcMar>
          </w:tcPr>
          <w:p>
            <w:pPr>
              <w:spacing w:before="0" w:after="20"/>
            </w:pPr>
            <w:r>
              <w:rPr>
                <w:rFonts w:ascii="Courier New" w:cs="Courier New" w:eastAsia="Courier New" w:hAnsi="Courier New"/>
                <w:color w:val="A8D8EA"/>
                <w:sz w:val="17"/>
                <w:szCs w:val="17"/>
              </w:rPr>
              <w:t xml:space="preserve">// vitest: Tax-Engine FIFO Test-Suite</w:t>
            </w:r>
          </w:p>
          <w:p>
            <w:pPr>
              <w:spacing w:before="0" w:after="20"/>
            </w:pPr>
            <w:r>
              <w:rPr>
                <w:rFonts w:ascii="Courier New" w:cs="Courier New" w:eastAsia="Courier New" w:hAnsi="Courier New"/>
                <w:color w:val="A8D8EA"/>
                <w:sz w:val="17"/>
                <w:szCs w:val="17"/>
              </w:rPr>
              <w:t xml:space="preserve">describe('FIFO Steuerberechnung', () =&gt; {</w:t>
            </w:r>
          </w:p>
          <w:p>
            <w:pPr>
              <w:spacing w:before="0" w:after="20"/>
            </w:pPr>
            <w:r>
              <w:rPr>
                <w:rFonts w:ascii="Courier New" w:cs="Courier New" w:eastAsia="Courier New" w:hAnsi="Courier New"/>
                <w:color w:val="A8D8EA"/>
                <w:sz w:val="17"/>
                <w:szCs w:val="17"/>
              </w:rPr>
              <w:t xml:space="preserve">  test('Steuerfreier Verkauf nach 365 Tagen (§ 23 EStG)', () =&gt; {</w:t>
            </w:r>
          </w:p>
          <w:p>
            <w:pPr>
              <w:spacing w:before="0" w:after="20"/>
            </w:pPr>
            <w:r>
              <w:rPr>
                <w:rFonts w:ascii="Courier New" w:cs="Courier New" w:eastAsia="Courier New" w:hAnsi="Courier New"/>
                <w:color w:val="A8D8EA"/>
                <w:sz w:val="17"/>
                <w:szCs w:val="17"/>
              </w:rPr>
              <w:t xml:space="preserve">    const lot = createLot({ date: '2025-01-01', eurPerUnit: 0.02, amount: 1000 });</w:t>
            </w:r>
          </w:p>
          <w:p>
            <w:pPr>
              <w:spacing w:before="0" w:after="20"/>
            </w:pPr>
            <w:r>
              <w:rPr>
                <w:rFonts w:ascii="Courier New" w:cs="Courier New" w:eastAsia="Courier New" w:hAnsi="Courier New"/>
                <w:color w:val="A8D8EA"/>
                <w:sz w:val="17"/>
                <w:szCs w:val="17"/>
              </w:rPr>
              <w:t xml:space="preserve">    const result = disposeFIFO(500, 'FLR', new Date('2026-01-02'), 0.05, [lot]);</w:t>
            </w:r>
          </w:p>
          <w:p>
            <w:pPr>
              <w:spacing w:before="0" w:after="20"/>
            </w:pPr>
            <w:r>
              <w:rPr>
                <w:rFonts w:ascii="Courier New" w:cs="Courier New" w:eastAsia="Courier New" w:hAnsi="Courier New"/>
                <w:color w:val="A8D8EA"/>
                <w:sz w:val="17"/>
                <w:szCs w:val="17"/>
              </w:rPr>
              <w:t xml:space="preserve">    expect(result.taxFree).toBe(true);      // &gt; 365 Tage = steuerfrei</w:t>
            </w:r>
          </w:p>
          <w:p>
            <w:pPr>
              <w:spacing w:before="0" w:after="20"/>
            </w:pPr>
            <w:r>
              <w:rPr>
                <w:rFonts w:ascii="Courier New" w:cs="Courier New" w:eastAsia="Courier New" w:hAnsi="Courier New"/>
                <w:color w:val="A8D8EA"/>
                <w:sz w:val="17"/>
                <w:szCs w:val="17"/>
              </w:rPr>
              <w:t xml:space="preserve">    expect(result.gainLossEUR).toBe(15);    // (0.05 - 0.02) * 500 = 15</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
            </w:r>
          </w:p>
          <w:p>
            <w:pPr>
              <w:spacing w:before="0" w:after="20"/>
            </w:pPr>
            <w:r>
              <w:rPr>
                <w:rFonts w:ascii="Courier New" w:cs="Courier New" w:eastAsia="Courier New" w:hAnsi="Courier New"/>
                <w:color w:val="A8D8EA"/>
                <w:sz w:val="17"/>
                <w:szCs w:val="17"/>
              </w:rPr>
              <w:t xml:space="preserve">  test('Steuerpflicht bei Verkauf &lt; 365 Tage (§ 23 EStG)', () =&gt; {</w:t>
            </w:r>
          </w:p>
          <w:p>
            <w:pPr>
              <w:spacing w:before="0" w:after="20"/>
            </w:pPr>
            <w:r>
              <w:rPr>
                <w:rFonts w:ascii="Courier New" w:cs="Courier New" w:eastAsia="Courier New" w:hAnsi="Courier New"/>
                <w:color w:val="A8D8EA"/>
                <w:sz w:val="17"/>
                <w:szCs w:val="17"/>
              </w:rPr>
              <w:t xml:space="preserve">    const lot = createLot({ date: '2025-06-01', eurPerUnit: 0.03, amount: 500 });</w:t>
            </w:r>
          </w:p>
          <w:p>
            <w:pPr>
              <w:spacing w:before="0" w:after="20"/>
            </w:pPr>
            <w:r>
              <w:rPr>
                <w:rFonts w:ascii="Courier New" w:cs="Courier New" w:eastAsia="Courier New" w:hAnsi="Courier New"/>
                <w:color w:val="A8D8EA"/>
                <w:sz w:val="17"/>
                <w:szCs w:val="17"/>
              </w:rPr>
              <w:t xml:space="preserve">    const result = disposeFIFO(500, 'FLR', new Date('2025-12-01'), 0.05, [lot]);</w:t>
            </w:r>
          </w:p>
          <w:p>
            <w:pPr>
              <w:spacing w:before="0" w:after="20"/>
            </w:pPr>
            <w:r>
              <w:rPr>
                <w:rFonts w:ascii="Courier New" w:cs="Courier New" w:eastAsia="Courier New" w:hAnsi="Courier New"/>
                <w:color w:val="A8D8EA"/>
                <w:sz w:val="17"/>
                <w:szCs w:val="17"/>
              </w:rPr>
              <w:t xml:space="preserve">    expect(result.taxFree).toBe(false);     // &lt; 365 Tage = steuerpflichtig</w:t>
            </w:r>
          </w:p>
          <w:p>
            <w:pPr>
              <w:spacing w:before="0" w:after="20"/>
            </w:pPr>
            <w:r>
              <w:rPr>
                <w:rFonts w:ascii="Courier New" w:cs="Courier New" w:eastAsia="Courier New" w:hAnsi="Courier New"/>
                <w:color w:val="A8D8EA"/>
                <w:sz w:val="17"/>
                <w:szCs w:val="17"/>
              </w:rPr>
              <w:t xml:space="preserve">    expect(result.gainLossEUR).toBe(10);    // (0.05 - 0.03) * 500 = 10</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
            </w:r>
          </w:p>
          <w:p>
            <w:pPr>
              <w:spacing w:before="0" w:after="20"/>
            </w:pPr>
            <w:r>
              <w:rPr>
                <w:rFonts w:ascii="Courier New" w:cs="Courier New" w:eastAsia="Courier New" w:hAnsi="Courier New"/>
                <w:color w:val="A8D8EA"/>
                <w:sz w:val="17"/>
                <w:szCs w:val="17"/>
              </w:rPr>
              <w:t xml:space="preserve">  test('§ 23 Freigrenze: 999 EUR = steuerfrei', () =&gt; {</w:t>
            </w:r>
          </w:p>
          <w:p>
            <w:pPr>
              <w:spacing w:before="0" w:after="20"/>
            </w:pPr>
            <w:r>
              <w:rPr>
                <w:rFonts w:ascii="Courier New" w:cs="Courier New" w:eastAsia="Courier New" w:hAnsi="Courier New"/>
                <w:color w:val="A8D8EA"/>
                <w:sz w:val="17"/>
                <w:szCs w:val="17"/>
              </w:rPr>
              <w:t xml:space="preserve">    const annualGains = calculateAnnualGains(testPortfolio2025);</w:t>
            </w:r>
          </w:p>
          <w:p>
            <w:pPr>
              <w:spacing w:before="0" w:after="20"/>
            </w:pPr>
            <w:r>
              <w:rPr>
                <w:rFonts w:ascii="Courier New" w:cs="Courier New" w:eastAsia="Courier New" w:hAnsi="Courier New"/>
                <w:color w:val="A8D8EA"/>
                <w:sz w:val="17"/>
                <w:szCs w:val="17"/>
              </w:rPr>
              <w:t xml:space="preserve">    expect(annualGains.taxable).toBe(0);   // &lt; 1.000 EUR = Freigrenze</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
            </w:r>
          </w:p>
          <w:p>
            <w:pPr>
              <w:spacing w:before="0" w:after="20"/>
            </w:pPr>
            <w:r>
              <w:rPr>
                <w:rFonts w:ascii="Courier New" w:cs="Courier New" w:eastAsia="Courier New" w:hAnsi="Courier New"/>
                <w:color w:val="A8D8EA"/>
                <w:sz w:val="17"/>
                <w:szCs w:val="17"/>
              </w:rPr>
              <w:t xml:space="preserve">  test('§ 22 Nr. 3 Freigrenze: 256 EUR Staking = steuerfrei', () =&gt; {</w:t>
            </w:r>
          </w:p>
          <w:p>
            <w:pPr>
              <w:spacing w:before="0" w:after="20"/>
            </w:pPr>
            <w:r>
              <w:rPr>
                <w:rFonts w:ascii="Courier New" w:cs="Courier New" w:eastAsia="Courier New" w:hAnsi="Courier New"/>
                <w:color w:val="A8D8EA"/>
                <w:sz w:val="17"/>
                <w:szCs w:val="17"/>
              </w:rPr>
              <w:t xml:space="preserve">    const rewards = sumStakingRewards(testRewards2025);</w:t>
            </w:r>
          </w:p>
          <w:p>
            <w:pPr>
              <w:spacing w:before="0" w:after="20"/>
            </w:pPr>
            <w:r>
              <w:rPr>
                <w:rFonts w:ascii="Courier New" w:cs="Courier New" w:eastAsia="Courier New" w:hAnsi="Courier New"/>
                <w:color w:val="A8D8EA"/>
                <w:sz w:val="17"/>
                <w:szCs w:val="17"/>
              </w:rPr>
              <w:t xml:space="preserve">    expect(rewards.taxable).toBe(0);        // &lt;= 256 EUR = Freigrenze</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
            </w:r>
          </w:p>
          <w:p>
            <w:pPr>
              <w:spacing w:before="0" w:after="20"/>
            </w:pPr>
            <w:r>
              <w:rPr>
                <w:rFonts w:ascii="Courier New" w:cs="Courier New" w:eastAsia="Courier New" w:hAnsi="Courier New"/>
                <w:color w:val="A8D8EA"/>
                <w:sz w:val="17"/>
                <w:szCs w:val="17"/>
              </w:rPr>
              <w:t xml:space="preserve">  test('LP Dual-Szenario: Modell A &gt; Modell B (konservativ)', () =&gt; {</w:t>
            </w:r>
          </w:p>
          <w:p>
            <w:pPr>
              <w:spacing w:before="0" w:after="20"/>
            </w:pPr>
            <w:r>
              <w:rPr>
                <w:rFonts w:ascii="Courier New" w:cs="Courier New" w:eastAsia="Courier New" w:hAnsi="Courier New"/>
                <w:color w:val="A8D8EA"/>
                <w:sz w:val="17"/>
                <w:szCs w:val="17"/>
              </w:rPr>
              <w:t xml:space="preserve">    const resultA = calculateLP_ModelA(lpProvideEvent, lpRemoveEvent);</w:t>
            </w:r>
          </w:p>
          <w:p>
            <w:pPr>
              <w:spacing w:before="0" w:after="20"/>
            </w:pPr>
            <w:r>
              <w:rPr>
                <w:rFonts w:ascii="Courier New" w:cs="Courier New" w:eastAsia="Courier New" w:hAnsi="Courier New"/>
                <w:color w:val="A8D8EA"/>
                <w:sz w:val="17"/>
                <w:szCs w:val="17"/>
              </w:rPr>
              <w:t xml:space="preserve">    const resultB = calculateLP_ModelB(lpProvideEvent, lpRemoveEvent);</w:t>
            </w:r>
          </w:p>
          <w:p>
            <w:pPr>
              <w:spacing w:before="0" w:after="20"/>
            </w:pPr>
            <w:r>
              <w:rPr>
                <w:rFonts w:ascii="Courier New" w:cs="Courier New" w:eastAsia="Courier New" w:hAnsi="Courier New"/>
                <w:color w:val="A8D8EA"/>
                <w:sz w:val="17"/>
                <w:szCs w:val="17"/>
              </w:rPr>
              <w:t xml:space="preserve">    expect(resultA.taxableAmount).toBeGreaterThan(resultB.taxableAmount);</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T7. Monitoring &amp; Observability</w:t>
      </w:r>
    </w:p>
    <w:p>
      <w:pPr>
        <w:spacing w:before="60" w:after="90"/>
      </w:pPr>
      <w:r>
        <w:rPr>
          <w:rFonts w:ascii="Calibri" w:cs="Calibri" w:eastAsia="Calibri" w:hAnsi="Calibri"/>
          <w:color w:val="212121"/>
          <w:sz w:val="21"/>
          <w:szCs w:val="21"/>
        </w:rPr>
        <w:t xml:space="preserve">Das Monitoring-System überwacht alle kritischen Service-Layer in Echtzeit. Besonders kritisch sind: Indexer-Lücken (GoBD-Vollständigkeitsrisiko), Preisfeed-Ausfälle (BMF 2025-Bewertungsrisiko) und Steuerberechnungs-Anomalien.</w:t>
      </w:r>
    </w:p>
    <w:p>
      <w:pPr>
        <w:spacing w:before="80" w:after="0"/>
      </w:pPr>
      <w:r>
        <w:t xml:space="preserve"/>
      </w:r>
    </w:p>
    <w:p>
      <w:pPr>
        <w:spacing w:before="200" w:after="80"/>
      </w:pPr>
      <w:r>
        <w:rPr>
          <w:rFonts w:ascii="Calibri" w:cs="Calibri" w:eastAsia="Calibri" w:hAnsi="Calibri"/>
          <w:b/>
          <w:bCs/>
          <w:color w:val="006064"/>
          <w:sz w:val="23"/>
          <w:szCs w:val="23"/>
        </w:rPr>
        <w:t xml:space="preserve">T7.1 Metriken-Stack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1600"/>
        <w:gridCol w:w="726"/>
      </w:tblGrid>
      <w:tr>
        <w:trPr>
          <w:tblHeader/>
        </w:trPr>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Layer</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Tool</w:t>
            </w:r>
          </w:p>
        </w:tc>
        <w:tc>
          <w:tcPr>
            <w:tcW w:type="dxa" w:w="2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Kritische Metriken</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Alert-Schwellenwert</w:t>
            </w:r>
          </w:p>
        </w:tc>
        <w:tc>
          <w:tcPr>
            <w:tcW w:type="dxa" w:w="7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Benachrichtigung</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Infrastruktur</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Prometheus + Grafana (Hetzner)</w:t>
            </w:r>
          </w:p>
        </w:tc>
        <w:tc>
          <w:tcPr>
            <w:tcW w:type="dxa" w:w="2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CPU, RAM, Disk I/O, Network</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CPU &gt; 80% für 5 Min.; Disk &gt; 85%</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PagerDuty → On-Call Dev</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Application-Performance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Prometheus + Custom Exporter</w:t>
            </w:r>
          </w:p>
        </w:tc>
        <w:tc>
          <w:tcPr>
            <w:tcW w:type="dxa" w:w="2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API-Latenz P95/P99; Request-Rate; Error-Rate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P95 &gt; 500ms; Error-Rate &gt; 1%</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Slack + PagerDuty</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Indexer-Health</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Custom BullMQ Exporter</w:t>
            </w:r>
          </w:p>
        </w:tc>
        <w:tc>
          <w:tcPr>
            <w:tcW w:type="dxa" w:w="2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Job-Queue-Tiefe; Sync-Lag; Failed-Jobs; Gap-Detection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Lag &gt; 120s; Failed &gt; 5/Stunde</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PagerDuty (kritisch)</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Price-Feed</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Custom Exporter</w:t>
            </w:r>
          </w:p>
        </w:tc>
        <w:tc>
          <w:tcPr>
            <w:tcW w:type="dxa" w:w="2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FTSO-Latenz; CoinGecko-Fehlerrate; Price-Cache-Age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Cache &gt; 5 Min. veraltet; CG-Fehler &gt; 10%</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Slack (Warnung) → PagerDuty (Kritisch)</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Tax-Engine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Custom Exporter</w:t>
            </w:r>
          </w:p>
        </w:tc>
        <w:tc>
          <w:tcPr>
            <w:tcW w:type="dxa" w:w="2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Berechnungsdauer; Lot-Konsistenz-Check; Dual-Szenario-Divergenz</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&gt; 30s Berechnung; Inkonsistenz erkannt</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PagerDuty + Sentry</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Security</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Fail2Ban + OWASP CRS</w:t>
            </w:r>
          </w:p>
        </w:tc>
        <w:tc>
          <w:tcPr>
            <w:tcW w:type="dxa" w:w="2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Failed-Login-Rate; SQL-Injection-Versuche; Unusual-TX-Patterns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&gt; 10 Failed-Logins/5-Min.; Anomalie</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PagerDuty + Slack</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Export-Service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Custom Exporter</w:t>
            </w:r>
          </w:p>
        </w:tc>
        <w:tc>
          <w:tcPr>
            <w:tcW w:type="dxa" w:w="2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Export-Erfolgsrate; CoinTracking-Validierungsfehler; PDF-Generierungsdauer</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Fehlerrate &gt; 0,5%; &gt; 10s Generierung</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Slack</w:t>
            </w:r>
          </w:p>
        </w:tc>
      </w:tr>
    </w:tbl>
    <w:p>
      <w:pPr>
        <w:spacing w:before="80" w:after="0"/>
      </w:pPr>
      <w:r>
        <w:t xml:space="preserve"/>
      </w:r>
    </w:p>
    <w:p>
      <w:pPr>
        <w:spacing w:before="200" w:after="80"/>
      </w:pPr>
      <w:r>
        <w:rPr>
          <w:rFonts w:ascii="Calibri" w:cs="Calibri" w:eastAsia="Calibri" w:hAnsi="Calibri"/>
          <w:b/>
          <w:bCs/>
          <w:color w:val="006064"/>
          <w:sz w:val="23"/>
          <w:szCs w:val="23"/>
        </w:rPr>
        <w:t xml:space="preserve">T7.2 Indexer-Lücken-Detektion (GoBD-kritisch)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63238" w:sz="2"/>
              <w:left w:val="single" w:color="263238" w:sz="2"/>
              <w:bottom w:val="single" w:color="263238" w:sz="2"/>
              <w:right w:val="single" w:color="263238" w:sz="2"/>
            </w:tcBorders>
            <w:shd w:fill="1E2A3A" w:val="clear"/>
            <w:tcMar>
              <w:top w:type="dxa" w:w="120"/>
              <w:left w:type="dxa" w:w="200"/>
              <w:bottom w:type="dxa" w:w="120"/>
              <w:right w:type="dxa" w:w="160"/>
            </w:tcMar>
          </w:tcPr>
          <w:p>
            <w:pPr>
              <w:spacing w:before="0" w:after="20"/>
            </w:pPr>
            <w:r>
              <w:rPr>
                <w:rFonts w:ascii="Courier New" w:cs="Courier New" w:eastAsia="Courier New" w:hAnsi="Courier New"/>
                <w:color w:val="A8D8EA"/>
                <w:sz w:val="17"/>
                <w:szCs w:val="17"/>
              </w:rPr>
              <w:t xml:space="preserve">// GoBD Gap-Detector: Stellt sicher dass keine TX-Blocks fehlen</w:t>
            </w:r>
          </w:p>
          <w:p>
            <w:pPr>
              <w:spacing w:before="0" w:after="20"/>
            </w:pPr>
            <w:r>
              <w:rPr>
                <w:rFonts w:ascii="Courier New" w:cs="Courier New" w:eastAsia="Courier New" w:hAnsi="Courier New"/>
                <w:color w:val="A8D8EA"/>
                <w:sz w:val="17"/>
                <w:szCs w:val="17"/>
              </w:rPr>
              <w:t xml:space="preserve">class BlockGapDetector {</w:t>
            </w:r>
          </w:p>
          <w:p>
            <w:pPr>
              <w:spacing w:before="0" w:after="20"/>
            </w:pPr>
            <w:r>
              <w:rPr>
                <w:rFonts w:ascii="Courier New" w:cs="Courier New" w:eastAsia="Courier New" w:hAnsi="Courier New"/>
                <w:color w:val="A8D8EA"/>
                <w:sz w:val="17"/>
                <w:szCs w:val="17"/>
              </w:rPr>
              <w:t xml:space="preserve">  async detectGaps(walletId: string, chainId: number): Promise&lt;Gap[]&gt; {</w:t>
            </w:r>
          </w:p>
          <w:p>
            <w:pPr>
              <w:spacing w:before="0" w:after="20"/>
            </w:pPr>
            <w:r>
              <w:rPr>
                <w:rFonts w:ascii="Courier New" w:cs="Courier New" w:eastAsia="Courier New" w:hAnsi="Courier New"/>
                <w:color w:val="A8D8EA"/>
                <w:sz w:val="17"/>
                <w:szCs w:val="17"/>
              </w:rPr>
              <w:t xml:space="preserve">    const syncedBlocks = await db.getSyncedBlockRange(walletId, chainId);</w:t>
            </w:r>
          </w:p>
          <w:p>
            <w:pPr>
              <w:spacing w:before="0" w:after="20"/>
            </w:pPr>
            <w:r>
              <w:rPr>
                <w:rFonts w:ascii="Courier New" w:cs="Courier New" w:eastAsia="Courier New" w:hAnsi="Courier New"/>
                <w:color w:val="A8D8EA"/>
                <w:sz w:val="17"/>
                <w:szCs w:val="17"/>
              </w:rPr>
              <w:t xml:space="preserve">    const expectedRange = { from: syncedBlocks.min, to: syncedBlocks.max };</w:t>
            </w:r>
          </w:p>
          <w:p>
            <w:pPr>
              <w:spacing w:before="0" w:after="20"/>
            </w:pPr>
            <w:r>
              <w:rPr>
                <w:rFonts w:ascii="Courier New" w:cs="Courier New" w:eastAsia="Courier New" w:hAnsi="Courier New"/>
                <w:color w:val="A8D8EA"/>
                <w:sz w:val="17"/>
                <w:szCs w:val="17"/>
              </w:rPr>
              <w:t xml:space="preserve">    const gaps: Gap[] = [];</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    // Überprüfe ob alle Blöcke im Bereich vorhanden sind</w:t>
            </w:r>
          </w:p>
          <w:p>
            <w:pPr>
              <w:spacing w:before="0" w:after="20"/>
            </w:pPr>
            <w:r>
              <w:rPr>
                <w:rFonts w:ascii="Courier New" w:cs="Courier New" w:eastAsia="Courier New" w:hAnsi="Courier New"/>
                <w:color w:val="A8D8EA"/>
                <w:sz w:val="17"/>
                <w:szCs w:val="17"/>
              </w:rPr>
              <w:t xml:space="preserve">    for (let block = expectedRange.from; block &lt;= expectedRange.to; block += 1000) {</w:t>
            </w:r>
          </w:p>
          <w:p>
            <w:pPr>
              <w:spacing w:before="0" w:after="20"/>
            </w:pPr>
            <w:r>
              <w:rPr>
                <w:rFonts w:ascii="Courier New" w:cs="Courier New" w:eastAsia="Courier New" w:hAnsi="Courier New"/>
                <w:color w:val="A8D8EA"/>
                <w:sz w:val="17"/>
                <w:szCs w:val="17"/>
              </w:rPr>
              <w:t xml:space="preserve">      const coverage = await db.getBlockCoverage(block, block + 1000, walletId);</w:t>
            </w:r>
          </w:p>
          <w:p>
            <w:pPr>
              <w:spacing w:before="0" w:after="20"/>
            </w:pPr>
            <w:r>
              <w:rPr>
                <w:rFonts w:ascii="Courier New" w:cs="Courier New" w:eastAsia="Courier New" w:hAnsi="Courier New"/>
                <w:color w:val="A8D8EA"/>
                <w:sz w:val="17"/>
                <w:szCs w:val="17"/>
              </w:rPr>
              <w:t xml:space="preserve">      if (coverage &lt; 0.999) { // 99.9% Mindestabdeckung</w:t>
            </w:r>
          </w:p>
          <w:p>
            <w:pPr>
              <w:spacing w:before="0" w:after="20"/>
            </w:pPr>
            <w:r>
              <w:rPr>
                <w:rFonts w:ascii="Courier New" w:cs="Courier New" w:eastAsia="Courier New" w:hAnsi="Courier New"/>
                <w:color w:val="A8D8EA"/>
                <w:sz w:val="17"/>
                <w:szCs w:val="17"/>
              </w:rPr>
              <w:t xml:space="preserve">        gaps.push({ from: block, to: block + 1000, coverage });</w:t>
            </w:r>
          </w:p>
          <w:p>
            <w:pPr>
              <w:spacing w:before="0" w:after="20"/>
            </w:pPr>
            <w:r>
              <w:rPr>
                <w:rFonts w:ascii="Courier New" w:cs="Courier New" w:eastAsia="Courier New" w:hAnsi="Courier New"/>
                <w:color w:val="A8D8EA"/>
                <w:sz w:val="17"/>
                <w:szCs w:val="17"/>
              </w:rPr>
              <w:t xml:space="preserve">        await alertService.gapDetected(walletId, block, block + 1000);</w:t>
            </w:r>
          </w:p>
          <w:p>
            <w:pPr>
              <w:spacing w:before="0" w:after="20"/>
            </w:pPr>
            <w:r>
              <w:rPr>
                <w:rFonts w:ascii="Courier New" w:cs="Courier New" w:eastAsia="Courier New" w:hAnsi="Courier New"/>
                <w:color w:val="A8D8EA"/>
                <w:sz w:val="17"/>
                <w:szCs w:val="17"/>
              </w:rPr>
              <w:t xml:space="preserve">        await auditLog.record('GAP_DETECTED', { walletId, from: block, to: block + 1000 });</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    return gaps; // Nutzer-UI zeigt Lücken als 'Warnung: Datenlücke erkannt'</w:t>
            </w:r>
          </w:p>
          <w:p>
            <w:pPr>
              <w:spacing w:before="0" w:after="20"/>
            </w:pPr>
            <w:r>
              <w:rPr>
                <w:rFonts w:ascii="Courier New" w:cs="Courier New" w:eastAsia="Courier New" w:hAnsi="Courier New"/>
                <w:color w:val="A8D8EA"/>
                <w:sz w:val="17"/>
                <w:szCs w:val="17"/>
              </w:rPr>
              <w:t xml:space="preserve">  }</w:t>
            </w:r>
          </w:p>
          <w:p>
            <w:pPr>
              <w:spacing w:before="0" w:after="20"/>
            </w:pPr>
            <w:r>
              <w:rPr>
                <w:rFonts w:ascii="Courier New" w:cs="Courier New" w:eastAsia="Courier New" w:hAnsi="Courier New"/>
                <w:color w:val="A8D8EA"/>
                <w:sz w:val="17"/>
                <w:szCs w:val="17"/>
              </w:rPr>
              <w:t xml:space="preserve">}</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T8. Security-Architektur &amp; Threat Model</w:t>
      </w:r>
    </w:p>
    <w:p>
      <w:pPr>
        <w:spacing w:before="60" w:after="90"/>
      </w:pPr>
      <w:r>
        <w:rPr>
          <w:rFonts w:ascii="Calibri" w:cs="Calibri" w:eastAsia="Calibri" w:hAnsi="Calibri"/>
          <w:color w:val="212121"/>
          <w:sz w:val="21"/>
          <w:szCs w:val="21"/>
        </w:rPr>
        <w:t xml:space="preserve">Das Threat Model identifiziert alle relevanten Angriffsvektoren für ein Krypto-Steuer-SaaS-Tool und definiert die Gegenmaßnahmen. Der größte Angreifer-Anreiz ist der Zugriff auf Wallet-Adressen und Transaktionsdaten.</w:t>
      </w:r>
    </w:p>
    <w:p>
      <w:pPr>
        <w:spacing w:before="80" w:after="0"/>
      </w:pPr>
      <w:r>
        <w:t xml:space="preserve"/>
      </w:r>
    </w:p>
    <w:p>
      <w:pPr>
        <w:spacing w:before="200" w:after="80"/>
      </w:pPr>
      <w:r>
        <w:rPr>
          <w:rFonts w:ascii="Calibri" w:cs="Calibri" w:eastAsia="Calibri" w:hAnsi="Calibri"/>
          <w:b/>
          <w:bCs/>
          <w:color w:val="006064"/>
          <w:sz w:val="23"/>
          <w:szCs w:val="23"/>
        </w:rPr>
        <w:t xml:space="preserve">T8.1 STRIDE Threat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000"/>
        <w:gridCol w:w="10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Bedrohungskategorie (STRIDE)</w:t>
            </w:r>
          </w:p>
        </w:tc>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Angriffsvektor</w:t>
            </w:r>
          </w:p>
        </w:tc>
        <w:tc>
          <w:tcPr>
            <w:tcW w:type="dxa" w:w="3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Gegenmaßnahme</w:t>
            </w:r>
          </w:p>
        </w:tc>
        <w:tc>
          <w:tcPr>
            <w:tcW w:type="dxa" w:w="10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Risiko nach Mitigation</w:t>
            </w:r>
          </w:p>
        </w:tc>
      </w:tr>
      <w:tr>
        <w:tc>
          <w:tcPr>
            <w:tcW w:type="dxa" w:w="24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Spoofing</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JWT-Fälschung; OAuth-Hijacking</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JWT RS256 (asymmetrisch); OAuth2 State-Parameter; PKCE-Flow</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NIEDRIG</w:t>
            </w:r>
          </w:p>
        </w:tc>
      </w:tr>
      <w:tr>
        <w:tc>
          <w:tcPr>
            <w:tcW w:type="dxa" w:w="24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Tampering</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Manipulation von TX-Daten im Transit oder in DB</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TLS 1.3 (Transit); DB-Constraints + Audit-Hash-Kette (Rest)</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NIEDRIG</w:t>
            </w:r>
          </w:p>
        </w:tc>
      </w:tr>
      <w:tr>
        <w:tc>
          <w:tcPr>
            <w:tcW w:type="dxa" w:w="24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Repudiation</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Nutzer leugnet TX oder Export (GoBD-Risiko)</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Append-only Audit-Log mit SHA-256 Hash-Kette; Timestamping</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NIEDRIG</w:t>
            </w:r>
          </w:p>
        </w:tc>
      </w:tr>
      <w:tr>
        <w:tc>
          <w:tcPr>
            <w:tcW w:type="dxa" w:w="24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Information Disclosure</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Leak von Wallet-Adressen oder EUR-Portfolio-Werten</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AES-256 für sensible Felder; RBAC; kein Logging von Wallet-Daten</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MITTEL</w:t>
            </w:r>
          </w:p>
        </w:tc>
      </w:tr>
      <w:tr>
        <w:tc>
          <w:tcPr>
            <w:tcW w:type="dxa" w:w="24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Denial of Service</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Exzessiver API-Aufruf; Heavy Tax-Calculation</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Rate Limiting (1.000 Req/Min); Tax-Engine-Timeout (30s); Hetzner DDoS-Schutz</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MITTEL</w:t>
            </w:r>
          </w:p>
        </w:tc>
      </w:tr>
      <w:tr>
        <w:tc>
          <w:tcPr>
            <w:tcW w:type="dxa" w:w="24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Elevation of Privilege</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SQL-Injection → DB-Admin; IDOR auf fremde Wallet-Daten</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Prisma parametrisierte Queries; RBAC; Resource-Owner-Check auf jede Query</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NIEDRIG</w:t>
            </w:r>
          </w:p>
        </w:tc>
      </w:tr>
      <w:tr>
        <w:tc>
          <w:tcPr>
            <w:tcW w:type="dxa" w:w="24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Krypto-spezifisch: Private Key Leak</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Nutzer sendet versehentlich Private Key als Wallet-Adresse</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Input-Validation: Private-Key-Pattern-Erkennung; sofortige Ablehnung + Warning</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SEHR NIEDRIG</w:t>
            </w:r>
          </w:p>
        </w:tc>
      </w:tr>
      <w:tr>
        <w:tc>
          <w:tcPr>
            <w:tcW w:type="dxa" w:w="24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Supply Chain Attack</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Kompromittierte npm-Dependency</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Dependabot wöchentlich; npm audit im CI; Lockfile-Prüfung; Minimal-Dependency-Strategie</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NIEDRIG</w:t>
            </w:r>
          </w:p>
        </w:tc>
      </w:tr>
    </w:tbl>
    <w:p>
      <w:pPr>
        <w:spacing w:before="80" w:after="0"/>
      </w:pPr>
      <w:r>
        <w:t xml:space="preserve"/>
      </w:r>
    </w:p>
    <w:p>
      <w:pPr>
        <w:spacing w:before="200" w:after="80"/>
      </w:pPr>
      <w:r>
        <w:rPr>
          <w:rFonts w:ascii="Calibri" w:cs="Calibri" w:eastAsia="Calibri" w:hAnsi="Calibri"/>
          <w:b/>
          <w:bCs/>
          <w:color w:val="006064"/>
          <w:sz w:val="23"/>
          <w:szCs w:val="23"/>
        </w:rPr>
        <w:t xml:space="preserve">T8.2 Security-Härtungsmaßnahmen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0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Maßnahme</w:t>
            </w:r>
          </w:p>
        </w:tc>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Technologie</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Standard</w:t>
            </w:r>
          </w:p>
        </w:tc>
        <w:tc>
          <w:tcPr>
            <w:tcW w:type="dxa" w:w="20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Implementierung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Passwort-Hashing</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Argon2id (memory: 65536, iterations: 3, parallelism: 4)</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OWASP Password Cheat Sheet</w:t>
            </w:r>
          </w:p>
        </w:tc>
        <w:tc>
          <w:tcPr>
            <w:tcW w:type="dxa" w:w="2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Vor DB-Insert; kein Plaintext jemals gespeichert</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Wallet-Daten-Verschlüsselung</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AES-256-GCM (envelope encryption via Hetzner KMS)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BSI TR-02102-1, FIPS 197</w:t>
            </w:r>
          </w:p>
        </w:tc>
        <w:tc>
          <w:tcPr>
            <w:tcW w:type="dxa" w:w="2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Wallet-Adressen in DB verschlüsselt; Key-Rotation jährlich</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API-Authentifizierung</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JWT RS256 + Refresh-Token (24h/30d)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RFC 7519</w:t>
            </w:r>
          </w:p>
        </w:tc>
        <w:tc>
          <w:tcPr>
            <w:tcW w:type="dxa" w:w="2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Access-Token im Memory (nicht localStorage); Refresh via HttpOnly Cookie</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SQL-Injection-Schutz</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Prisma ORM (parametrisierte Queries ausschließlich)</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OWASP A03:2021</w:t>
            </w:r>
          </w:p>
        </w:tc>
        <w:tc>
          <w:tcPr>
            <w:tcW w:type="dxa" w:w="2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Raw SQL außer für Read-only Analytics</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CSRF-Schutz</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SameSite=Strict Cookie + CSRF-Token für state-changing requests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OWASP CSRF Prevention</w:t>
            </w:r>
          </w:p>
        </w:tc>
        <w:tc>
          <w:tcPr>
            <w:tcW w:type="dxa" w:w="2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Next.js CSRF-Middleware aktiv</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Content Security Policy</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CSP-Header: script-src 'self'; no inline scripts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OWASP Secure Headers</w:t>
            </w:r>
          </w:p>
        </w:tc>
        <w:tc>
          <w:tcPr>
            <w:tcW w:type="dxa" w:w="2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Nginx-Konfiguration; kein CDN ohne Subresource Integrity</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Geheimnisverwaltung</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 Vault / .env.local (nie in Git)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12-Factor App</w:t>
            </w:r>
          </w:p>
        </w:tc>
        <w:tc>
          <w:tcPr>
            <w:tcW w:type="dxa" w:w="2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GitHub Actions Secrets; nie in Logs ausgeben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2FA (TOTP)</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Google Authenticator / Authy kompatibel (TOTP RFC 6238)</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NIST SP 800-63B</w:t>
            </w:r>
          </w:p>
        </w:tc>
        <w:tc>
          <w:tcPr>
            <w:tcW w:type="dxa" w:w="2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Optional in Phase 1, Pflicht für B2B-Kanzlei-Accounts</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T9. Skalierbarkeits-Analyse &amp; Kapazitätsplanung</w:t>
      </w:r>
    </w:p>
    <w:p>
      <w:pPr>
        <w:spacing w:before="60" w:after="90"/>
      </w:pPr>
      <w:r>
        <w:rPr>
          <w:rFonts w:ascii="Calibri" w:cs="Calibri" w:eastAsia="Calibri" w:hAnsi="Calibri"/>
          <w:color w:val="212121"/>
          <w:sz w:val="21"/>
          <w:szCs w:val="21"/>
        </w:rPr>
        <w:t xml:space="preserve">Die Kapazitätsplanung definiert, wann horizontales oder vertikales Skalieren der Infrastruktur erforderlich ist, und sichert die SLA-Einhaltung bei wachsender Nutzerzahl.</w:t>
      </w:r>
    </w:p>
    <w:p>
      <w:pPr>
        <w:spacing w:before="80" w:after="0"/>
      </w:pPr>
      <w:r>
        <w:t xml:space="preserve"/>
      </w:r>
    </w:p>
    <w:p>
      <w:pPr>
        <w:spacing w:before="200" w:after="80"/>
      </w:pPr>
      <w:r>
        <w:rPr>
          <w:rFonts w:ascii="Calibri" w:cs="Calibri" w:eastAsia="Calibri" w:hAnsi="Calibri"/>
          <w:b/>
          <w:bCs/>
          <w:color w:val="006064"/>
          <w:sz w:val="23"/>
          <w:szCs w:val="23"/>
        </w:rPr>
        <w:t xml:space="preserve">T9.1 Engpass-Analyse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1800"/>
        <w:gridCol w:w="1126"/>
      </w:tblGrid>
      <w:tr>
        <w:trPr>
          <w:tblHeader/>
        </w:trPr>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Komponente</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Bottleneck-Schwellenwert</w:t>
            </w:r>
          </w:p>
        </w:tc>
        <w:tc>
          <w:tcPr>
            <w:tcW w:type="dxa" w:w="19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Erster Engpass bei</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Skalierungsstrategie</w:t>
            </w:r>
          </w:p>
        </w:tc>
        <w:tc>
          <w:tcPr>
            <w:tcW w:type="dxa" w:w="11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Kosten-Estimate</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PostgreSQL</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~5.000 aktive Connections; ~50M Rows/Tabelle</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~2.000 zahlende Nutzer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Read-Replica + Connection Pooling (PgBouncer)</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+€150/Monat</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Redis (BullMQ)</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~10.000 Jobs/Minute</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~500 simultane Sync-Requests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Redis Cluster (3 Nodes)</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€80/Monat</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Indexer-Service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 TX/Sekunde Decode-Kapazität</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~5.000 hochaktive Wallets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 Indexer-Instanz pro Chain; Horizontal Scale</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€60/Chain/Monat</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Tax-Engine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~30s für 100k TX Berechnung</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~50 simultane Heavy-Calculations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Dedicated Compute-Node für Tax-Jobs</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€120/Monat</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The Graph API</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Rate-Limit: 1.000 Queries/Stunde (Free)</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~500 Nutzer gleichzeitig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Dedicated Subgraph-Node (Hetzner hosted)</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€200/Monat</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 S3 Storage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Unbegrenzt (pay-per-use)</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Erst bei &gt; 10 TB</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Engpass erwartet</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€0.005/GB/Monat</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API-Gateway</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~50.000 Req/Minute (Single Node)</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~10.000 aktive Nutzer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Horizontal Scale (2–5 Nodes hinter LB)</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€60/Node/Monat</w:t>
            </w:r>
          </w:p>
        </w:tc>
      </w:tr>
    </w:tbl>
    <w:p>
      <w:pPr>
        <w:spacing w:before="80" w:after="0"/>
      </w:pPr>
      <w:r>
        <w:t xml:space="preserve"/>
      </w:r>
    </w:p>
    <w:p>
      <w:pPr>
        <w:spacing w:before="200" w:after="80"/>
      </w:pPr>
      <w:r>
        <w:rPr>
          <w:rFonts w:ascii="Calibri" w:cs="Calibri" w:eastAsia="Calibri" w:hAnsi="Calibri"/>
          <w:b/>
          <w:bCs/>
          <w:color w:val="006064"/>
          <w:sz w:val="23"/>
          <w:szCs w:val="23"/>
        </w:rPr>
        <w:t xml:space="preserve">T9.2 Nutzerwachstum vs. Infrastrukturkosten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2700"/>
        <w:gridCol w:w="1526"/>
      </w:tblGrid>
      <w:tr>
        <w:trPr>
          <w:tblHeader/>
        </w:trPr>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Nutzerzahl (Zahlend)</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Infra-Monatkosten</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Infra/Nutzer</w:t>
            </w:r>
          </w:p>
        </w:tc>
        <w:tc>
          <w:tcPr>
            <w:tcW w:type="dxa" w:w="2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Primäre Skalierungsmaßnahme</w:t>
            </w:r>
          </w:p>
        </w:tc>
        <w:tc>
          <w:tcPr>
            <w:tcW w:type="dxa" w:w="15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Break-Even Infra</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0–500 (MVP)</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€ 180–250</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€ 0,36–0,50</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 CX31 + CPX31 + CPX11</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Break-even: ~25 Pro-Nutzer</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500–2.000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€ 400–600</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€ 0,20–0,30</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Read-Replica + Redis + LB</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Profitabel ab 500 Nutzer</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2.000–10.000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€ 1.200–2.000</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€ 0,12–0,20</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Dedicated Indexer + Graph-Node</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Stark profitabel</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10.000–50.000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€ 4.000–8.000</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€ 0,08–0,16</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Multi-Region Hetzner (FSN + HEL)</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Enterprise-Margen</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&gt; 50.000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€ 15.000+</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€ 0,05–0,10</w:t>
            </w:r>
          </w:p>
        </w:tc>
        <w:tc>
          <w:tcPr>
            <w:tcW w:type="dxa" w:w="2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Kubernetes + Auto-Scaling</w:t>
            </w:r>
          </w:p>
        </w:tc>
        <w:tc>
          <w:tcPr>
            <w:tcW w:type="dxa" w:w="15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SaaS-Benchmark-Margen</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T10. Third-Party-Integration-Analyse</w:t>
      </w:r>
    </w:p>
    <w:p>
      <w:pPr>
        <w:spacing w:before="60" w:after="90"/>
      </w:pPr>
      <w:r>
        <w:rPr>
          <w:rFonts w:ascii="Calibri" w:cs="Calibri" w:eastAsia="Calibri" w:hAnsi="Calibri"/>
          <w:color w:val="212121"/>
          <w:sz w:val="21"/>
          <w:szCs w:val="21"/>
        </w:rPr>
        <w:t xml:space="preserve">Das Tool ist auf mehrere externe APIs und Datenquellen angewiesen. Die folgende Analyse bewertet Verfügbarkeit, Kosten, Risiken und Fallback-Strategien für alle kritischen Third-Party-Abhängigkeiten.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1400"/>
        <w:gridCol w:w="1300"/>
        <w:gridCol w:w="1400"/>
        <w:gridCol w:w="926"/>
      </w:tblGrid>
      <w:tr>
        <w:trPr>
          <w:tblHeader/>
        </w:trPr>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Dienst</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Typ</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Kosten</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Rate-Limit</w:t>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Criticality</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Fallback</w:t>
            </w:r>
          </w:p>
        </w:tc>
        <w:tc>
          <w:tcPr>
            <w:tcW w:type="dxa" w:w="9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Ausfallrisiko</w:t>
            </w:r>
          </w:p>
        </w:tc>
      </w:tr>
      <w:tr>
        <w:tc>
          <w:tcPr>
            <w:tcW w:type="dxa" w:w="20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Flare FTSO</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On-Chain Oracle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Kostenlos (On-Chain)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Keine (dezentral)</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KRITISCH</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CoinGecko/CMC</w:t>
            </w:r>
          </w:p>
        </w:tc>
        <w:tc>
          <w:tcPr>
            <w:tcW w:type="dxa" w:w="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niedrig (dezentral)</w:t>
            </w:r>
          </w:p>
        </w:tc>
      </w:tr>
      <w:tr>
        <w:tc>
          <w:tcPr>
            <w:tcW w:type="dxa" w:w="20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Flare JSON-RPC</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Blockchain RPC</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Kostenlos (public) / QuickNode ab $9/Monat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 Req/s (public)</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KRITISCH</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QuickNode Pro + 2nd RPC</w:t>
            </w:r>
          </w:p>
        </w:tc>
        <w:tc>
          <w:tcPr>
            <w:tcW w:type="dxa" w:w="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 (mit Backup)</w:t>
            </w:r>
          </w:p>
        </w:tc>
      </w:tr>
      <w:tr>
        <w:tc>
          <w:tcPr>
            <w:tcW w:type="dxa" w:w="20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The Graph (Subgraph)</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GraphQL Indexer</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Free Tier: 1.000 Queries/h / Studio: ab $9/Monat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1.000/h (Free)</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Direkter RPC + eth_getLogs</w:t>
            </w:r>
          </w:p>
        </w:tc>
        <w:tc>
          <w:tcPr>
            <w:tcW w:type="dxa" w:w="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 (Subgraph kann veralten)</w:t>
            </w:r>
          </w:p>
        </w:tc>
      </w:tr>
      <w:tr>
        <w:tc>
          <w:tcPr>
            <w:tcW w:type="dxa" w:w="20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CoinGecko API</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Preisdaten (historisch)</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Free: 10.000 Calls/Monat / Pro: $129/Monat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30 Calls/Min (Free)</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CoinMarketCap / Manuelle Eingabe</w:t>
            </w:r>
          </w:p>
        </w:tc>
        <w:tc>
          <w:tcPr>
            <w:tcW w:type="dxa" w:w="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 (zuverlässig)</w:t>
            </w:r>
          </w:p>
        </w:tc>
      </w:tr>
      <w:tr>
        <w:tc>
          <w:tcPr>
            <w:tcW w:type="dxa" w:w="20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CoinMarketCap API</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Preisdaten (BMF-anerkannt)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Free: 10.000 Calls/Monat / Basic: $79/Monat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30 Calls/Min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CoinGecko</w:t>
            </w:r>
          </w:p>
        </w:tc>
        <w:tc>
          <w:tcPr>
            <w:tcW w:type="dxa" w:w="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w:t>
            </w:r>
          </w:p>
        </w:tc>
      </w:tr>
      <w:tr>
        <w:tc>
          <w:tcPr>
            <w:tcW w:type="dxa" w:w="20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LayerZero Scan API</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Cross-Chain TX-Matching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Kostenlos (aktuell) / API-Key nötig</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Unbekannt (Beta)</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 (Phase 4)</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Manuelle TX-Verknüpfung</w:t>
            </w:r>
          </w:p>
        </w:tc>
        <w:tc>
          <w:tcPr>
            <w:tcW w:type="dxa" w:w="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 (Beta-Service)</w:t>
            </w:r>
          </w:p>
        </w:tc>
      </w:tr>
      <w:tr>
        <w:tc>
          <w:tcPr>
            <w:tcW w:type="dxa" w:w="20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Hetzner Nürnberg</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Cloud-Hosting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CX31: €14/Monat; CPX31: €17/Monat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N/A</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KRITISCH</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 Helsinki (Fallback)</w:t>
            </w:r>
          </w:p>
        </w:tc>
        <w:tc>
          <w:tcPr>
            <w:tcW w:type="dxa" w:w="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niedrig (99,9% SLA)</w:t>
            </w:r>
          </w:p>
        </w:tc>
      </w:tr>
      <w:tr>
        <w:tc>
          <w:tcPr>
            <w:tcW w:type="dxa" w:w="20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Hetzner S3</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Objekt-Storage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€0,005/GB/Monat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N/A</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EU-konforme S3-Alternative</w:t>
            </w:r>
          </w:p>
        </w:tc>
        <w:tc>
          <w:tcPr>
            <w:tcW w:type="dxa" w:w="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niedrig</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SendGrid / Postmark</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E-Mail (Transaktional)</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Free: 100 E-Mails/Tag / Pro: $14/Monat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N/A</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Backup SMTP</w:t>
            </w:r>
          </w:p>
        </w:tc>
        <w:tc>
          <w:tcPr>
            <w:tcW w:type="dxa" w:w="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
              <w:left w:val="thick" w:color="0D47A1" w:sz="18"/>
              <w:bottom w:val="single" w:color="0D47A1" w:sz="1"/>
              <w:right w:val="single" w:color="0D47A1" w:sz="1"/>
            </w:tcBorders>
            <w:shd w:fill="E3F2FD" w:val="clear"/>
            <w:tcMar>
              <w:top w:type="dxa" w:w="110"/>
              <w:left w:type="dxa" w:w="200"/>
              <w:bottom w:type="dxa" w:w="110"/>
              <w:right w:type="dxa" w:w="140"/>
            </w:tcMar>
          </w:tcPr>
          <w:p>
            <w:pPr>
              <w:spacing w:before="0" w:after="40"/>
            </w:pPr>
            <w:r>
              <w:rPr>
                <w:rFonts w:ascii="Calibri" w:cs="Calibri" w:eastAsia="Calibri" w:hAnsi="Calibri"/>
                <w:b/>
                <w:bCs/>
                <w:color w:val="0D47A1"/>
                <w:sz w:val="21"/>
                <w:szCs w:val="21"/>
              </w:rPr>
              <w:t xml:space="preserve">Abhängigkeits-Risiko-Fazit</w:t>
            </w:r>
          </w:p>
          <w:p>
            <w:pPr>
              <w:spacing w:before="0" w:after="0"/>
            </w:pPr>
            <w:r>
              <w:rPr>
                <w:rFonts w:ascii="Calibri" w:cs="Calibri" w:eastAsia="Calibri" w:hAnsi="Calibri"/>
                <w:color w:val="212121"/>
                <w:sz w:val="20"/>
                <w:szCs w:val="20"/>
              </w:rPr>
              <w:t xml:space="preserve">Die zwei kritischsten Abhängigkeiten sind The Graph (Subgraph) und Flare JSON-RPC. Beide haben robuste Fallback-Strategien (direkter RPC bzw. QuickNode). LayerZero Scan API ist derzeit Beta – Stargate-Integration (Phase 4) wird erst nach API-Stabilisierung implementiert. Das FTSO-Orakel ist die sicherste Preisquelle, da dezentral und On-Chain – kein Ausfall möglich solange die Flare-Chain läuft.</w:t>
            </w:r>
          </w:p>
        </w:tc>
      </w:tr>
    </w:tbl>
    <w:p>
      <w:pPr>
        <w:spacing w:before="200" w:after="0"/>
      </w:pPr>
      <w:r>
        <w:t xml:space="preserve"/>
      </w:r>
    </w:p>
    <w:p>
      <w:pPr>
        <w:pBdr>
          <w:top w:val="single" w:color="0D47A1" w:sz="4" w:space="8"/>
        </w:pBdr>
        <w:spacing w:before="200" w:after="0"/>
        <w:jc w:val="center"/>
      </w:pPr>
      <w:r>
        <w:rPr>
          <w:rFonts w:ascii="Calibri" w:cs="Calibri" w:eastAsia="Calibri" w:hAnsi="Calibri"/>
          <w:i/>
          <w:iCs/>
          <w:color w:val="999999"/>
          <w:sz w:val="17"/>
          <w:szCs w:val="17"/>
        </w:rPr>
        <w:t xml:space="preserve">Technische Analysen – NextGen IT Solutions GmbH, Stuttgart · März 2026 · Alle Code-Beispiele sind Pseudocode zur Konzeptillustration.</w:t>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2"/>
              <w:left w:val="single" w:color="0D47A1" w:sz="1"/>
              <w:bottom w:val="single" w:color="E65100" w:sz="6"/>
              <w:right w:val="single" w:color="0D47A1" w:sz="1"/>
            </w:tcBorders>
            <w:shd w:fill="0A3880" w:val="clear"/>
            <w:tcMar>
              <w:top w:type="dxa" w:w="160"/>
              <w:left w:type="dxa" w:w="280"/>
              <w:bottom w:type="dxa" w:w="160"/>
              <w:right w:type="dxa" w:w="200"/>
            </w:tcMar>
          </w:tcPr>
          <w:p>
            <w:pPr>
              <w:spacing w:before="0" w:after="40"/>
              <w:jc w:val="center"/>
            </w:pPr>
            <w:r>
              <w:rPr>
                <w:rFonts w:ascii="Calibri" w:cs="Calibri" w:eastAsia="Calibri" w:hAnsi="Calibri"/>
                <w:b/>
                <w:bCs/>
                <w:color w:val="FFFFFF"/>
                <w:sz w:val="40"/>
                <w:szCs w:val="40"/>
              </w:rPr>
              <w:t xml:space="preserve">DATA SCIENCE &amp; ALGORITHMUS-ANALYSE</w:t>
            </w:r>
          </w:p>
          <w:p>
            <w:pPr>
              <w:spacing w:before="0" w:after="0"/>
              <w:jc w:val="center"/>
            </w:pPr>
            <w:r>
              <w:rPr>
                <w:rFonts w:ascii="Calibri" w:cs="Calibri" w:eastAsia="Calibri" w:hAnsi="Calibri"/>
                <w:color w:val="B0C4DE"/>
                <w:sz w:val="22"/>
                <w:szCs w:val="22"/>
              </w:rPr>
              <w:t xml:space="preserve">TX-Klassifikation · Preisvalidierung · IL-Berechnung · Anomalieerkennung · Steueroptimierung · Prädiktive Analytik · Stand: März 2026</w:t>
            </w:r>
          </w:p>
        </w:tc>
      </w:tr>
    </w:tbl>
    <w:p>
      <w:pPr>
        <w:spacing w:before="200" w:after="0"/>
      </w:pPr>
      <w:r>
        <w:t xml:space="preserve"/>
      </w:r>
    </w:p>
    <w:p>
      <w:pPr>
        <w:pStyle w:val="Heading1"/>
        <w:pBdr>
          <w:bottom w:val="single" w:color="0D47A1" w:sz="4" w:space="6"/>
        </w:pBdr>
        <w:spacing w:before="360" w:after="160"/>
      </w:pPr>
      <w:r>
        <w:rPr>
          <w:rFonts w:ascii="Calibri" w:cs="Calibri" w:eastAsia="Calibri" w:hAnsi="Calibri"/>
          <w:b/>
          <w:bCs/>
          <w:color w:val="0D47A1"/>
          <w:sz w:val="36"/>
          <w:szCs w:val="36"/>
        </w:rPr>
        <w:t xml:space="preserve">DS1. Überblick – Data-Science-Komponenten des Tools</w:t>
      </w:r>
    </w:p>
    <w:p>
      <w:pPr>
        <w:spacing w:before="60" w:after="90"/>
      </w:pPr>
      <w:r>
        <w:rPr>
          <w:rFonts w:ascii="Calibri" w:cs="Calibri" w:eastAsia="Calibri" w:hAnsi="Calibri"/>
          <w:color w:val="212121"/>
          <w:sz w:val="21"/>
          <w:szCs w:val="21"/>
        </w:rPr>
        <w:t xml:space="preserve">Das DeFi Tracker SaaS-Tool enthält mehrere Data-Science- und Algorithmus-Schichten, die weit über einfaches CSV-Parsing hinausgehen. Die folgende Analyse spezifiziert jeden Algorithmus in Bezug auf Methodik, Komplexität, Datenanforderungen und Qualitätssicherung.</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600"/>
        <w:gridCol w:w="1400"/>
        <w:gridCol w:w="1626"/>
      </w:tblGrid>
      <w:tr>
        <w:trPr>
          <w:tblHeader/>
        </w:trPr>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DS-Komponente</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Kategorie</w:t>
            </w:r>
          </w:p>
        </w:tc>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Algorithmus-Familie</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Phase</w:t>
            </w:r>
          </w:p>
        </w:tc>
        <w:tc>
          <w:tcPr>
            <w:tcW w:type="dxa" w:w="16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Kritikalität</w:t>
            </w:r>
          </w:p>
        </w:tc>
      </w:tr>
      <w:tr>
        <w:tc>
          <w:tcPr>
            <w:tcW w:type="dxa" w:w="26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TX-Klassifikations-Engine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Regelbasiert + ML-Fallback</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Rule Engine + Heuristik + Entscheidungsbaum</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P1 MVP</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KRITISCH</w:t>
            </w:r>
          </w:p>
        </w:tc>
      </w:tr>
      <w:tr>
        <w:tc>
          <w:tcPr>
            <w:tcW w:type="dxa" w:w="26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EUR-Preisvalidierung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Statistik</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Plausibilitäts-Check, Z-Score-Anomalieerkennung</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P1 MVP</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KRITISCH</w:t>
            </w:r>
          </w:p>
        </w:tc>
      </w:tr>
      <w:tr>
        <w:tc>
          <w:tcPr>
            <w:tcW w:type="dxa" w:w="26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FIFO/LIFO/HIFO Lot-Tracking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Optimierungsalgorithmus</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Priority-Queue, Greedy-Algorithmus</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P1 MVP</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KRITISCH</w:t>
            </w:r>
          </w:p>
        </w:tc>
      </w:tr>
      <w:tr>
        <w:tc>
          <w:tcPr>
            <w:tcW w:type="dxa" w:w="26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Impermanent-Loss-Berechnung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Finanzmathematik</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AMM-Formel (Constant-Product), numerische Integration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P1 MVP</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HOCH</w:t>
            </w:r>
          </w:p>
        </w:tc>
      </w:tr>
      <w:tr>
        <w:tc>
          <w:tcPr>
            <w:tcW w:type="dxa" w:w="26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LP-Dual-Szenario-Berechnung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Steuer-Algorithmus</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Zustandsmaschine (FSM), Szenariosimulation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P1 MVP</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HOCH</w:t>
            </w:r>
          </w:p>
        </w:tc>
      </w:tr>
      <w:tr>
        <w:tc>
          <w:tcPr>
            <w:tcW w:type="dxa" w:w="26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Cross-Chain TX-Matching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Graph-Algorithmus</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Bipartites Matching, Kostenmaximierung</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P4 Skalierung</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MITTEL</w:t>
            </w:r>
          </w:p>
        </w:tc>
      </w:tr>
      <w:tr>
        <w:tc>
          <w:tcPr>
            <w:tcW w:type="dxa" w:w="26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Anomalieerkennung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Statistik / Unsupervised ML</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Isolation Forest, Z-Score, IQR-Methode</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P2 Beta</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HOCH</w:t>
            </w:r>
          </w:p>
        </w:tc>
      </w:tr>
      <w:tr>
        <w:tc>
          <w:tcPr>
            <w:tcW w:type="dxa" w:w="26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Steueroptimierungs-Engine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Optimierungsalgorithmus</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Greedy (Tax-Loss-Harvesting), Dynamische Programmierung</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P4 Skalierung</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MITTEL</w:t>
            </w:r>
          </w:p>
        </w:tc>
      </w:tr>
      <w:tr>
        <w:tc>
          <w:tcPr>
            <w:tcW w:type="dxa" w:w="26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Portfolio-Analytik</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Deskriptive Statistik</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Zeitreihenanalyse, Renditeberechnung, Risikokennzahlen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P4 Skalierung</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NIEDRIG</w:t>
            </w:r>
          </w:p>
        </w:tc>
      </w:tr>
      <w:tr>
        <w:tc>
          <w:tcPr>
            <w:tcW w:type="dxa" w:w="2600"/>
            <w:tcBorders>
              <w:top w:val="single" w:color="CFD8DC" w:sz="1"/>
              <w:left w:val="single" w:color="CFD8DC" w:sz="1"/>
              <w:bottom w:val="single" w:color="CFD8DC" w:sz="1"/>
              <w:right w:val="single" w:color="CFD8DC" w:sz="1"/>
            </w:tcBorders>
            <w:shd w:fill="E8EAF6" w:val="clear"/>
            <w:tcMar>
              <w:top w:type="dxa" w:w="80"/>
              <w:left w:type="dxa" w:w="130"/>
              <w:bottom w:type="dxa" w:w="80"/>
              <w:right w:type="dxa" w:w="80"/>
            </w:tcMar>
          </w:tcPr>
          <w:p>
            <w:pPr>
              <w:jc w:val="left"/>
            </w:pPr>
            <w:r>
              <w:rPr>
                <w:rFonts w:ascii="Calibri" w:cs="Calibri" w:eastAsia="Calibri" w:hAnsi="Calibri"/>
                <w:b/>
                <w:bCs/>
                <w:color w:val="283593"/>
                <w:sz w:val="20"/>
                <w:szCs w:val="20"/>
              </w:rPr>
              <w:t xml:space="preserve">TX-Klassifikation via ML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Supervised ML</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Random Forest / XGBoost (Fallback für unbekannte Protokolle)</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P4 Skalierung</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NIEDRIG</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DS2. TX-Klassifikations-Engine – Algorithmus-Design</w:t>
      </w:r>
    </w:p>
    <w:p>
      <w:pPr>
        <w:spacing w:before="60" w:after="90"/>
      </w:pPr>
      <w:r>
        <w:rPr>
          <w:rFonts w:ascii="Calibri" w:cs="Calibri" w:eastAsia="Calibri" w:hAnsi="Calibri"/>
          <w:color w:val="212121"/>
          <w:sz w:val="21"/>
          <w:szCs w:val="21"/>
        </w:rPr>
        <w:t xml:space="preserve">Die Klassifikations-Engine ordnet jeder On-Chain-Transaktion automatisch einen CoinTracking-kompatiblen Typ und eine steuerliche Kategorie zu. Sie nutzt einen mehrstufigen Entscheidungsbaum (Rule-Based) mit ML-Fallback für unbekannte Protokolle.</w:t>
      </w:r>
    </w:p>
    <w:p>
      <w:pPr>
        <w:spacing w:before="80" w:after="0"/>
      </w:pPr>
      <w:r>
        <w:t xml:space="preserve"/>
      </w:r>
    </w:p>
    <w:p>
      <w:pPr>
        <w:spacing w:before="200" w:after="80"/>
      </w:pPr>
      <w:r>
        <w:rPr>
          <w:rFonts w:ascii="Calibri" w:cs="Calibri" w:eastAsia="Calibri" w:hAnsi="Calibri"/>
          <w:b/>
          <w:bCs/>
          <w:color w:val="006064"/>
          <w:sz w:val="23"/>
          <w:szCs w:val="23"/>
        </w:rPr>
        <w:t xml:space="preserve">DS2.1 Regelbasierter Entscheidungsbaum (Layer 1–3)</w:t>
      </w:r>
    </w:p>
    <w:p>
      <w:pPr>
        <w:spacing w:before="60" w:after="90"/>
      </w:pPr>
      <w:r>
        <w:rPr>
          <w:rFonts w:ascii="Calibri" w:cs="Calibri" w:eastAsia="Calibri" w:hAnsi="Calibri"/>
          <w:color w:val="212121"/>
          <w:sz w:val="21"/>
          <w:szCs w:val="21"/>
        </w:rPr>
        <w:t xml:space="preserve">Der primäre Klassifikationsalgorithmus basiert auf einem deterministischen Entscheidungsbaum mit 4 Entscheidungsebenen. Die Komplexität ist O(log n) für bekannte Protokolle.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63238" w:sz="2"/>
              <w:left w:val="single" w:color="263238" w:sz="2"/>
              <w:bottom w:val="single" w:color="263238" w:sz="2"/>
              <w:right w:val="single" w:color="263238" w:sz="2"/>
            </w:tcBorders>
            <w:shd w:fill="1E2A3A" w:val="clear"/>
            <w:tcMar>
              <w:top w:type="dxa" w:w="120"/>
              <w:left w:type="dxa" w:w="200"/>
              <w:bottom w:type="dxa" w:w="120"/>
              <w:right w:type="dxa" w:w="160"/>
            </w:tcMar>
          </w:tcPr>
          <w:p>
            <w:pPr>
              <w:spacing w:before="0" w:after="18"/>
            </w:pPr>
            <w:r>
              <w:rPr>
                <w:rFonts w:ascii="Courier New" w:cs="Courier New" w:eastAsia="Courier New" w:hAnsi="Courier New"/>
                <w:color w:val="A8D8EA"/>
                <w:sz w:val="17"/>
                <w:szCs w:val="17"/>
              </w:rPr>
              <w:t xml:space="preserve">/**</w:t>
            </w:r>
          </w:p>
          <w:p>
            <w:pPr>
              <w:spacing w:before="0" w:after="18"/>
            </w:pPr>
            <w:r>
              <w:rPr>
                <w:rFonts w:ascii="Courier New" w:cs="Courier New" w:eastAsia="Courier New" w:hAnsi="Courier New"/>
                <w:color w:val="A8D8EA"/>
                <w:sz w:val="17"/>
                <w:szCs w:val="17"/>
              </w:rPr>
              <w:t xml:space="preserve"> * TX-Klassifikations-Entscheidungsbaum</w:t>
            </w:r>
          </w:p>
          <w:p>
            <w:pPr>
              <w:spacing w:before="0" w:after="18"/>
            </w:pPr>
            <w:r>
              <w:rPr>
                <w:rFonts w:ascii="Courier New" w:cs="Courier New" w:eastAsia="Courier New" w:hAnsi="Courier New"/>
                <w:color w:val="A8D8EA"/>
                <w:sz w:val="17"/>
                <w:szCs w:val="17"/>
              </w:rPr>
              <w:t xml:space="preserve"> * Komplexität: O(log n) für bekannte Protokolle</w:t>
            </w:r>
          </w:p>
          <w:p>
            <w:pPr>
              <w:spacing w:before="0" w:after="18"/>
            </w:pPr>
            <w:r>
              <w:rPr>
                <w:rFonts w:ascii="Courier New" w:cs="Courier New" w:eastAsia="Courier New" w:hAnsi="Courier New"/>
                <w:color w:val="A8D8EA"/>
                <w:sz w:val="17"/>
                <w:szCs w:val="17"/>
              </w:rPr>
              <w:t xml:space="preserve"> * Klassifikationsrate-Ziel: ≥ 95% automatisch</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function classifyTransaction(tx: DecodedTX): Classification {</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 Ebene 1: Protokoll-Identifikation via Contract-Address-Lookup (O(1))</w:t>
            </w:r>
          </w:p>
          <w:p>
            <w:pPr>
              <w:spacing w:before="0" w:after="18"/>
            </w:pPr>
            <w:r>
              <w:rPr>
                <w:rFonts w:ascii="Courier New" w:cs="Courier New" w:eastAsia="Courier New" w:hAnsi="Courier New"/>
                <w:color w:val="A8D8EA"/>
                <w:sz w:val="17"/>
                <w:szCs w:val="17"/>
              </w:rPr>
              <w:t xml:space="preserve">  const protocol = CONTRACT_REGISTRY.get(tx.to);       // HashMap → O(1)</w:t>
            </w:r>
          </w:p>
          <w:p>
            <w:pPr>
              <w:spacing w:before="0" w:after="18"/>
            </w:pPr>
            <w:r>
              <w:rPr>
                <w:rFonts w:ascii="Courier New" w:cs="Courier New" w:eastAsia="Courier New" w:hAnsi="Courier New"/>
                <w:color w:val="A8D8EA"/>
                <w:sz w:val="17"/>
                <w:szCs w:val="17"/>
              </w:rPr>
              <w:t xml:space="preserve">  if (!protocol) return heuristicClassify(tx);          // Fallback Layer 4</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 Ebene 2: Event-Signatur-Matching (O(1) via HashMap)</w:t>
            </w:r>
          </w:p>
          <w:p>
            <w:pPr>
              <w:spacing w:before="0" w:after="18"/>
            </w:pPr>
            <w:r>
              <w:rPr>
                <w:rFonts w:ascii="Courier New" w:cs="Courier New" w:eastAsia="Courier New" w:hAnsi="Courier New"/>
                <w:color w:val="A8D8EA"/>
                <w:sz w:val="17"/>
                <w:szCs w:val="17"/>
              </w:rPr>
              <w:t xml:space="preserve">  const eventSig = tx.logs.map(l =&gt; l.topics[0]);      // Topic0 = Event-Signatur</w:t>
            </w:r>
          </w:p>
          <w:p>
            <w:pPr>
              <w:spacing w:before="0" w:after="18"/>
            </w:pPr>
            <w:r>
              <w:rPr>
                <w:rFonts w:ascii="Courier New" w:cs="Courier New" w:eastAsia="Courier New" w:hAnsi="Courier New"/>
                <w:color w:val="A8D8EA"/>
                <w:sz w:val="17"/>
                <w:szCs w:val="17"/>
              </w:rPr>
              <w:t xml:space="preserve">  const matchedEvents = eventSig.map(s =&gt; ABI_REGISTRY.get(s));</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 Ebene 3: Regel-Lookup via Entscheidungsmatrix</w:t>
            </w:r>
          </w:p>
          <w:p>
            <w:pPr>
              <w:spacing w:before="0" w:after="18"/>
            </w:pPr>
            <w:r>
              <w:rPr>
                <w:rFonts w:ascii="Courier New" w:cs="Courier New" w:eastAsia="Courier New" w:hAnsi="Courier New"/>
                <w:color w:val="A8D8EA"/>
                <w:sz w:val="17"/>
                <w:szCs w:val="17"/>
              </w:rPr>
              <w:t xml:space="preserve">  const ruleKey = `${protocol.name}:${matchedEvents.join('+')}`;</w:t>
            </w:r>
          </w:p>
          <w:p>
            <w:pPr>
              <w:spacing w:before="0" w:after="18"/>
            </w:pPr>
            <w:r>
              <w:rPr>
                <w:rFonts w:ascii="Courier New" w:cs="Courier New" w:eastAsia="Courier New" w:hAnsi="Courier New"/>
                <w:color w:val="A8D8EA"/>
                <w:sz w:val="17"/>
                <w:szCs w:val="17"/>
              </w:rPr>
              <w:t xml:space="preserve">  const rule = CLASSIFICATION_RULES.get(ruleKey);</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if (rule) {</w:t>
            </w:r>
          </w:p>
          <w:p>
            <w:pPr>
              <w:spacing w:before="0" w:after="18"/>
            </w:pPr>
            <w:r>
              <w:rPr>
                <w:rFonts w:ascii="Courier New" w:cs="Courier New" w:eastAsia="Courier New" w:hAnsi="Courier New"/>
                <w:color w:val="A8D8EA"/>
                <w:sz w:val="17"/>
                <w:szCs w:val="17"/>
              </w:rPr>
              <w:t xml:space="preserve">    return {</w:t>
            </w:r>
          </w:p>
          <w:p>
            <w:pPr>
              <w:spacing w:before="0" w:after="18"/>
            </w:pPr>
            <w:r>
              <w:rPr>
                <w:rFonts w:ascii="Courier New" w:cs="Courier New" w:eastAsia="Courier New" w:hAnsi="Courier New"/>
                <w:color w:val="A8D8EA"/>
                <w:sz w:val="17"/>
                <w:szCs w:val="17"/>
              </w:rPr>
              <w:t xml:space="preserve">      cointrackingType: rule.type,          // z.B. 'Trade', 'Staking', 'LP Rewards'</w:t>
            </w:r>
          </w:p>
          <w:p>
            <w:pPr>
              <w:spacing w:before="0" w:after="18"/>
            </w:pPr>
            <w:r>
              <w:rPr>
                <w:rFonts w:ascii="Courier New" w:cs="Courier New" w:eastAsia="Courier New" w:hAnsi="Courier New"/>
                <w:color w:val="A8D8EA"/>
                <w:sz w:val="17"/>
                <w:szCs w:val="17"/>
              </w:rPr>
              <w:t xml:space="preserve">      taxParagraph:     rule.taxParagraph,  // z.B. '§23 EStG', '§22 Nr.3 EStG'</w:t>
            </w:r>
          </w:p>
          <w:p>
            <w:pPr>
              <w:spacing w:before="0" w:after="18"/>
            </w:pPr>
            <w:r>
              <w:rPr>
                <w:rFonts w:ascii="Courier New" w:cs="Courier New" w:eastAsia="Courier New" w:hAnsi="Courier New"/>
                <w:color w:val="A8D8EA"/>
                <w:sz w:val="17"/>
                <w:szCs w:val="17"/>
              </w:rPr>
              <w:t xml:space="preserve">      isGraubereich:    rule.isGraubereich, // LP/CDP-Graubereich-Flag</w:t>
            </w:r>
          </w:p>
          <w:p>
            <w:pPr>
              <w:spacing w:before="0" w:after="18"/>
            </w:pPr>
            <w:r>
              <w:rPr>
                <w:rFonts w:ascii="Courier New" w:cs="Courier New" w:eastAsia="Courier New" w:hAnsi="Courier New"/>
                <w:color w:val="A8D8EA"/>
                <w:sz w:val="17"/>
                <w:szCs w:val="17"/>
              </w:rPr>
              <w:t xml:space="preserve">      confidence:       1.0,                // Regelbasiert = 100% Konfidenz</w:t>
            </w:r>
          </w:p>
          <w:p>
            <w:pPr>
              <w:spacing w:before="0" w:after="18"/>
            </w:pPr>
            <w:r>
              <w:rPr>
                <w:rFonts w:ascii="Courier New" w:cs="Courier New" w:eastAsia="Courier New" w:hAnsi="Courier New"/>
                <w:color w:val="A8D8EA"/>
                <w:sz w:val="17"/>
                <w:szCs w:val="17"/>
              </w:rPr>
              <w:t xml:space="preserve">      source:           'RULE_ENGINE',</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 Ebene 4: ML-Fallback für unbekannte Kombinationen</w:t>
            </w:r>
          </w:p>
          <w:p>
            <w:pPr>
              <w:spacing w:before="0" w:after="18"/>
            </w:pPr>
            <w:r>
              <w:rPr>
                <w:rFonts w:ascii="Courier New" w:cs="Courier New" w:eastAsia="Courier New" w:hAnsi="Courier New"/>
                <w:color w:val="A8D8EA"/>
                <w:sz w:val="17"/>
                <w:szCs w:val="17"/>
              </w:rPr>
              <w:t xml:space="preserve">  return mlClassify(tx, protocol);</w:t>
            </w:r>
          </w:p>
          <w:p>
            <w:pPr>
              <w:spacing w:before="0" w:after="18"/>
            </w:pPr>
            <w:r>
              <w:rPr>
                <w:rFonts w:ascii="Courier New" w:cs="Courier New" w:eastAsia="Courier New" w:hAnsi="Courier New"/>
                <w:color w:val="A8D8EA"/>
                <w:sz w:val="17"/>
                <w:szCs w:val="17"/>
              </w:rPr>
              <w:t xml:space="preserve">}</w:t>
            </w:r>
          </w:p>
        </w:tc>
      </w:tr>
    </w:tbl>
    <w:p>
      <w:pPr>
        <w:spacing w:before="80" w:after="0"/>
      </w:pPr>
      <w:r>
        <w:t xml:space="preserve"/>
      </w:r>
    </w:p>
    <w:p>
      <w:pPr>
        <w:spacing w:before="200" w:after="80"/>
      </w:pPr>
      <w:r>
        <w:rPr>
          <w:rFonts w:ascii="Calibri" w:cs="Calibri" w:eastAsia="Calibri" w:hAnsi="Calibri"/>
          <w:b/>
          <w:bCs/>
          <w:color w:val="006064"/>
          <w:sz w:val="23"/>
          <w:szCs w:val="23"/>
        </w:rPr>
        <w:t xml:space="preserve">DS2.2 Klassifikationsregeln-Matrix – Vollständige Abdeckung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800"/>
        <w:gridCol w:w="900"/>
        <w:gridCol w:w="1126"/>
      </w:tblGrid>
      <w:tr>
        <w:trPr>
          <w:tblHeader/>
        </w:trPr>
        <w:tc>
          <w:tcPr>
            <w:tcW w:type="dxa" w:w="3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Protokoll + Event-Kombination</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CoinTracking-Typ</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Steuer-§</w:t>
            </w:r>
          </w:p>
        </w:tc>
        <w:tc>
          <w:tcPr>
            <w:tcW w:type="dxa" w:w="9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Konfidenz</w:t>
            </w:r>
          </w:p>
        </w:tc>
        <w:tc>
          <w:tcPr>
            <w:tcW w:type="dxa" w:w="11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Graubereich</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SparkDEX: Swap(token0→token1)</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Trade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23 EStG</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Nein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SparkDEX: Mint(LP) + Transfer(kein ETH)</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Provide Liquidity + Receive LP Token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23 EStG (Modell A) / neutral (Modell B)</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SparkDEX: Burn(LP) + Transfer(tokens)</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Return LP Token + Remove Liquidity</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23 EStG (Modell A) / neutral (Modell B)</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SparkDEX: Collect(fees) nur</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LP Rewards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22 Nr. 3 EStG</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Nein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SparkDEX: RewardClaimed(SPRK/rFLR)</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LP Rewards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22 Nr. 3 EStG</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Nein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SparkDEX Perps: IncreasePosition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Margin Trade (Kauf)</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23 EStG Termingeschäft</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Nein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SparkDEX Perps: DecreasePosition + PnL</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Margin Trade (Verkauf) + PnL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23 EStG</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Nein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Ēnosys: CDPOpened(collateral, debt)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Add Collateral + Darlehen erhalten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Unklar (Darlehen vs. Tausch)</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Kinetic: Supply(asset→kToken)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Provide Liquidity / Lending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Graubereich (Nutzungsüberlassung)</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Kinetic: Borrow(kToken→asset)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Darlehen erhalten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Steuerneutral</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Nein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Kinetic: LiquidationCall(collateral)</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Liquidation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23 EStG (Zwangsveräußerung)</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Nein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Stargate: SendMsg(chain→chain, same token)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Transfer intern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Ereignis</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95%</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Nein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Stargate: SendMsg(different token-contract)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Trade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23 EStG (Tauschvorgang)</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80%</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Flare FTSO: FlareDrop(amount)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Airdrop</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22 Nr. 3 EStG</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Nein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ERC-20: Transfer(wallet→wallet, self)</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Transfer intern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Ereignis</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90%</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Nein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Unbekanntes Protokoll + Transfer IN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Sonstige Einnahme (Pflicht: Review)</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Unbekannt</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0%</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 (manuell)</w:t>
            </w:r>
          </w:p>
        </w:tc>
      </w:tr>
    </w:tbl>
    <w:p>
      <w:pPr>
        <w:spacing w:before="80" w:after="0"/>
      </w:pPr>
      <w:r>
        <w:t xml:space="preserve"/>
      </w:r>
    </w:p>
    <w:p>
      <w:pPr>
        <w:spacing w:before="200" w:after="80"/>
      </w:pPr>
      <w:r>
        <w:rPr>
          <w:rFonts w:ascii="Calibri" w:cs="Calibri" w:eastAsia="Calibri" w:hAnsi="Calibri"/>
          <w:b/>
          <w:bCs/>
          <w:color w:val="006064"/>
          <w:sz w:val="23"/>
          <w:szCs w:val="23"/>
        </w:rPr>
        <w:t xml:space="preserve">DS2.3 ML-Fallback-Klassifikator (Phase 4)</w:t>
      </w:r>
    </w:p>
    <w:p>
      <w:pPr>
        <w:spacing w:before="60" w:after="90"/>
      </w:pPr>
      <w:r>
        <w:rPr>
          <w:rFonts w:ascii="Calibri" w:cs="Calibri" w:eastAsia="Calibri" w:hAnsi="Calibri"/>
          <w:color w:val="212121"/>
          <w:sz w:val="21"/>
          <w:szCs w:val="21"/>
        </w:rPr>
        <w:t xml:space="preserve">Für Transaktionen mit unbekannten Protokoll-Contracts oder unbekannten Event-Kombinationen wird in Phase 4 ein Random-Forest-Klassifikator eingesetzt, der auf historischen, manuell klassifizierten Transaktionen trainiert wird.</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ML-Parameter</w:t>
            </w:r>
          </w:p>
        </w:tc>
        <w:tc>
          <w:tcPr>
            <w:tcW w:type="dxa" w:w="3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Wert / Konfiguration</w:t>
            </w:r>
          </w:p>
        </w:tc>
        <w:tc>
          <w:tcPr>
            <w:tcW w:type="dxa" w:w="2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Begründung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Algorithmus</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Random Forest (n_estimators=200, max_depth=15)</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Robust gegen Overfitting; interpretierbar; kein Feature-Scaling nötig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Feature-Vektor (14 Features)</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token_in_count, token_out_count, is_erc20_only, log_count, unique_contracts, gas_used_normalized, value_eth, has_internal_tx, protocol_category (encoded), net_token_delta, timestamp_hour, day_of_week, eur_value_log, chain_id</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On-Chain-ableitbar ohne externe Daten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Trainings-Datensatz</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50.000+ manuell klassifizierte TX aus Beta-Phase (2026)</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Ausreichend für 14 Features; stratifiziertes Sampling je TX-Typ</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Evaluierungsmetrik</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Weighted F1-Score (da Klassen unbalanciert)</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CoinTracking-Typen haben sehr unterschiedliche Frequenzen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Mindest-Konfidenz für Auto-Klassifikation</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0,85 (85%)</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Unterhalb: Nutzer-Review-Pflicht statt falscher Klassifikation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Modell-Update-Zyklus</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Monatlich (neue manuell bestätigte TX)</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Kontinuierliches Lernen aus Nutzer-Korrekturen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Erklärbarkeit</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SHAP-Werte für Feature-Importance</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Steuerberater-Nachweisbarkeit der Klassifikationsgründe</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DS3. Statistische Preisvalidierung &amp; Anomalieerkennung</w:t>
      </w:r>
    </w:p>
    <w:p>
      <w:pPr>
        <w:spacing w:before="60" w:after="90"/>
      </w:pPr>
      <w:r>
        <w:rPr>
          <w:rFonts w:ascii="Calibri" w:cs="Calibri" w:eastAsia="Calibri" w:hAnsi="Calibri"/>
          <w:color w:val="212121"/>
          <w:sz w:val="21"/>
          <w:szCs w:val="21"/>
        </w:rPr>
        <w:t xml:space="preserve">Kursanomalien (Preismanipulation, Oracle-Fehler, Protokoll-Exploits) können zu falschen EUR-Bewertungen führen, die direkt steuerpflichtige Gewinne korrumpieren. Das Tool implementiert eine mehrschichtige statistische Validierung.</w:t>
      </w:r>
    </w:p>
    <w:p>
      <w:pPr>
        <w:spacing w:before="80" w:after="0"/>
      </w:pPr>
      <w:r>
        <w:t xml:space="preserve"/>
      </w:r>
    </w:p>
    <w:p>
      <w:pPr>
        <w:spacing w:before="200" w:after="80"/>
      </w:pPr>
      <w:r>
        <w:rPr>
          <w:rFonts w:ascii="Calibri" w:cs="Calibri" w:eastAsia="Calibri" w:hAnsi="Calibri"/>
          <w:b/>
          <w:bCs/>
          <w:color w:val="006064"/>
          <w:sz w:val="23"/>
          <w:szCs w:val="23"/>
        </w:rPr>
        <w:t xml:space="preserve">DS3.1 Preisplausibilitäts-Algorithmus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63238" w:sz="2"/>
              <w:left w:val="single" w:color="263238" w:sz="2"/>
              <w:bottom w:val="single" w:color="263238" w:sz="2"/>
              <w:right w:val="single" w:color="263238" w:sz="2"/>
            </w:tcBorders>
            <w:shd w:fill="1E2A3A" w:val="clear"/>
            <w:tcMar>
              <w:top w:type="dxa" w:w="120"/>
              <w:left w:type="dxa" w:w="200"/>
              <w:bottom w:type="dxa" w:w="120"/>
              <w:right w:type="dxa" w:w="160"/>
            </w:tcMar>
          </w:tcPr>
          <w:p>
            <w:pPr>
              <w:spacing w:before="0" w:after="18"/>
            </w:pPr>
            <w:r>
              <w:rPr>
                <w:rFonts w:ascii="Courier New" w:cs="Courier New" w:eastAsia="Courier New" w:hAnsi="Courier New"/>
                <w:color w:val="A8D8EA"/>
                <w:sz w:val="17"/>
                <w:szCs w:val="17"/>
              </w:rPr>
              <w:t xml:space="preserve">/**</w:t>
            </w:r>
          </w:p>
          <w:p>
            <w:pPr>
              <w:spacing w:before="0" w:after="18"/>
            </w:pPr>
            <w:r>
              <w:rPr>
                <w:rFonts w:ascii="Courier New" w:cs="Courier New" w:eastAsia="Courier New" w:hAnsi="Courier New"/>
                <w:color w:val="A8D8EA"/>
                <w:sz w:val="17"/>
                <w:szCs w:val="17"/>
              </w:rPr>
              <w:t xml:space="preserve"> * Statistische Preis-Anomalieerkennung</w:t>
            </w:r>
          </w:p>
          <w:p>
            <w:pPr>
              <w:spacing w:before="0" w:after="18"/>
            </w:pPr>
            <w:r>
              <w:rPr>
                <w:rFonts w:ascii="Courier New" w:cs="Courier New" w:eastAsia="Courier New" w:hAnsi="Courier New"/>
                <w:color w:val="A8D8EA"/>
                <w:sz w:val="17"/>
                <w:szCs w:val="17"/>
              </w:rPr>
              <w:t xml:space="preserve"> * Methode: Kombinierter Z-Score + IQR + Cross-Source-Validierung</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function validatePrice(token: string, timestamp: number, price: number,</w:t>
            </w:r>
          </w:p>
          <w:p>
            <w:pPr>
              <w:spacing w:before="0" w:after="18"/>
            </w:pPr>
            <w:r>
              <w:rPr>
                <w:rFonts w:ascii="Courier New" w:cs="Courier New" w:eastAsia="Courier New" w:hAnsi="Courier New"/>
                <w:color w:val="A8D8EA"/>
                <w:sz w:val="17"/>
                <w:szCs w:val="17"/>
              </w:rPr>
              <w:t xml:space="preserve">                      source: 'FTSO' | 'COINGECKO' | 'CMC'): ValidationResult {</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 Schritt 1: Historischer Z-Score (30-Tage gleitender Durchschnitt)</w:t>
            </w:r>
          </w:p>
          <w:p>
            <w:pPr>
              <w:spacing w:before="0" w:after="18"/>
            </w:pPr>
            <w:r>
              <w:rPr>
                <w:rFonts w:ascii="Courier New" w:cs="Courier New" w:eastAsia="Courier New" w:hAnsi="Courier New"/>
                <w:color w:val="A8D8EA"/>
                <w:sz w:val="17"/>
                <w:szCs w:val="17"/>
              </w:rPr>
              <w:t xml:space="preserve">  const history = priceHistory.getLast30Days(token);</w:t>
            </w:r>
          </w:p>
          <w:p>
            <w:pPr>
              <w:spacing w:before="0" w:after="18"/>
            </w:pPr>
            <w:r>
              <w:rPr>
                <w:rFonts w:ascii="Courier New" w:cs="Courier New" w:eastAsia="Courier New" w:hAnsi="Courier New"/>
                <w:color w:val="A8D8EA"/>
                <w:sz w:val="17"/>
                <w:szCs w:val="17"/>
              </w:rPr>
              <w:t xml:space="preserve">  const mean = statistics.mean(history);</w:t>
            </w:r>
          </w:p>
          <w:p>
            <w:pPr>
              <w:spacing w:before="0" w:after="18"/>
            </w:pPr>
            <w:r>
              <w:rPr>
                <w:rFonts w:ascii="Courier New" w:cs="Courier New" w:eastAsia="Courier New" w:hAnsi="Courier New"/>
                <w:color w:val="A8D8EA"/>
                <w:sz w:val="17"/>
                <w:szCs w:val="17"/>
              </w:rPr>
              <w:t xml:space="preserve">  const stdDev = statistics.stdDev(history);</w:t>
            </w:r>
          </w:p>
          <w:p>
            <w:pPr>
              <w:spacing w:before="0" w:after="18"/>
            </w:pPr>
            <w:r>
              <w:rPr>
                <w:rFonts w:ascii="Courier New" w:cs="Courier New" w:eastAsia="Courier New" w:hAnsi="Courier New"/>
                <w:color w:val="A8D8EA"/>
                <w:sz w:val="17"/>
                <w:szCs w:val="17"/>
              </w:rPr>
              <w:t xml:space="preserve">  const zScore = Math.abs((price - mean) / stdDev);</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 Schritt 2: IQR-Ausreißer-Erkennung (robuster gegen Extremwerte)</w:t>
            </w:r>
          </w:p>
          <w:p>
            <w:pPr>
              <w:spacing w:before="0" w:after="18"/>
            </w:pPr>
            <w:r>
              <w:rPr>
                <w:rFonts w:ascii="Courier New" w:cs="Courier New" w:eastAsia="Courier New" w:hAnsi="Courier New"/>
                <w:color w:val="A8D8EA"/>
                <w:sz w:val="17"/>
                <w:szCs w:val="17"/>
              </w:rPr>
              <w:t xml:space="preserve">  const q1 = statistics.percentile(history, 25);</w:t>
            </w:r>
          </w:p>
          <w:p>
            <w:pPr>
              <w:spacing w:before="0" w:after="18"/>
            </w:pPr>
            <w:r>
              <w:rPr>
                <w:rFonts w:ascii="Courier New" w:cs="Courier New" w:eastAsia="Courier New" w:hAnsi="Courier New"/>
                <w:color w:val="A8D8EA"/>
                <w:sz w:val="17"/>
                <w:szCs w:val="17"/>
              </w:rPr>
              <w:t xml:space="preserve">  const q3 = statistics.percentile(history, 75);</w:t>
            </w:r>
          </w:p>
          <w:p>
            <w:pPr>
              <w:spacing w:before="0" w:after="18"/>
            </w:pPr>
            <w:r>
              <w:rPr>
                <w:rFonts w:ascii="Courier New" w:cs="Courier New" w:eastAsia="Courier New" w:hAnsi="Courier New"/>
                <w:color w:val="A8D8EA"/>
                <w:sz w:val="17"/>
                <w:szCs w:val="17"/>
              </w:rPr>
              <w:t xml:space="preserve">  const iqr = q3 - q1;</w:t>
            </w:r>
          </w:p>
          <w:p>
            <w:pPr>
              <w:spacing w:before="0" w:after="18"/>
            </w:pPr>
            <w:r>
              <w:rPr>
                <w:rFonts w:ascii="Courier New" w:cs="Courier New" w:eastAsia="Courier New" w:hAnsi="Courier New"/>
                <w:color w:val="A8D8EA"/>
                <w:sz w:val="17"/>
                <w:szCs w:val="17"/>
              </w:rPr>
              <w:t xml:space="preserve">  const isIQROutlier = price &lt; (q1 - 3 * iqr) || price &gt; (q3 + 3 * iqr);</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 Schritt 3: Cross-Source-Abweichung (FTSO vs. CoinGecko)</w:t>
            </w:r>
          </w:p>
          <w:p>
            <w:pPr>
              <w:spacing w:before="0" w:after="18"/>
            </w:pPr>
            <w:r>
              <w:rPr>
                <w:rFonts w:ascii="Courier New" w:cs="Courier New" w:eastAsia="Courier New" w:hAnsi="Courier New"/>
                <w:color w:val="A8D8EA"/>
                <w:sz w:val="17"/>
                <w:szCs w:val="17"/>
              </w:rPr>
              <w:t xml:space="preserve">  const altPrice = alternativeSource.getPrice(token, timestamp);</w:t>
            </w:r>
          </w:p>
          <w:p>
            <w:pPr>
              <w:spacing w:before="0" w:after="18"/>
            </w:pPr>
            <w:r>
              <w:rPr>
                <w:rFonts w:ascii="Courier New" w:cs="Courier New" w:eastAsia="Courier New" w:hAnsi="Courier New"/>
                <w:color w:val="A8D8EA"/>
                <w:sz w:val="17"/>
                <w:szCs w:val="17"/>
              </w:rPr>
              <w:t xml:space="preserve">  const crossDeviation = Math.abs(price - altPrice) / altPrice;</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 Anomalie-Entscheidungslogik</w:t>
            </w:r>
          </w:p>
          <w:p>
            <w:pPr>
              <w:spacing w:before="0" w:after="18"/>
            </w:pPr>
            <w:r>
              <w:rPr>
                <w:rFonts w:ascii="Courier New" w:cs="Courier New" w:eastAsia="Courier New" w:hAnsi="Courier New"/>
                <w:color w:val="A8D8EA"/>
                <w:sz w:val="17"/>
                <w:szCs w:val="17"/>
              </w:rPr>
              <w:t xml:space="preserve">  if (zScore &gt; 4.0 || isIQROutlier || crossDeviation &gt; 0.20) {</w:t>
            </w:r>
          </w:p>
          <w:p>
            <w:pPr>
              <w:spacing w:before="0" w:after="18"/>
            </w:pPr>
            <w:r>
              <w:rPr>
                <w:rFonts w:ascii="Courier New" w:cs="Courier New" w:eastAsia="Courier New" w:hAnsi="Courier New"/>
                <w:color w:val="A8D8EA"/>
                <w:sz w:val="17"/>
                <w:szCs w:val="17"/>
              </w:rPr>
              <w:t xml:space="preserve">    return {</w:t>
            </w:r>
          </w:p>
          <w:p>
            <w:pPr>
              <w:spacing w:before="0" w:after="18"/>
            </w:pPr>
            <w:r>
              <w:rPr>
                <w:rFonts w:ascii="Courier New" w:cs="Courier New" w:eastAsia="Courier New" w:hAnsi="Courier New"/>
                <w:color w:val="A8D8EA"/>
                <w:sz w:val="17"/>
                <w:szCs w:val="17"/>
              </w:rPr>
              <w:t xml:space="preserve">      valid: false,</w:t>
            </w:r>
          </w:p>
          <w:p>
            <w:pPr>
              <w:spacing w:before="0" w:after="18"/>
            </w:pPr>
            <w:r>
              <w:rPr>
                <w:rFonts w:ascii="Courier New" w:cs="Courier New" w:eastAsia="Courier New" w:hAnsi="Courier New"/>
                <w:color w:val="A8D8EA"/>
                <w:sz w:val="17"/>
                <w:szCs w:val="17"/>
              </w:rPr>
              <w:t xml:space="preserve">      anomalyType: zScore &gt; 4.0 ? 'STATISTICAL_OUTLIER' :</w:t>
            </w:r>
          </w:p>
          <w:p>
            <w:pPr>
              <w:spacing w:before="0" w:after="18"/>
            </w:pPr>
            <w:r>
              <w:rPr>
                <w:rFonts w:ascii="Courier New" w:cs="Courier New" w:eastAsia="Courier New" w:hAnsi="Courier New"/>
                <w:color w:val="A8D8EA"/>
                <w:sz w:val="17"/>
                <w:szCs w:val="17"/>
              </w:rPr>
              <w:t xml:space="preserve">                   isIQROutlier ? 'IQR_OUTLIER' : 'CROSS_SOURCE_DEVIATION',</w:t>
            </w:r>
          </w:p>
          <w:p>
            <w:pPr>
              <w:spacing w:before="0" w:after="18"/>
            </w:pPr>
            <w:r>
              <w:rPr>
                <w:rFonts w:ascii="Courier New" w:cs="Courier New" w:eastAsia="Courier New" w:hAnsi="Courier New"/>
                <w:color w:val="A8D8EA"/>
                <w:sz w:val="17"/>
                <w:szCs w:val="17"/>
              </w:rPr>
              <w:t xml:space="preserve">      action: 'USE_FALLBACK_OR_MANUAL',  // Sicherheits-Default</w:t>
            </w:r>
          </w:p>
          <w:p>
            <w:pPr>
              <w:spacing w:before="0" w:after="18"/>
            </w:pPr>
            <w:r>
              <w:rPr>
                <w:rFonts w:ascii="Courier New" w:cs="Courier New" w:eastAsia="Courier New" w:hAnsi="Courier New"/>
                <w:color w:val="A8D8EA"/>
                <w:sz w:val="17"/>
                <w:szCs w:val="17"/>
              </w:rPr>
              <w:t xml:space="preserve">      auditNote: `Z-Score: ${zScore.toFixed(2)}, Cross-Dev: ${(crossDeviation*100).toFixed(1)}%`,</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return { valid: true, confidence: 1.0 - (zScore / 4.0) };</w:t>
            </w:r>
          </w:p>
          <w:p>
            <w:pPr>
              <w:spacing w:before="0" w:after="18"/>
            </w:pPr>
            <w:r>
              <w:rPr>
                <w:rFonts w:ascii="Courier New" w:cs="Courier New" w:eastAsia="Courier New" w:hAnsi="Courier New"/>
                <w:color w:val="A8D8EA"/>
                <w:sz w:val="17"/>
                <w:szCs w:val="17"/>
              </w:rPr>
              <w:t xml:space="preserve">}</w:t>
            </w:r>
          </w:p>
        </w:tc>
      </w:tr>
    </w:tbl>
    <w:p>
      <w:pPr>
        <w:spacing w:before="80" w:after="0"/>
      </w:pPr>
      <w:r>
        <w:t xml:space="preserve"/>
      </w:r>
    </w:p>
    <w:p>
      <w:pPr>
        <w:spacing w:before="200" w:after="80"/>
      </w:pPr>
      <w:r>
        <w:rPr>
          <w:rFonts w:ascii="Calibri" w:cs="Calibri" w:eastAsia="Calibri" w:hAnsi="Calibri"/>
          <w:b/>
          <w:bCs/>
          <w:color w:val="006064"/>
          <w:sz w:val="23"/>
          <w:szCs w:val="23"/>
        </w:rPr>
        <w:t xml:space="preserve">DS3.2 Exploit-Detektion (Protokoll-Sicherheitsmonitoring)</w:t>
      </w:r>
    </w:p>
    <w:p>
      <w:pPr>
        <w:spacing w:before="60" w:after="90"/>
      </w:pPr>
      <w:r>
        <w:rPr>
          <w:rFonts w:ascii="Calibri" w:cs="Calibri" w:eastAsia="Calibri" w:hAnsi="Calibri"/>
          <w:color w:val="212121"/>
          <w:sz w:val="21"/>
          <w:szCs w:val="21"/>
        </w:rPr>
        <w:t xml:space="preserve">Bei bekannten DeFi-Exploits werden Transaktionen aus dem Exploit-Zeitfenster speziell markiert, da ihre On-Chain-Daten steuerlich unzuverlässig sein können.</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4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Exploit-Indikator</w:t>
            </w:r>
          </w:p>
        </w:tc>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Erkennungsmethode</w:t>
            </w:r>
          </w:p>
        </w:tc>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Alert-Aktion</w:t>
            </w:r>
          </w:p>
        </w:tc>
        <w:tc>
          <w:tcPr>
            <w:tcW w:type="dxa" w:w="14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Bekanntes Beispiel</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Flash-Loan-Angriff</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Ungewöhnlich hoher Token-Eingang in 1 Block (&gt;100× Durchschnitt)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 als 'Exploit-verdächtig' markieren; Nutzer informieren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Aave CAPO Oracle-Fehler März 2026 ($862K)</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Preismanipulation im Pool</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Swap-Preis weicht &gt; 20% vom FTSO-Kurs ab</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Preis aus alternativer Quelle verwenden; Warnung ausgeben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Thin-Liquidity-Manipulation auf DEXen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Contract-Upgrade (Proxy)</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Admin-Call auf Protokoll-Contract innerhalb 24h vor TX</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 als 'Neu-klassifizierung erforderlich' markieren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Protocol-Upgrade kann ABI-Änderungen bedeuten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Reentrancy-Muster</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Mehrfache identische Calls in einer TX auf gleichen Contract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 für manuelle Review eskalieren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Klassisches DeFi-Exploit-Muster</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Anomale Gas-Nutzung</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Gas &gt; 5× Median für TX-Typ des Protokolls</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Heuristik: TX könnte komplex/atomar sein; V4-Multi-Action prüfen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SparkDEX V4 Multi-Action (legitim)</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DS4. Impermanent-Loss-Berechnung – Finanzmathematischer Algorithmus</w:t>
      </w:r>
    </w:p>
    <w:p>
      <w:pPr>
        <w:spacing w:before="60" w:after="90"/>
      </w:pPr>
      <w:r>
        <w:rPr>
          <w:rFonts w:ascii="Calibri" w:cs="Calibri" w:eastAsia="Calibri" w:hAnsi="Calibri"/>
          <w:color w:val="212121"/>
          <w:sz w:val="21"/>
          <w:szCs w:val="21"/>
        </w:rPr>
        <w:t xml:space="preserve">Der Impermanent Loss (IL) ist die Differenz zwischen dem Wert einer LP-Position und dem Wert der Tokens bei einfachem Halten (Hold-Strategie). Die korrekte IL-Berechnung ist sowohl für Portfolio-Reporting als auch für die steuerliche Einordnung von LP-Verlusten relevant.</w:t>
      </w:r>
    </w:p>
    <w:p>
      <w:pPr>
        <w:spacing w:before="80" w:after="0"/>
      </w:pPr>
      <w:r>
        <w:t xml:space="preserve"/>
      </w:r>
    </w:p>
    <w:p>
      <w:pPr>
        <w:spacing w:before="200" w:after="80"/>
      </w:pPr>
      <w:r>
        <w:rPr>
          <w:rFonts w:ascii="Calibri" w:cs="Calibri" w:eastAsia="Calibri" w:hAnsi="Calibri"/>
          <w:b/>
          <w:bCs/>
          <w:color w:val="006064"/>
          <w:sz w:val="23"/>
          <w:szCs w:val="23"/>
        </w:rPr>
        <w:t xml:space="preserve">DS4.1 IL-Berechnung für Constant-Product AMM (Uniswap V2-Typ)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63238" w:sz="2"/>
              <w:left w:val="single" w:color="263238" w:sz="2"/>
              <w:bottom w:val="single" w:color="263238" w:sz="2"/>
              <w:right w:val="single" w:color="263238" w:sz="2"/>
            </w:tcBorders>
            <w:shd w:fill="1E2A3A" w:val="clear"/>
            <w:tcMar>
              <w:top w:type="dxa" w:w="120"/>
              <w:left w:type="dxa" w:w="200"/>
              <w:bottom w:type="dxa" w:w="120"/>
              <w:right w:type="dxa" w:w="160"/>
            </w:tcMar>
          </w:tcPr>
          <w:p>
            <w:pPr>
              <w:spacing w:before="0" w:after="18"/>
            </w:pPr>
            <w:r>
              <w:rPr>
                <w:rFonts w:ascii="Courier New" w:cs="Courier New" w:eastAsia="Courier New" w:hAnsi="Courier New"/>
                <w:color w:val="A8D8EA"/>
                <w:sz w:val="17"/>
                <w:szCs w:val="17"/>
              </w:rPr>
              <w:t xml:space="preserve">/**</w:t>
            </w:r>
          </w:p>
          <w:p>
            <w:pPr>
              <w:spacing w:before="0" w:after="18"/>
            </w:pPr>
            <w:r>
              <w:rPr>
                <w:rFonts w:ascii="Courier New" w:cs="Courier New" w:eastAsia="Courier New" w:hAnsi="Courier New"/>
                <w:color w:val="A8D8EA"/>
                <w:sz w:val="17"/>
                <w:szCs w:val="17"/>
              </w:rPr>
              <w:t xml:space="preserve"> * Impermanent Loss Berechnung – Constant Product AMM (x·y = k)</w:t>
            </w:r>
          </w:p>
          <w:p>
            <w:pPr>
              <w:spacing w:before="0" w:after="18"/>
            </w:pPr>
            <w:r>
              <w:rPr>
                <w:rFonts w:ascii="Courier New" w:cs="Courier New" w:eastAsia="Courier New" w:hAnsi="Courier New"/>
                <w:color w:val="A8D8EA"/>
                <w:sz w:val="17"/>
                <w:szCs w:val="17"/>
              </w:rPr>
              <w:t xml:space="preserve"> * Anwendbar auf: Ēnosys V2 (falls noch aktiv), SparkDEX V3 (außerhalb Range)</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 * Formel: IL = 2·√P_ratio / (1 + P_ratio) - 1</w:t>
            </w:r>
          </w:p>
          <w:p>
            <w:pPr>
              <w:spacing w:before="0" w:after="18"/>
            </w:pPr>
            <w:r>
              <w:rPr>
                <w:rFonts w:ascii="Courier New" w:cs="Courier New" w:eastAsia="Courier New" w:hAnsi="Courier New"/>
                <w:color w:val="A8D8EA"/>
                <w:sz w:val="17"/>
                <w:szCs w:val="17"/>
              </w:rPr>
              <w:t xml:space="preserve"> * Wobei P_ratio = P_current / P_entry</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function calculateIL_ConstantProduct(entryPriceRatio: number,</w:t>
            </w:r>
          </w:p>
          <w:p>
            <w:pPr>
              <w:spacing w:before="0" w:after="18"/>
            </w:pPr>
            <w:r>
              <w:rPr>
                <w:rFonts w:ascii="Courier New" w:cs="Courier New" w:eastAsia="Courier New" w:hAnsi="Courier New"/>
                <w:color w:val="A8D8EA"/>
                <w:sz w:val="17"/>
                <w:szCs w:val="17"/>
              </w:rPr>
              <w:t xml:space="preserve">                                      currentPriceRatio: number): ILResult {</w:t>
            </w:r>
          </w:p>
          <w:p>
            <w:pPr>
              <w:spacing w:before="0" w:after="18"/>
            </w:pPr>
            <w:r>
              <w:rPr>
                <w:rFonts w:ascii="Courier New" w:cs="Courier New" w:eastAsia="Courier New" w:hAnsi="Courier New"/>
                <w:color w:val="A8D8EA"/>
                <w:sz w:val="17"/>
                <w:szCs w:val="17"/>
              </w:rPr>
              <w:t xml:space="preserve">  const r = currentPriceRatio / entryPriceRatio; // Preisveränderungs-Ratio</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 IL-Formel (standardisiert)</w:t>
            </w:r>
          </w:p>
          <w:p>
            <w:pPr>
              <w:spacing w:before="0" w:after="18"/>
            </w:pPr>
            <w:r>
              <w:rPr>
                <w:rFonts w:ascii="Courier New" w:cs="Courier New" w:eastAsia="Courier New" w:hAnsi="Courier New"/>
                <w:color w:val="A8D8EA"/>
                <w:sz w:val="17"/>
                <w:szCs w:val="17"/>
              </w:rPr>
              <w:t xml:space="preserve">  const holdValue   = 1 + r;                     // Wert bei Hold (normiert)</w:t>
            </w:r>
          </w:p>
          <w:p>
            <w:pPr>
              <w:spacing w:before="0" w:after="18"/>
            </w:pPr>
            <w:r>
              <w:rPr>
                <w:rFonts w:ascii="Courier New" w:cs="Courier New" w:eastAsia="Courier New" w:hAnsi="Courier New"/>
                <w:color w:val="A8D8EA"/>
                <w:sz w:val="17"/>
                <w:szCs w:val="17"/>
              </w:rPr>
              <w:t xml:space="preserve">  const lpValue     = 2 * Math.sqrt(r);          // Wert in LP (Constant Product)</w:t>
            </w:r>
          </w:p>
          <w:p>
            <w:pPr>
              <w:spacing w:before="0" w:after="18"/>
            </w:pPr>
            <w:r>
              <w:rPr>
                <w:rFonts w:ascii="Courier New" w:cs="Courier New" w:eastAsia="Courier New" w:hAnsi="Courier New"/>
                <w:color w:val="A8D8EA"/>
                <w:sz w:val="17"/>
                <w:szCs w:val="17"/>
              </w:rPr>
              <w:t xml:space="preserve">  const ilFactor    = (lpValue / holdValue) - 1; // IL als Dezimalzahl (&lt; 0)</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 Beispiele:</w:t>
            </w:r>
          </w:p>
          <w:p>
            <w:pPr>
              <w:spacing w:before="0" w:after="18"/>
            </w:pPr>
            <w:r>
              <w:rPr>
                <w:rFonts w:ascii="Courier New" w:cs="Courier New" w:eastAsia="Courier New" w:hAnsi="Courier New"/>
                <w:color w:val="A8D8EA"/>
                <w:sz w:val="17"/>
                <w:szCs w:val="17"/>
              </w:rPr>
              <w:t xml:space="preserve">  // r = 1.00 (kein Preisunterschied) → IL = 0%</w:t>
            </w:r>
          </w:p>
          <w:p>
            <w:pPr>
              <w:spacing w:before="0" w:after="18"/>
            </w:pPr>
            <w:r>
              <w:rPr>
                <w:rFonts w:ascii="Courier New" w:cs="Courier New" w:eastAsia="Courier New" w:hAnsi="Courier New"/>
                <w:color w:val="A8D8EA"/>
                <w:sz w:val="17"/>
                <w:szCs w:val="17"/>
              </w:rPr>
              <w:t xml:space="preserve">  // r = 2.00 (+100% Preis)          → IL = -5.72%</w:t>
            </w:r>
          </w:p>
          <w:p>
            <w:pPr>
              <w:spacing w:before="0" w:after="18"/>
            </w:pPr>
            <w:r>
              <w:rPr>
                <w:rFonts w:ascii="Courier New" w:cs="Courier New" w:eastAsia="Courier New" w:hAnsi="Courier New"/>
                <w:color w:val="A8D8EA"/>
                <w:sz w:val="17"/>
                <w:szCs w:val="17"/>
              </w:rPr>
              <w:t xml:space="preserve">  // r = 4.00 (+300% Preis)          → IL = -20.00%</w:t>
            </w:r>
          </w:p>
          <w:p>
            <w:pPr>
              <w:spacing w:before="0" w:after="18"/>
            </w:pPr>
            <w:r>
              <w:rPr>
                <w:rFonts w:ascii="Courier New" w:cs="Courier New" w:eastAsia="Courier New" w:hAnsi="Courier New"/>
                <w:color w:val="A8D8EA"/>
                <w:sz w:val="17"/>
                <w:szCs w:val="17"/>
              </w:rPr>
              <w:t xml:space="preserve">  // r = 0.25 (-75% Preis)           → IL = -20.00% (symmetrisch!)</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return {</w:t>
            </w:r>
          </w:p>
          <w:p>
            <w:pPr>
              <w:spacing w:before="0" w:after="18"/>
            </w:pPr>
            <w:r>
              <w:rPr>
                <w:rFonts w:ascii="Courier New" w:cs="Courier New" w:eastAsia="Courier New" w:hAnsi="Courier New"/>
                <w:color w:val="A8D8EA"/>
                <w:sz w:val="17"/>
                <w:szCs w:val="17"/>
              </w:rPr>
              <w:t xml:space="preserve">    ilPercentage:  ilFactor * 100,          // z.B. -5.72 für r=2</w:t>
            </w:r>
          </w:p>
          <w:p>
            <w:pPr>
              <w:spacing w:before="0" w:after="18"/>
            </w:pPr>
            <w:r>
              <w:rPr>
                <w:rFonts w:ascii="Courier New" w:cs="Courier New" w:eastAsia="Courier New" w:hAnsi="Courier New"/>
                <w:color w:val="A8D8EA"/>
                <w:sz w:val="17"/>
                <w:szCs w:val="17"/>
              </w:rPr>
              <w:t xml:space="preserve">    ilEUR:         positionValueEUR * ilFactor,</w:t>
            </w:r>
          </w:p>
          <w:p>
            <w:pPr>
              <w:spacing w:before="0" w:after="18"/>
            </w:pPr>
            <w:r>
              <w:rPr>
                <w:rFonts w:ascii="Courier New" w:cs="Courier New" w:eastAsia="Courier New" w:hAnsi="Courier New"/>
                <w:color w:val="A8D8EA"/>
                <w:sz w:val="17"/>
                <w:szCs w:val="17"/>
              </w:rPr>
              <w:t xml:space="preserve">    holdValueEUR:  entryValueEUR * r,</w:t>
            </w:r>
          </w:p>
          <w:p>
            <w:pPr>
              <w:spacing w:before="0" w:after="18"/>
            </w:pPr>
            <w:r>
              <w:rPr>
                <w:rFonts w:ascii="Courier New" w:cs="Courier New" w:eastAsia="Courier New" w:hAnsi="Courier New"/>
                <w:color w:val="A8D8EA"/>
                <w:sz w:val="17"/>
                <w:szCs w:val="17"/>
              </w:rPr>
              <w:t xml:space="preserve">    lpValueEUR:    entryValueEUR * (1 + ilFactor),</w:t>
            </w:r>
          </w:p>
          <w:p>
            <w:pPr>
              <w:spacing w:before="0" w:after="18"/>
            </w:pPr>
            <w:r>
              <w:rPr>
                <w:rFonts w:ascii="Courier New" w:cs="Courier New" w:eastAsia="Courier New" w:hAnsi="Courier New"/>
                <w:color w:val="A8D8EA"/>
                <w:sz w:val="17"/>
                <w:szCs w:val="17"/>
              </w:rPr>
              <w:t xml:space="preserve">    isTaxRelevant: false, // IL allein ist kein Steuertatbestand!</w:t>
            </w:r>
          </w:p>
          <w:p>
            <w:pPr>
              <w:spacing w:before="0" w:after="18"/>
            </w:pPr>
            <w:r>
              <w:rPr>
                <w:rFonts w:ascii="Courier New" w:cs="Courier New" w:eastAsia="Courier New" w:hAnsi="Courier New"/>
                <w:color w:val="A8D8EA"/>
                <w:sz w:val="17"/>
                <w:szCs w:val="17"/>
              </w:rPr>
              <w:t xml:space="preserve">    taxNote:       'IL wird erst bei LP-Entnahme (Remove Liquidity) steuerrelevant',</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w:t>
            </w:r>
          </w:p>
        </w:tc>
      </w:tr>
    </w:tbl>
    <w:p>
      <w:pPr>
        <w:spacing w:before="80" w:after="0"/>
      </w:pPr>
      <w:r>
        <w:t xml:space="preserve"/>
      </w:r>
    </w:p>
    <w:p>
      <w:pPr>
        <w:spacing w:before="200" w:after="80"/>
      </w:pPr>
      <w:r>
        <w:rPr>
          <w:rFonts w:ascii="Calibri" w:cs="Calibri" w:eastAsia="Calibri" w:hAnsi="Calibri"/>
          <w:b/>
          <w:bCs/>
          <w:color w:val="006064"/>
          <w:sz w:val="23"/>
          <w:szCs w:val="23"/>
        </w:rPr>
        <w:t xml:space="preserve">DS4.2 IL-Berechnung für Concentrated Liquidity (Uniswap V3 / SparkDEX V3)</w:t>
      </w:r>
    </w:p>
    <w:p>
      <w:pPr>
        <w:spacing w:before="60" w:after="90"/>
      </w:pPr>
      <w:r>
        <w:rPr>
          <w:rFonts w:ascii="Calibri" w:cs="Calibri" w:eastAsia="Calibri" w:hAnsi="Calibri"/>
          <w:color w:val="212121"/>
          <w:sz w:val="21"/>
          <w:szCs w:val="21"/>
        </w:rPr>
        <w:t xml:space="preserve">SparkDEX V3 und Ēnosys V3 nutzen Concentrated Liquidity mit Preis-Ranges [P_lower, P_upper]. Das IL-Verhalten unterscheidet sich grundlegend vom Constant-Product-AMM.</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00"/>
        <w:gridCol w:w="1700"/>
        <w:gridCol w:w="1026"/>
      </w:tblGrid>
      <w:tr>
        <w:trPr>
          <w:tblHeader/>
        </w:trPr>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Scenario</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Preisbereich</w:t>
            </w:r>
          </w:p>
        </w:tc>
        <w:tc>
          <w:tcPr>
            <w:tcW w:type="dxa" w:w="2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IL-Verhalten</w:t>
            </w:r>
          </w:p>
        </w:tc>
        <w:tc>
          <w:tcPr>
            <w:tcW w:type="dxa" w:w="1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Formel</w:t>
            </w:r>
          </w:p>
        </w:tc>
        <w:tc>
          <w:tcPr>
            <w:tcW w:type="dxa" w:w="10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Steuerliche Relevanz</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Preis innerhalb Range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P_lower ≤ P ≤ P_upper</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IL wie Constant Product, aber konzentrierter (höhere IL pro Range)</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IL_concentrated = f(P, P_lower, P_upper, liquidity)</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IL bei Remove Liquidity → potenziell § 23 EStG</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Preis unterhalb Range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 &lt; P_lower</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Position besteht nur aus Token1 (100% Token0 wurde tauscht). IL = Opportunity Cost</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IL = Verlust durch Konversion Token0 → Token1</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IL-Ereignis bis Remove; dann voller Verlust</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Preis oberhalb Range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 &gt; P_upper</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Position besteht nur aus Token0 (100% Token1 wurde getauscht). IL maximal</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IL = Opportunity Cost von Token1-Hold</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IL-Ereignis bis Remove; dann voller Verlust</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Out-of-Range lange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Preis dauerhaft außerhalb</w:t>
            </w:r>
          </w:p>
        </w:tc>
        <w:tc>
          <w:tcPr>
            <w:tcW w:type="dxa" w:w="2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Fees werden nicht mehr gesammelt; Hold &gt; LP deutlich</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Komplexe Berechnung via Tick-Mathematik</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Relevanz für LIFO/HIFO-Optimierung</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1"/>
              <w:left w:val="thick" w:color="E65100" w:sz="18"/>
              <w:bottom w:val="single" w:color="E65100" w:sz="1"/>
              <w:right w:val="single" w:color="E65100" w:sz="1"/>
            </w:tcBorders>
            <w:shd w:fill="FFF8E1" w:val="clear"/>
            <w:tcMar>
              <w:top w:type="dxa" w:w="110"/>
              <w:left w:type="dxa" w:w="200"/>
              <w:bottom w:type="dxa" w:w="110"/>
              <w:right w:type="dxa" w:w="140"/>
            </w:tcMar>
          </w:tcPr>
          <w:p>
            <w:pPr>
              <w:spacing w:before="0" w:after="40"/>
            </w:pPr>
            <w:r>
              <w:rPr>
                <w:rFonts w:ascii="Calibri" w:cs="Calibri" w:eastAsia="Calibri" w:hAnsi="Calibri"/>
                <w:b/>
                <w:bCs/>
                <w:color w:val="E65100"/>
                <w:sz w:val="21"/>
                <w:szCs w:val="21"/>
              </w:rPr>
              <w:t xml:space="preserve">IL und Steuerrecht</w:t>
            </w:r>
          </w:p>
          <w:p>
            <w:pPr>
              <w:spacing w:before="0" w:after="0"/>
            </w:pPr>
            <w:r>
              <w:rPr>
                <w:rFonts w:ascii="Calibri" w:cs="Calibri" w:eastAsia="Calibri" w:hAnsi="Calibri"/>
                <w:color w:val="212121"/>
                <w:sz w:val="20"/>
                <w:szCs w:val="20"/>
              </w:rPr>
              <w:t xml:space="preserve">Der Impermanent Loss ist KEIN eigenständiger Steuertatbestand. Er wird erst steuerrelevant, wenn er durch das Entfernen von Liquidität (Remove Liquidity) realisiert wird. Das Tool berechnet IL kontinuierlich für Portfolio-Reporting (unrealisiert), weist ihn aber nur beim tatsächlichen Entnahme-Ereignis als Teil der Gewinn/Verlust-Berechnung aus.</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DS5. Cross-Chain-Transaktions-Matching-Algorithmus</w:t>
      </w:r>
    </w:p>
    <w:p>
      <w:pPr>
        <w:spacing w:before="60" w:after="90"/>
      </w:pPr>
      <w:r>
        <w:rPr>
          <w:rFonts w:ascii="Calibri" w:cs="Calibri" w:eastAsia="Calibri" w:hAnsi="Calibri"/>
          <w:color w:val="212121"/>
          <w:sz w:val="21"/>
          <w:szCs w:val="21"/>
        </w:rPr>
        <w:t xml:space="preserve">Stargate-Bridge-Transaktionen erzeugen zwei On-Chain-Ereignisse auf verschiedenen Blockchains. Ein robuster Matching-Algorithmus ist erforderlich, um diese korrekt zu verknüpfen und Doppelzählungen zu vermeiden.</w:t>
      </w:r>
    </w:p>
    <w:p>
      <w:pPr>
        <w:spacing w:before="80" w:after="0"/>
      </w:pPr>
      <w:r>
        <w:t xml:space="preserve"/>
      </w:r>
    </w:p>
    <w:p>
      <w:pPr>
        <w:spacing w:before="200" w:after="80"/>
      </w:pPr>
      <w:r>
        <w:rPr>
          <w:rFonts w:ascii="Calibri" w:cs="Calibri" w:eastAsia="Calibri" w:hAnsi="Calibri"/>
          <w:b/>
          <w:bCs/>
          <w:color w:val="006064"/>
          <w:sz w:val="23"/>
          <w:szCs w:val="23"/>
        </w:rPr>
        <w:t xml:space="preserve">DS5.1 Bipartites Matching via LayerZero Message-ID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63238" w:sz="2"/>
              <w:left w:val="single" w:color="263238" w:sz="2"/>
              <w:bottom w:val="single" w:color="263238" w:sz="2"/>
              <w:right w:val="single" w:color="263238" w:sz="2"/>
            </w:tcBorders>
            <w:shd w:fill="1E2A3A" w:val="clear"/>
            <w:tcMar>
              <w:top w:type="dxa" w:w="120"/>
              <w:left w:type="dxa" w:w="200"/>
              <w:bottom w:type="dxa" w:w="120"/>
              <w:right w:type="dxa" w:w="160"/>
            </w:tcMar>
          </w:tcPr>
          <w:p>
            <w:pPr>
              <w:spacing w:before="0" w:after="18"/>
            </w:pPr>
            <w:r>
              <w:rPr>
                <w:rFonts w:ascii="Courier New" w:cs="Courier New" w:eastAsia="Courier New" w:hAnsi="Courier New"/>
                <w:color w:val="A8D8EA"/>
                <w:sz w:val="17"/>
                <w:szCs w:val="17"/>
              </w:rPr>
              <w:t xml:space="preserve">/**</w:t>
            </w:r>
          </w:p>
          <w:p>
            <w:pPr>
              <w:spacing w:before="0" w:after="18"/>
            </w:pPr>
            <w:r>
              <w:rPr>
                <w:rFonts w:ascii="Courier New" w:cs="Courier New" w:eastAsia="Courier New" w:hAnsi="Courier New"/>
                <w:color w:val="A8D8EA"/>
                <w:sz w:val="17"/>
                <w:szCs w:val="17"/>
              </w:rPr>
              <w:t xml:space="preserve"> * Cross-Chain TX-Matching Algorithmus</w:t>
            </w:r>
          </w:p>
          <w:p>
            <w:pPr>
              <w:spacing w:before="0" w:after="18"/>
            </w:pPr>
            <w:r>
              <w:rPr>
                <w:rFonts w:ascii="Courier New" w:cs="Courier New" w:eastAsia="Courier New" w:hAnsi="Courier New"/>
                <w:color w:val="A8D8EA"/>
                <w:sz w:val="17"/>
                <w:szCs w:val="17"/>
              </w:rPr>
              <w:t xml:space="preserve"> * Methode: Deterministische Verknüpfung via LayerZero Message-ID</w:t>
            </w:r>
          </w:p>
          <w:p>
            <w:pPr>
              <w:spacing w:before="0" w:after="18"/>
            </w:pPr>
            <w:r>
              <w:rPr>
                <w:rFonts w:ascii="Courier New" w:cs="Courier New" w:eastAsia="Courier New" w:hAnsi="Courier New"/>
                <w:color w:val="A8D8EA"/>
                <w:sz w:val="17"/>
                <w:szCs w:val="17"/>
              </w:rPr>
              <w:t xml:space="preserve"> * Komplexität: O(1) bei direkter ID-Lookup; O(n log n) bei Fallback</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async function matchCrossChainTransactions(</w:t>
            </w:r>
          </w:p>
          <w:p>
            <w:pPr>
              <w:spacing w:before="0" w:after="18"/>
            </w:pPr>
            <w:r>
              <w:rPr>
                <w:rFonts w:ascii="Courier New" w:cs="Courier New" w:eastAsia="Courier New" w:hAnsi="Courier New"/>
                <w:color w:val="A8D8EA"/>
                <w:sz w:val="17"/>
                <w:szCs w:val="17"/>
              </w:rPr>
              <w:t xml:space="preserve">  sourceTX: ChainTransaction,   // Flare-seitige TX (Asset gesendet)</w:t>
            </w:r>
          </w:p>
          <w:p>
            <w:pPr>
              <w:spacing w:before="0" w:after="18"/>
            </w:pPr>
            <w:r>
              <w:rPr>
                <w:rFonts w:ascii="Courier New" w:cs="Courier New" w:eastAsia="Courier New" w:hAnsi="Courier New"/>
                <w:color w:val="A8D8EA"/>
                <w:sz w:val="17"/>
                <w:szCs w:val="17"/>
              </w:rPr>
              <w:t xml:space="preserve">  targetChain: number           // Ziel-Chain-ID</w:t>
            </w:r>
          </w:p>
          <w:p>
            <w:pPr>
              <w:spacing w:before="0" w:after="18"/>
            </w:pPr>
            <w:r>
              <w:rPr>
                <w:rFonts w:ascii="Courier New" w:cs="Courier New" w:eastAsia="Courier New" w:hAnsi="Courier New"/>
                <w:color w:val="A8D8EA"/>
                <w:sz w:val="17"/>
                <w:szCs w:val="17"/>
              </w:rPr>
              <w:t xml:space="preserve">): Promise&lt;CrossChainMatch | null&gt; {</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 Primäre Methode: LayerZero Message-ID (deterministisch)</w:t>
            </w:r>
          </w:p>
          <w:p>
            <w:pPr>
              <w:spacing w:before="0" w:after="18"/>
            </w:pPr>
            <w:r>
              <w:rPr>
                <w:rFonts w:ascii="Courier New" w:cs="Courier New" w:eastAsia="Courier New" w:hAnsi="Courier New"/>
                <w:color w:val="A8D8EA"/>
                <w:sz w:val="17"/>
                <w:szCs w:val="17"/>
              </w:rPr>
              <w:t xml:space="preserve">  const lzMessageId = extractLayerZeroMessageId(sourceTX.logs);</w:t>
            </w:r>
          </w:p>
          <w:p>
            <w:pPr>
              <w:spacing w:before="0" w:after="18"/>
            </w:pPr>
            <w:r>
              <w:rPr>
                <w:rFonts w:ascii="Courier New" w:cs="Courier New" w:eastAsia="Courier New" w:hAnsi="Courier New"/>
                <w:color w:val="A8D8EA"/>
                <w:sz w:val="17"/>
                <w:szCs w:val="17"/>
              </w:rPr>
              <w:t xml:space="preserve">  if (lzMessageId) {</w:t>
            </w:r>
          </w:p>
          <w:p>
            <w:pPr>
              <w:spacing w:before="0" w:after="18"/>
            </w:pPr>
            <w:r>
              <w:rPr>
                <w:rFonts w:ascii="Courier New" w:cs="Courier New" w:eastAsia="Courier New" w:hAnsi="Courier New"/>
                <w:color w:val="A8D8EA"/>
                <w:sz w:val="17"/>
                <w:szCs w:val="17"/>
              </w:rPr>
              <w:t xml:space="preserve">    const targetTX = await layerZeroScanAPI.findByMessageId(lzMessageId);</w:t>
            </w:r>
          </w:p>
          <w:p>
            <w:pPr>
              <w:spacing w:before="0" w:after="18"/>
            </w:pPr>
            <w:r>
              <w:rPr>
                <w:rFonts w:ascii="Courier New" w:cs="Courier New" w:eastAsia="Courier New" w:hAnsi="Courier New"/>
                <w:color w:val="A8D8EA"/>
                <w:sz w:val="17"/>
                <w:szCs w:val="17"/>
              </w:rPr>
              <w:t xml:space="preserve">    if (targetTX &amp;&amp; targetTX.status === 'DELIVERED') {</w:t>
            </w:r>
          </w:p>
          <w:p>
            <w:pPr>
              <w:spacing w:before="0" w:after="18"/>
            </w:pPr>
            <w:r>
              <w:rPr>
                <w:rFonts w:ascii="Courier New" w:cs="Courier New" w:eastAsia="Courier New" w:hAnsi="Courier New"/>
                <w:color w:val="A8D8EA"/>
                <w:sz w:val="17"/>
                <w:szCs w:val="17"/>
              </w:rPr>
              <w:t xml:space="preserve">      return { sourceTX, targetTX, matchMethod: 'LAYERZERO_ID',</w:t>
            </w:r>
          </w:p>
          <w:p>
            <w:pPr>
              <w:spacing w:before="0" w:after="18"/>
            </w:pPr>
            <w:r>
              <w:rPr>
                <w:rFonts w:ascii="Courier New" w:cs="Courier New" w:eastAsia="Courier New" w:hAnsi="Courier New"/>
                <w:color w:val="A8D8EA"/>
                <w:sz w:val="17"/>
                <w:szCs w:val="17"/>
              </w:rPr>
              <w:t xml:space="preserve">               confidence: 1.0, isTaxNeutral: areTokensEquivalent(sourceTX, targetTX) };</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 Fallback: Heuristisches Matching (Zeit-Fenster + Betrag + Token)</w:t>
            </w:r>
          </w:p>
          <w:p>
            <w:pPr>
              <w:spacing w:before="0" w:after="18"/>
            </w:pPr>
            <w:r>
              <w:rPr>
                <w:rFonts w:ascii="Courier New" w:cs="Courier New" w:eastAsia="Courier New" w:hAnsi="Courier New"/>
                <w:color w:val="A8D8EA"/>
                <w:sz w:val="17"/>
                <w:szCs w:val="17"/>
              </w:rPr>
              <w:t xml:space="preserve">  const candidates = await targetChainIndexer.findCandidates({</w:t>
            </w:r>
          </w:p>
          <w:p>
            <w:pPr>
              <w:spacing w:before="0" w:after="18"/>
            </w:pPr>
            <w:r>
              <w:rPr>
                <w:rFonts w:ascii="Courier New" w:cs="Courier New" w:eastAsia="Courier New" w:hAnsi="Courier New"/>
                <w:color w:val="A8D8EA"/>
                <w:sz w:val="17"/>
                <w:szCs w:val="17"/>
              </w:rPr>
              <w:t xml:space="preserve">    chain: targetChain,</w:t>
            </w:r>
          </w:p>
          <w:p>
            <w:pPr>
              <w:spacing w:before="0" w:after="18"/>
            </w:pPr>
            <w:r>
              <w:rPr>
                <w:rFonts w:ascii="Courier New" w:cs="Courier New" w:eastAsia="Courier New" w:hAnsi="Courier New"/>
                <w:color w:val="A8D8EA"/>
                <w:sz w:val="17"/>
                <w:szCs w:val="17"/>
              </w:rPr>
              <w:t xml:space="preserve">    token: sourceTX.tokenSymbol,</w:t>
            </w:r>
          </w:p>
          <w:p>
            <w:pPr>
              <w:spacing w:before="0" w:after="18"/>
            </w:pPr>
            <w:r>
              <w:rPr>
                <w:rFonts w:ascii="Courier New" w:cs="Courier New" w:eastAsia="Courier New" w:hAnsi="Courier New"/>
                <w:color w:val="A8D8EA"/>
                <w:sz w:val="17"/>
                <w:szCs w:val="17"/>
              </w:rPr>
              <w:t xml:space="preserve">    amount: sourceTX.amount,</w:t>
            </w:r>
          </w:p>
          <w:p>
            <w:pPr>
              <w:spacing w:before="0" w:after="18"/>
            </w:pPr>
            <w:r>
              <w:rPr>
                <w:rFonts w:ascii="Courier New" w:cs="Courier New" w:eastAsia="Courier New" w:hAnsi="Courier New"/>
                <w:color w:val="A8D8EA"/>
                <w:sz w:val="17"/>
                <w:szCs w:val="17"/>
              </w:rPr>
              <w:t xml:space="preserve">    timeWindow: { from: sourceTX.timestamp, to: sourceTX.timestamp + 3600 } // ±1h</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if (candidates.length === 1) {</w:t>
            </w:r>
          </w:p>
          <w:p>
            <w:pPr>
              <w:spacing w:before="0" w:after="18"/>
            </w:pPr>
            <w:r>
              <w:rPr>
                <w:rFonts w:ascii="Courier New" w:cs="Courier New" w:eastAsia="Courier New" w:hAnsi="Courier New"/>
                <w:color w:val="A8D8EA"/>
                <w:sz w:val="17"/>
                <w:szCs w:val="17"/>
              </w:rPr>
              <w:t xml:space="preserve">    return { sourceTX, targetTX: candidates[0], matchMethod: 'HEURISTIC',</w:t>
            </w:r>
          </w:p>
          <w:p>
            <w:pPr>
              <w:spacing w:before="0" w:after="18"/>
            </w:pPr>
            <w:r>
              <w:rPr>
                <w:rFonts w:ascii="Courier New" w:cs="Courier New" w:eastAsia="Courier New" w:hAnsi="Courier New"/>
                <w:color w:val="A8D8EA"/>
                <w:sz w:val="17"/>
                <w:szCs w:val="17"/>
              </w:rPr>
              <w:t xml:space="preserve">             confidence: 0.85, requiresReview: true };</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 Kein Match → Nutzer-Review erforderlich</w:t>
            </w:r>
          </w:p>
          <w:p>
            <w:pPr>
              <w:spacing w:before="0" w:after="18"/>
            </w:pPr>
            <w:r>
              <w:rPr>
                <w:rFonts w:ascii="Courier New" w:cs="Courier New" w:eastAsia="Courier New" w:hAnsi="Courier New"/>
                <w:color w:val="A8D8EA"/>
                <w:sz w:val="17"/>
                <w:szCs w:val="17"/>
              </w:rPr>
              <w:t xml:space="preserve">  await flagForManualReview(sourceTX, 'CROSS_CHAIN_MATCH_FAILED');</w:t>
            </w:r>
          </w:p>
          <w:p>
            <w:pPr>
              <w:spacing w:before="0" w:after="18"/>
            </w:pPr>
            <w:r>
              <w:rPr>
                <w:rFonts w:ascii="Courier New" w:cs="Courier New" w:eastAsia="Courier New" w:hAnsi="Courier New"/>
                <w:color w:val="A8D8EA"/>
                <w:sz w:val="17"/>
                <w:szCs w:val="17"/>
              </w:rPr>
              <w:t xml:space="preserve">  return null;</w:t>
            </w:r>
          </w:p>
          <w:p>
            <w:pPr>
              <w:spacing w:before="0" w:after="18"/>
            </w:pPr>
            <w:r>
              <w:rPr>
                <w:rFonts w:ascii="Courier New" w:cs="Courier New" w:eastAsia="Courier New" w:hAnsi="Courier New"/>
                <w:color w:val="A8D8EA"/>
                <w:sz w:val="17"/>
                <w:szCs w:val="17"/>
              </w:rPr>
              <w:t xml:space="preserve">}</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Prüft ob zwei Tokens wirtschaftlich equivalent sind</w:t>
            </w:r>
          </w:p>
          <w:p>
            <w:pPr>
              <w:spacing w:before="0" w:after="18"/>
            </w:pPr>
            <w:r>
              <w:rPr>
                <w:rFonts w:ascii="Courier New" w:cs="Courier New" w:eastAsia="Courier New" w:hAnsi="Courier New"/>
                <w:color w:val="A8D8EA"/>
                <w:sz w:val="17"/>
                <w:szCs w:val="17"/>
              </w:rPr>
              <w:t xml:space="preserve">// (z.B. native USDC ≡ bridged USDC) → Steuerneutral</w:t>
            </w:r>
          </w:p>
          <w:p>
            <w:pPr>
              <w:spacing w:before="0" w:after="18"/>
            </w:pPr>
            <w:r>
              <w:rPr>
                <w:rFonts w:ascii="Courier New" w:cs="Courier New" w:eastAsia="Courier New" w:hAnsi="Courier New"/>
                <w:color w:val="A8D8EA"/>
                <w:sz w:val="17"/>
                <w:szCs w:val="17"/>
              </w:rPr>
              <w:t xml:space="preserve">// (z.B. USDC ≢ USDT) → Tauschvorgang § 23 EStG</w:t>
            </w:r>
          </w:p>
          <w:p>
            <w:pPr>
              <w:spacing w:before="0" w:after="18"/>
            </w:pPr>
            <w:r>
              <w:rPr>
                <w:rFonts w:ascii="Courier New" w:cs="Courier New" w:eastAsia="Courier New" w:hAnsi="Courier New"/>
                <w:color w:val="A8D8EA"/>
                <w:sz w:val="17"/>
                <w:szCs w:val="17"/>
              </w:rPr>
              <w:t xml:space="preserve">function areTokensEquivalent(src: ChainTransaction, tgt: ChainTransaction): boolean {</w:t>
            </w:r>
          </w:p>
          <w:p>
            <w:pPr>
              <w:spacing w:before="0" w:after="18"/>
            </w:pPr>
            <w:r>
              <w:rPr>
                <w:rFonts w:ascii="Courier New" w:cs="Courier New" w:eastAsia="Courier New" w:hAnsi="Courier New"/>
                <w:color w:val="A8D8EA"/>
                <w:sz w:val="17"/>
                <w:szCs w:val="17"/>
              </w:rPr>
              <w:t xml:space="preserve">  return TOKEN_EQUIVALENCE_MAP.get(src.tokenAddress) === tgt.tokenAddress;</w:t>
            </w:r>
          </w:p>
          <w:p>
            <w:pPr>
              <w:spacing w:before="0" w:after="18"/>
            </w:pPr>
            <w:r>
              <w:rPr>
                <w:rFonts w:ascii="Courier New" w:cs="Courier New" w:eastAsia="Courier New" w:hAnsi="Courier New"/>
                <w:color w:val="A8D8EA"/>
                <w:sz w:val="17"/>
                <w:szCs w:val="17"/>
              </w:rPr>
              <w:t xml:space="preserve">}</w:t>
            </w:r>
          </w:p>
        </w:tc>
      </w:tr>
    </w:tbl>
    <w:p>
      <w:pPr>
        <w:spacing w:before="80" w:after="0"/>
      </w:pPr>
      <w:r>
        <w:t xml:space="preserve"/>
      </w:r>
    </w:p>
    <w:p>
      <w:pPr>
        <w:spacing w:before="200" w:after="80"/>
      </w:pPr>
      <w:r>
        <w:rPr>
          <w:rFonts w:ascii="Calibri" w:cs="Calibri" w:eastAsia="Calibri" w:hAnsi="Calibri"/>
          <w:b/>
          <w:bCs/>
          <w:color w:val="006064"/>
          <w:sz w:val="23"/>
          <w:szCs w:val="23"/>
        </w:rPr>
        <w:t xml:space="preserve">DS5.2 Token-Äquivalenz-Matrix (Steuerrechtlich relevant)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1800"/>
        <w:gridCol w:w="826"/>
      </w:tblGrid>
      <w:tr>
        <w:trPr>
          <w:tblHeader/>
        </w:trPr>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Quell-Token</w:t>
            </w:r>
          </w:p>
        </w:tc>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Ziel-Token (nach Bridge)</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Wirtschaftlich äquivalent?</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Steuerliche Folge</w:t>
            </w:r>
          </w:p>
        </w:tc>
        <w:tc>
          <w:tcPr>
            <w:tcW w:type="dxa" w:w="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Konfidenz</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USDC (Ethereum)</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USDC (Flare, native)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 (gleicher Emittent)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Interner Transfer, kein § 23 EStG</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95%</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USDC (Ethereum)</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USDC.e (wrapped, Flare)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NEIN (andere Token-Contract-Adresse)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Potenzieller Tausch → § 23 EStG</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80% – Graubereich</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USDT (Ethereum)</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USDT0 (OFT, Flare)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 (USDT0 = 1:1 USDT via Everdawn Labs)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Interner Transfer</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90%</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ETH (Ethereum)</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WETH (Flare)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NEIN (Wrapping = technisch anderer Token)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Tauschvorgang → § 23 EStG</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70% – Graubereich</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FLR (Flare)</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wFLR (Flare, ERC-20)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Sonderfall: Wrapping auf gleicher Chain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Cross-Chain; ggf. interner Tausch</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85%</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FXRP (Flare FAsset)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XRP (XRPL)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NEIN (FAsset-Redemption = eigenständiges Ereignis)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FAsset Redemption → neue Haltefrist für XRP</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100%</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DS6. Steueroptimierungs-Algorithmus (Phase 4)</w:t>
      </w:r>
    </w:p>
    <w:p>
      <w:pPr>
        <w:spacing w:before="60" w:after="90"/>
      </w:pPr>
      <w:r>
        <w:rPr>
          <w:rFonts w:ascii="Calibri" w:cs="Calibri" w:eastAsia="Calibri" w:hAnsi="Calibri"/>
          <w:color w:val="212121"/>
          <w:sz w:val="21"/>
          <w:szCs w:val="21"/>
        </w:rPr>
        <w:t xml:space="preserve">In Phase 4 wird dem Tool eine Steueroptimierungs-Engine hinzugefügt, die Nutzern konkrete Handlungsempfehlungen gibt, um die Steuerlast legal zu minimieren. Die Engine basiert auf Greedy-Algorithmen und vorausschauender Lot-Simulation.</w:t>
      </w:r>
    </w:p>
    <w:p>
      <w:pPr>
        <w:spacing w:before="80" w:after="0"/>
      </w:pPr>
      <w:r>
        <w:t xml:space="preserve"/>
      </w:r>
    </w:p>
    <w:p>
      <w:pPr>
        <w:spacing w:before="200" w:after="80"/>
      </w:pPr>
      <w:r>
        <w:rPr>
          <w:rFonts w:ascii="Calibri" w:cs="Calibri" w:eastAsia="Calibri" w:hAnsi="Calibri"/>
          <w:b/>
          <w:bCs/>
          <w:color w:val="006064"/>
          <w:sz w:val="23"/>
          <w:szCs w:val="23"/>
        </w:rPr>
        <w:t xml:space="preserve">DS6.1 Tax-Loss-Harvesting-Algorithmus</w:t>
      </w:r>
    </w:p>
    <w:p>
      <w:pPr>
        <w:spacing w:before="60" w:after="90"/>
      </w:pPr>
      <w:r>
        <w:rPr>
          <w:rFonts w:ascii="Calibri" w:cs="Calibri" w:eastAsia="Calibri" w:hAnsi="Calibri"/>
          <w:color w:val="212121"/>
          <w:sz w:val="21"/>
          <w:szCs w:val="21"/>
        </w:rPr>
        <w:t xml:space="preserve">Tax-Loss-Harvesting identifiziert unrealisierte Verluste, die noch im laufenden Steuerjahr realisiert werden können, um damit § 23-Gewinne zu verrechnen (max. verrechenbar: unbegrenzt, aber nur gegen § 23-Gewinne).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63238" w:sz="2"/>
              <w:left w:val="single" w:color="263238" w:sz="2"/>
              <w:bottom w:val="single" w:color="263238" w:sz="2"/>
              <w:right w:val="single" w:color="263238" w:sz="2"/>
            </w:tcBorders>
            <w:shd w:fill="1E2A3A" w:val="clear"/>
            <w:tcMar>
              <w:top w:type="dxa" w:w="120"/>
              <w:left w:type="dxa" w:w="200"/>
              <w:bottom w:type="dxa" w:w="120"/>
              <w:right w:type="dxa" w:w="160"/>
            </w:tcMar>
          </w:tcPr>
          <w:p>
            <w:pPr>
              <w:spacing w:before="0" w:after="18"/>
            </w:pPr>
            <w:r>
              <w:rPr>
                <w:rFonts w:ascii="Courier New" w:cs="Courier New" w:eastAsia="Courier New" w:hAnsi="Courier New"/>
                <w:color w:val="A8D8EA"/>
                <w:sz w:val="17"/>
                <w:szCs w:val="17"/>
              </w:rPr>
              <w:t xml:space="preserve">/**</w:t>
            </w:r>
          </w:p>
          <w:p>
            <w:pPr>
              <w:spacing w:before="0" w:after="18"/>
            </w:pPr>
            <w:r>
              <w:rPr>
                <w:rFonts w:ascii="Courier New" w:cs="Courier New" w:eastAsia="Courier New" w:hAnsi="Courier New"/>
                <w:color w:val="A8D8EA"/>
                <w:sz w:val="17"/>
                <w:szCs w:val="17"/>
              </w:rPr>
              <w:t xml:space="preserve"> * Tax-Loss-Harvesting – Greedy-Optimierung</w:t>
            </w:r>
          </w:p>
          <w:p>
            <w:pPr>
              <w:spacing w:before="0" w:after="18"/>
            </w:pPr>
            <w:r>
              <w:rPr>
                <w:rFonts w:ascii="Courier New" w:cs="Courier New" w:eastAsia="Courier New" w:hAnsi="Courier New"/>
                <w:color w:val="A8D8EA"/>
                <w:sz w:val="17"/>
                <w:szCs w:val="17"/>
              </w:rPr>
              <w:t xml:space="preserve"> * Ziel: Maximiere verrechenbare Verluste gegen realisierte Gewinne</w:t>
            </w:r>
          </w:p>
          <w:p>
            <w:pPr>
              <w:spacing w:before="0" w:after="18"/>
            </w:pPr>
            <w:r>
              <w:rPr>
                <w:rFonts w:ascii="Courier New" w:cs="Courier New" w:eastAsia="Courier New" w:hAnsi="Courier New"/>
                <w:color w:val="A8D8EA"/>
                <w:sz w:val="17"/>
                <w:szCs w:val="17"/>
              </w:rPr>
              <w:t xml:space="preserve"> * Komplexität: O(n log n) für n offene Positionen</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function findHarvestingOpportunities(</w:t>
            </w:r>
          </w:p>
          <w:p>
            <w:pPr>
              <w:spacing w:before="0" w:after="18"/>
            </w:pPr>
            <w:r>
              <w:rPr>
                <w:rFonts w:ascii="Courier New" w:cs="Courier New" w:eastAsia="Courier New" w:hAnsi="Courier New"/>
                <w:color w:val="A8D8EA"/>
                <w:sz w:val="17"/>
                <w:szCs w:val="17"/>
              </w:rPr>
              <w:t xml:space="preserve">  openPositions: TaxLot[],</w:t>
            </w:r>
          </w:p>
          <w:p>
            <w:pPr>
              <w:spacing w:before="0" w:after="18"/>
            </w:pPr>
            <w:r>
              <w:rPr>
                <w:rFonts w:ascii="Courier New" w:cs="Courier New" w:eastAsia="Courier New" w:hAnsi="Courier New"/>
                <w:color w:val="A8D8EA"/>
                <w:sz w:val="17"/>
                <w:szCs w:val="17"/>
              </w:rPr>
              <w:t xml:space="preserve">  realizedGainsYTD: number,     // Bisherige realisierte § 23 Gewinne 2026</w:t>
            </w:r>
          </w:p>
          <w:p>
            <w:pPr>
              <w:spacing w:before="0" w:after="18"/>
            </w:pPr>
            <w:r>
              <w:rPr>
                <w:rFonts w:ascii="Courier New" w:cs="Courier New" w:eastAsia="Courier New" w:hAnsi="Courier New"/>
                <w:color w:val="A8D8EA"/>
                <w:sz w:val="17"/>
                <w:szCs w:val="17"/>
              </w:rPr>
              <w:t xml:space="preserve">  currentPrices: PriceMap,</w:t>
            </w:r>
          </w:p>
          <w:p>
            <w:pPr>
              <w:spacing w:before="0" w:after="18"/>
            </w:pPr>
            <w:r>
              <w:rPr>
                <w:rFonts w:ascii="Courier New" w:cs="Courier New" w:eastAsia="Courier New" w:hAnsi="Courier New"/>
                <w:color w:val="A8D8EA"/>
                <w:sz w:val="17"/>
                <w:szCs w:val="17"/>
              </w:rPr>
              <w:t xml:space="preserve">  yearEndDate: Date             // 31.12.2026</w:t>
            </w:r>
          </w:p>
          <w:p>
            <w:pPr>
              <w:spacing w:before="0" w:after="18"/>
            </w:pPr>
            <w:r>
              <w:rPr>
                <w:rFonts w:ascii="Courier New" w:cs="Courier New" w:eastAsia="Courier New" w:hAnsi="Courier New"/>
                <w:color w:val="A8D8EA"/>
                <w:sz w:val="17"/>
                <w:szCs w:val="17"/>
              </w:rPr>
              <w:t xml:space="preserve">): HarvestingRecommendation[] {</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const recommendations: HarvestingRecommendation[] = [];</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for (const lot of openPositions) {</w:t>
            </w:r>
          </w:p>
          <w:p>
            <w:pPr>
              <w:spacing w:before="0" w:after="18"/>
            </w:pPr>
            <w:r>
              <w:rPr>
                <w:rFonts w:ascii="Courier New" w:cs="Courier New" w:eastAsia="Courier New" w:hAnsi="Courier New"/>
                <w:color w:val="A8D8EA"/>
                <w:sz w:val="17"/>
                <w:szCs w:val="17"/>
              </w:rPr>
              <w:t xml:space="preserve">    const currentValue = lot.remainingAmount * currentPrices.get(lot.token);</w:t>
            </w:r>
          </w:p>
          <w:p>
            <w:pPr>
              <w:spacing w:before="0" w:after="18"/>
            </w:pPr>
            <w:r>
              <w:rPr>
                <w:rFonts w:ascii="Courier New" w:cs="Courier New" w:eastAsia="Courier New" w:hAnsi="Courier New"/>
                <w:color w:val="A8D8EA"/>
                <w:sz w:val="17"/>
                <w:szCs w:val="17"/>
              </w:rPr>
              <w:t xml:space="preserve">    const unrealizedPnL = currentValue - lot.acquisitionEUR;</w:t>
            </w:r>
          </w:p>
          <w:p>
            <w:pPr>
              <w:spacing w:before="0" w:after="18"/>
            </w:pPr>
            <w:r>
              <w:rPr>
                <w:rFonts w:ascii="Courier New" w:cs="Courier New" w:eastAsia="Courier New" w:hAnsi="Courier New"/>
                <w:color w:val="A8D8EA"/>
                <w:sz w:val="17"/>
                <w:szCs w:val="17"/>
              </w:rPr>
              <w:t xml:space="preserve">    const holdingDays   = daysBetween(lot.acquisitionDate, new Date());</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 Regel 1: Verlust-Ernte lohnt nur wenn § 23 Frist noch nicht abgelaufen</w:t>
            </w:r>
          </w:p>
          <w:p>
            <w:pPr>
              <w:spacing w:before="0" w:after="18"/>
            </w:pPr>
            <w:r>
              <w:rPr>
                <w:rFonts w:ascii="Courier New" w:cs="Courier New" w:eastAsia="Courier New" w:hAnsi="Courier New"/>
                <w:color w:val="A8D8EA"/>
                <w:sz w:val="17"/>
                <w:szCs w:val="17"/>
              </w:rPr>
              <w:t xml:space="preserve">    if (holdingDays &gt;= 365) continue; // Bereits steuerfrei – kein Handlungsbedarf</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 Regel 2: Nur echte Verlust-Lots</w:t>
            </w:r>
          </w:p>
          <w:p>
            <w:pPr>
              <w:spacing w:before="0" w:after="18"/>
            </w:pPr>
            <w:r>
              <w:rPr>
                <w:rFonts w:ascii="Courier New" w:cs="Courier New" w:eastAsia="Courier New" w:hAnsi="Courier New"/>
                <w:color w:val="A8D8EA"/>
                <w:sz w:val="17"/>
                <w:szCs w:val="17"/>
              </w:rPr>
              <w:t xml:space="preserve">    if (unrealizedPnL &gt;= 0) continue;</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 Regel 3: Verlust verrechenbar gegen bisherige Gewinne</w:t>
            </w:r>
          </w:p>
          <w:p>
            <w:pPr>
              <w:spacing w:before="0" w:after="18"/>
            </w:pPr>
            <w:r>
              <w:rPr>
                <w:rFonts w:ascii="Courier New" w:cs="Courier New" w:eastAsia="Courier New" w:hAnsi="Courier New"/>
                <w:color w:val="A8D8EA"/>
                <w:sz w:val="17"/>
                <w:szCs w:val="17"/>
              </w:rPr>
              <w:t xml:space="preserve">    const taxSaving = Math.min(-unrealizedPnL, realizedGainsYTD)</w:t>
            </w:r>
          </w:p>
          <w:p>
            <w:pPr>
              <w:spacing w:before="0" w:after="18"/>
            </w:pPr>
            <w:r>
              <w:rPr>
                <w:rFonts w:ascii="Courier New" w:cs="Courier New" w:eastAsia="Courier New" w:hAnsi="Courier New"/>
                <w:color w:val="A8D8EA"/>
                <w:sz w:val="17"/>
                <w:szCs w:val="17"/>
              </w:rPr>
              <w:t xml:space="preserve">                     * estimatedMarginalTaxRate;</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if (taxSaving &gt; MINIMUM_SAVING_THRESHOLD) { // Nur wenn &gt; €50 Steuerersparnis</w:t>
            </w:r>
          </w:p>
          <w:p>
            <w:pPr>
              <w:spacing w:before="0" w:after="18"/>
            </w:pPr>
            <w:r>
              <w:rPr>
                <w:rFonts w:ascii="Courier New" w:cs="Courier New" w:eastAsia="Courier New" w:hAnsi="Courier New"/>
                <w:color w:val="A8D8EA"/>
                <w:sz w:val="17"/>
                <w:szCs w:val="17"/>
              </w:rPr>
              <w:t xml:space="preserve">      recommendations.push({</w:t>
            </w:r>
          </w:p>
          <w:p>
            <w:pPr>
              <w:spacing w:before="0" w:after="18"/>
            </w:pPr>
            <w:r>
              <w:rPr>
                <w:rFonts w:ascii="Courier New" w:cs="Courier New" w:eastAsia="Courier New" w:hAnsi="Courier New"/>
                <w:color w:val="A8D8EA"/>
                <w:sz w:val="17"/>
                <w:szCs w:val="17"/>
              </w:rPr>
              <w:t xml:space="preserve">        lot, unrealizedPnL, taxSaving,</w:t>
            </w:r>
          </w:p>
          <w:p>
            <w:pPr>
              <w:spacing w:before="0" w:after="18"/>
            </w:pPr>
            <w:r>
              <w:rPr>
                <w:rFonts w:ascii="Courier New" w:cs="Courier New" w:eastAsia="Courier New" w:hAnsi="Courier New"/>
                <w:color w:val="A8D8EA"/>
                <w:sz w:val="17"/>
                <w:szCs w:val="17"/>
              </w:rPr>
              <w:t xml:space="preserve">        deadline: calculateHarvestDeadline(lot, yearEndDate),</w:t>
            </w:r>
          </w:p>
          <w:p>
            <w:pPr>
              <w:spacing w:before="0" w:after="18"/>
            </w:pPr>
            <w:r>
              <w:rPr>
                <w:rFonts w:ascii="Courier New" w:cs="Courier New" w:eastAsia="Courier New" w:hAnsi="Courier New"/>
                <w:color w:val="A8D8EA"/>
                <w:sz w:val="17"/>
                <w:szCs w:val="17"/>
              </w:rPr>
              <w:t xml:space="preserve">        warning: '§ 23 EStG – Steuervorteil nur wenn Gewinn &gt; 0€ im selben Jahr',</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 Sortiere nach höchster Steuerersparnis</w:t>
            </w:r>
          </w:p>
          <w:p>
            <w:pPr>
              <w:spacing w:before="0" w:after="18"/>
            </w:pPr>
            <w:r>
              <w:rPr>
                <w:rFonts w:ascii="Courier New" w:cs="Courier New" w:eastAsia="Courier New" w:hAnsi="Courier New"/>
                <w:color w:val="A8D8EA"/>
                <w:sz w:val="17"/>
                <w:szCs w:val="17"/>
              </w:rPr>
              <w:t xml:space="preserve">  return recommendations.sort((a, b) =&gt; b.taxSaving - a.taxSaving);</w:t>
            </w:r>
          </w:p>
          <w:p>
            <w:pPr>
              <w:spacing w:before="0" w:after="18"/>
            </w:pPr>
            <w:r>
              <w:rPr>
                <w:rFonts w:ascii="Courier New" w:cs="Courier New" w:eastAsia="Courier New" w:hAnsi="Courier New"/>
                <w:color w:val="A8D8EA"/>
                <w:sz w:val="17"/>
                <w:szCs w:val="17"/>
              </w:rPr>
              <w:t xml:space="preserve">}</w:t>
            </w:r>
          </w:p>
        </w:tc>
      </w:tr>
    </w:tbl>
    <w:p>
      <w:pPr>
        <w:spacing w:before="80" w:after="0"/>
      </w:pPr>
      <w:r>
        <w:t xml:space="preserve"/>
      </w:r>
    </w:p>
    <w:p>
      <w:pPr>
        <w:spacing w:before="200" w:after="80"/>
      </w:pPr>
      <w:r>
        <w:rPr>
          <w:rFonts w:ascii="Calibri" w:cs="Calibri" w:eastAsia="Calibri" w:hAnsi="Calibri"/>
          <w:b/>
          <w:bCs/>
          <w:color w:val="006064"/>
          <w:sz w:val="23"/>
          <w:szCs w:val="23"/>
        </w:rPr>
        <w:t xml:space="preserve">DS6.2 Haltefrist-Optimierungs-Algorithmus</w:t>
      </w:r>
    </w:p>
    <w:p>
      <w:pPr>
        <w:spacing w:before="60" w:after="90"/>
      </w:pPr>
      <w:r>
        <w:rPr>
          <w:rFonts w:ascii="Calibri" w:cs="Calibri" w:eastAsia="Calibri" w:hAnsi="Calibri"/>
          <w:color w:val="212121"/>
          <w:sz w:val="21"/>
          <w:szCs w:val="21"/>
        </w:rPr>
        <w:t xml:space="preserve">Der Haltefrist-Optimierer berechnet für jede offene Position den optimalen Verkaufszeitpunkt, um die Ein-Jahres-Steuerfreiheit nach § 23 EStG zu nutzen.</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600"/>
        <w:gridCol w:w="18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Szenario</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Algorithmus</w:t>
            </w:r>
          </w:p>
        </w:tc>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Empfehlung</w:t>
            </w:r>
          </w:p>
        </w:tc>
        <w:tc>
          <w:tcPr>
            <w:tcW w:type="dxa" w:w="1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Steuerersparnis (Beispiel)</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Position hält &lt; 30 Tage bis Steuerfreiheit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Countdown-Timer</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Warten bis 1-Jahr-Mark – kein Handlungsbedarf</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Voller Gewinn steuerfrei</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Freigrenze (€ 1.000) fast ausgeschöpft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Freigrenze-Kalkulator</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Keine weiteren § 23-Realisierungen in 2026</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bislang offenen Gewinne bleiben steuerfrei</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Mehrere Lots mit identischem Token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HIFO-Simulation</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Teuerste Lots zuerst verkaufen (HIFO) für max. Verlustnutzung</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Bei €5.000 Gewinn: ~€750 Steuerersparnis bei 45%-Satz</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22 Nr. 3 Freigrenze (€ 256) nahezu voll</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Claiming-Optimierung</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Staking-Rewards erst nach Jahreswechsel claimen (BMF 2025)</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Bis zu €256 × Steuersatz = ~€115 Steuerersparnis</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DS7. Portfolio-Analytik – Statistische Kennzahlen</w:t>
      </w:r>
    </w:p>
    <w:p>
      <w:pPr>
        <w:spacing w:before="60" w:after="90"/>
      </w:pPr>
      <w:r>
        <w:rPr>
          <w:rFonts w:ascii="Calibri" w:cs="Calibri" w:eastAsia="Calibri" w:hAnsi="Calibri"/>
          <w:color w:val="212121"/>
          <w:sz w:val="21"/>
          <w:szCs w:val="21"/>
        </w:rPr>
        <w:t xml:space="preserve">Das Portfolio-Analytics-Dashboard (Phase 4) bietet Nutzern statistische Kennzahlen über ihre DeFi-Performance. Alle Berechnungen basieren auf validierten EUR-Zeitreihendaten.</w:t>
      </w:r>
    </w:p>
    <w:p>
      <w:pPr>
        <w:spacing w:before="80" w:after="0"/>
      </w:pPr>
      <w:r>
        <w:t xml:space="preserve"/>
      </w:r>
    </w:p>
    <w:p>
      <w:pPr>
        <w:spacing w:before="200" w:after="80"/>
      </w:pPr>
      <w:r>
        <w:rPr>
          <w:rFonts w:ascii="Calibri" w:cs="Calibri" w:eastAsia="Calibri" w:hAnsi="Calibri"/>
          <w:b/>
          <w:bCs/>
          <w:color w:val="006064"/>
          <w:sz w:val="23"/>
          <w:szCs w:val="23"/>
        </w:rPr>
        <w:t xml:space="preserve">DS7.1 Renditekennzahlen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4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Kennzahl</w:t>
            </w:r>
          </w:p>
        </w:tc>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Formel</w:t>
            </w:r>
          </w:p>
        </w:tc>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Interpretation</w:t>
            </w:r>
          </w:p>
        </w:tc>
        <w:tc>
          <w:tcPr>
            <w:tcW w:type="dxa" w:w="14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Berechnung-Grundlage</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Time-Weighted Return (TWR)</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TWR = [(1+r₁)·(1+r₂)·...·(1+rₙ)] - 1</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Portfolio-Performance unabhängig von Ein-/Auszahlungszeitpunkten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EUR-Tageskurs × Menge je Bewertungstag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Money-Weighted Return (MWR / IRR)</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NPV(Cashflows) = 0 → löse nach r</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Tatsächliche Rendite unter Berücksichtigung der Cashflow-Timings</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Ein-/Auszahlungen als Cashflows in EUR</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DeFi-Yield (annualisiert)</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APY = (1 + r_periode)^(365/Tage) - 1</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Vergleichbarkeit von LP-, Staking- und Lending-Renditen</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Summe Rewards EUR / Eingesetztes Kapital EUR</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Impermanent-Loss-Adjusted Return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IL-adj. Return = TWR + IL%</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Zeigt ob LP tatsächlich besser als Hold-Strategie</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TWR + IL-Berechnung (DS4)</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Gewinn-/Verlustkennzahl</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P&amp;L = Σ(Realisierungen) + Σ(Unrealisiert)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Steuerliche (realisiert) vs. buchhalterische (total) Sichtweise</w:t>
            </w:r>
          </w:p>
        </w:tc>
        <w:tc>
          <w:tcPr>
            <w:tcW w:type="dxa" w:w="1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Lot-Tracking-Datenbank</w:t>
            </w:r>
          </w:p>
        </w:tc>
      </w:tr>
    </w:tbl>
    <w:p>
      <w:pPr>
        <w:spacing w:before="80" w:after="0"/>
      </w:pPr>
      <w:r>
        <w:t xml:space="preserve"/>
      </w:r>
    </w:p>
    <w:p>
      <w:pPr>
        <w:spacing w:before="200" w:after="80"/>
      </w:pPr>
      <w:r>
        <w:rPr>
          <w:rFonts w:ascii="Calibri" w:cs="Calibri" w:eastAsia="Calibri" w:hAnsi="Calibri"/>
          <w:b/>
          <w:bCs/>
          <w:color w:val="006064"/>
          <w:sz w:val="23"/>
          <w:szCs w:val="23"/>
        </w:rPr>
        <w:t xml:space="preserve">DS7.2 Risikokennzahlen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6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Risikokennzahl</w:t>
            </w:r>
          </w:p>
        </w:tc>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Methode</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Aussage</w:t>
            </w:r>
          </w:p>
        </w:tc>
        <w:tc>
          <w:tcPr>
            <w:tcW w:type="dxa" w:w="16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Nutzung im Tool</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Volatilität (σ)</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Standardabweichung der täglichen Renditen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Schwankungsbreite des Portfolios</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Risiko-Warnung bei σ &gt; 30%/Tag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Max Drawdown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MDD = (Peak - Trough) / Peak</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Größter prozentualer Wertverlust vom Höchstwert</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Verlustpotenzial-Warnung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Sharpe Ratio</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(Portfolio-Return - Risk-Free-Rate) / σ</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Risikobereinigte Rendite (Effizienz)</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Portfolio-Qualitätsbewertung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Concentration Risk</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Herfindahl-Index: Σ(Anteil_i²)</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Wie stark ist Portfolio auf einzelne Assets konzentriert?</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Warnung wenn 1 Asset &gt; 50% Portfolio</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Liquiditätsrisiko</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Bid-Ask-Spread × Position / Pool-TVL</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Wie groß ist Slippage beim sofortigen Verkauf?</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Warnung bei &gt; 2% Slippage-Risiko</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1"/>
              <w:left w:val="thick" w:color="E65100" w:sz="18"/>
              <w:bottom w:val="single" w:color="E65100" w:sz="1"/>
              <w:right w:val="single" w:color="E65100" w:sz="1"/>
            </w:tcBorders>
            <w:shd w:fill="FFF8E1" w:val="clear"/>
            <w:tcMar>
              <w:top w:type="dxa" w:w="110"/>
              <w:left w:type="dxa" w:w="200"/>
              <w:bottom w:type="dxa" w:w="110"/>
              <w:right w:type="dxa" w:w="140"/>
            </w:tcMar>
          </w:tcPr>
          <w:p>
            <w:pPr>
              <w:spacing w:before="0" w:after="40"/>
            </w:pPr>
            <w:r>
              <w:rPr>
                <w:rFonts w:ascii="Calibri" w:cs="Calibri" w:eastAsia="Calibri" w:hAnsi="Calibri"/>
                <w:b/>
                <w:bCs/>
                <w:color w:val="E65100"/>
                <w:sz w:val="21"/>
                <w:szCs w:val="21"/>
              </w:rPr>
              <w:t xml:space="preserve">Hinweis zu Prognose-Funktionen</w:t>
            </w:r>
          </w:p>
          <w:p>
            <w:pPr>
              <w:spacing w:before="0" w:after="0"/>
            </w:pPr>
            <w:r>
              <w:rPr>
                <w:rFonts w:ascii="Calibri" w:cs="Calibri" w:eastAsia="Calibri" w:hAnsi="Calibri"/>
                <w:color w:val="212121"/>
                <w:sz w:val="20"/>
                <w:szCs w:val="20"/>
              </w:rPr>
              <w:t xml:space="preserve">Das Tool berechnet ausschließlich historische und aktuelle Kennzahlen. Zukunftsprognosen (z.B. 'Wann wird Haltefrist-Grenze erreicht?') basieren auf deterministischen Regeln (Datum + 365 Tage), nicht auf prädiktiven Modellen. Keine der berechneten Kennzahlen stellt eine Anlageberatung im Sinne des § 1 WpHG dar.</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DS8. Datenqualitäts-Framework &amp; Validierungspipeline</w:t>
      </w:r>
    </w:p>
    <w:p>
      <w:pPr>
        <w:spacing w:before="60" w:after="90"/>
      </w:pPr>
      <w:r>
        <w:rPr>
          <w:rFonts w:ascii="Calibri" w:cs="Calibri" w:eastAsia="Calibri" w:hAnsi="Calibri"/>
          <w:color w:val="212121"/>
          <w:sz w:val="21"/>
          <w:szCs w:val="21"/>
        </w:rPr>
        <w:t xml:space="preserve">Steuerlich verwertbare Daten erfordern nachweisbare Qualitätssicherung. Das DQ-Framework definiert Metriken, Prüfroutinen und Eskalationslogik für alle Datenpunkte im System.</w:t>
      </w:r>
    </w:p>
    <w:p>
      <w:pPr>
        <w:spacing w:before="80" w:after="0"/>
      </w:pPr>
      <w:r>
        <w:t xml:space="preserve"/>
      </w:r>
    </w:p>
    <w:p>
      <w:pPr>
        <w:spacing w:before="200" w:after="80"/>
      </w:pPr>
      <w:r>
        <w:rPr>
          <w:rFonts w:ascii="Calibri" w:cs="Calibri" w:eastAsia="Calibri" w:hAnsi="Calibri"/>
          <w:b/>
          <w:bCs/>
          <w:color w:val="006064"/>
          <w:sz w:val="23"/>
          <w:szCs w:val="23"/>
        </w:rPr>
        <w:t xml:space="preserve">DS8.1 Datendimensionen und Qualitätsziele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700"/>
        <w:gridCol w:w="1126"/>
      </w:tblGrid>
      <w:tr>
        <w:trPr>
          <w:tblHeader/>
        </w:trPr>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DQ-Dimension</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Definition</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Messmethode</w:t>
            </w:r>
          </w:p>
        </w:tc>
        <w:tc>
          <w:tcPr>
            <w:tcW w:type="dxa" w:w="1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Qualitätsziel</w:t>
            </w:r>
          </w:p>
        </w:tc>
        <w:tc>
          <w:tcPr>
            <w:tcW w:type="dxa" w:w="11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Konsequenz bei Verstoß</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Vollständigkeit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TX im Zeitraum sind erfasst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Block-Gap-Detection; 100% Wallet-Coverage-Prüfung</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99,9% aller Blöcke</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GoBD-Warnung; Re-Sync erzwingen</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Korrektheit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EUR-Preise aus anerkannter Quelle (BMF Rz. 43)</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Cross-Source-Validierung; Z-Score-Check</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0,5% Preisabweichung zwischen Primär/Fallback</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Fallback-Quelle nutzen; Audit-Log-Eintrag</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Zeitgerechtheit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 werden innerhalb 30s nach On-Chain-Bestätigung erfasst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Latenz-Monitoring (P95)</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P95 &lt; 30 Sekunden</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Alert + Sync-Beschleunigung</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Konsistenz</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Lot-Salden = Σ Eingänge - Σ Ausgänge je Token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Bilanzausgleich-Check täglich</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Saldo-Abweichung &lt; 0,0001% (Rundungsfehler)</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Kritischer Alert; manuelle Review</w:t>
            </w:r>
          </w:p>
        </w:tc>
      </w:tr>
      <w:tr>
        <w:tc>
          <w:tcPr>
            <w:tcW w:type="dxa" w:w="18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Unveränderlichkeit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Einmal gespeicherte TX/Preise werden nie modifiziert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SHA-256 Hash-Kette; Append-only Constraint</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0 Hash-Verletzungen</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Kritischer Sicherheitsalert</w:t>
            </w:r>
          </w:p>
        </w:tc>
      </w:tr>
      <w:tr>
        <w:tc>
          <w:tcPr>
            <w:tcW w:type="dxa" w:w="18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Rückverfolgbarkeit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Jeder Datenpunkt ist auf On-Chain-Quelle zurückführbar</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TX-Hash + Block-Number + Log-Index als Audit-Trail</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 Traceability für steuerrelevante TX</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GoBD-Compliance-Verstoß</w:t>
            </w:r>
          </w:p>
        </w:tc>
      </w:tr>
    </w:tbl>
    <w:p>
      <w:pPr>
        <w:spacing w:before="80" w:after="0"/>
      </w:pPr>
      <w:r>
        <w:t xml:space="preserve"/>
      </w:r>
    </w:p>
    <w:p>
      <w:pPr>
        <w:spacing w:before="200" w:after="80"/>
      </w:pPr>
      <w:r>
        <w:rPr>
          <w:rFonts w:ascii="Calibri" w:cs="Calibri" w:eastAsia="Calibri" w:hAnsi="Calibri"/>
          <w:b/>
          <w:bCs/>
          <w:color w:val="006064"/>
          <w:sz w:val="23"/>
          <w:szCs w:val="23"/>
        </w:rPr>
        <w:t xml:space="preserve">DS8.2 Datenqualitäts-Scorecard (Reporting-Dashboard)</w:t>
      </w:r>
    </w:p>
    <w:p>
      <w:pPr>
        <w:spacing w:before="60" w:after="90"/>
      </w:pPr>
      <w:r>
        <w:rPr>
          <w:rFonts w:ascii="Calibri" w:cs="Calibri" w:eastAsia="Calibri" w:hAnsi="Calibri"/>
          <w:color w:val="212121"/>
          <w:sz w:val="21"/>
          <w:szCs w:val="21"/>
        </w:rPr>
        <w:t xml:space="preserve">Das interne Admin-Dashboard zeigt täglich die Datenqualitäts-KPIs. Nutzer sehen eine vereinfachte Ampel-Anzeige. Steuerberater-Kunden erhalten den vollständigen DQ-Report im Audit-Paket.</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400"/>
        <w:gridCol w:w="1300"/>
        <w:gridCol w:w="926"/>
      </w:tblGrid>
      <w:tr>
        <w:trPr>
          <w:tblHeader/>
        </w:trPr>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KPI</w:t>
            </w:r>
          </w:p>
        </w:tc>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Messgröße</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Grün</w:t>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Gelb (Warnung)</w:t>
            </w:r>
          </w:p>
        </w:tc>
        <w:tc>
          <w:tcPr>
            <w:tcW w:type="dxa" w:w="9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Rot (Kritisch)</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Block-Sync-Coverage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aller Blöcke im Wallet-Bereich lückenlos synchronisiert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99,9%</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99,0–99,9%</w:t>
            </w:r>
          </w:p>
        </w:tc>
        <w:tc>
          <w:tcPr>
            <w:tcW w:type="dxa" w:w="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99,0%</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Preis-Verfügbarkeit</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aller TX mit validierten EUR-Kurs</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99,0–99,9%</w:t>
            </w:r>
          </w:p>
        </w:tc>
        <w:tc>
          <w:tcPr>
            <w:tcW w:type="dxa" w:w="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99,0%</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Klassifikationsrate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TX automatisch klassifiziert (kein manuelles Review nötig)</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95%</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90–95%</w:t>
            </w:r>
          </w:p>
        </w:tc>
        <w:tc>
          <w:tcPr>
            <w:tcW w:type="dxa" w:w="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90%</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Audit-Log-Integrität</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Hash-Ketten-Checks erfolgreich</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 (Warnung bei Latenz)</w:t>
            </w:r>
          </w:p>
        </w:tc>
        <w:tc>
          <w:tcPr>
            <w:tcW w:type="dxa" w:w="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100%</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Cross-Chain-Match-Rate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Stargate TX mit erfolgreichem Matching</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90%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80–90%</w:t>
            </w:r>
          </w:p>
        </w:tc>
        <w:tc>
          <w:tcPr>
            <w:tcW w:type="dxa" w:w="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80%</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Graubereich-Anteil</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TX mit ungeklärter steuerlicher Einordnung</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5%</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5–15%</w:t>
            </w:r>
          </w:p>
        </w:tc>
        <w:tc>
          <w:tcPr>
            <w:tcW w:type="dxa" w:w="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15%</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DS9. Algorithmus-Komplexitäts- und Performance-Analyse</w:t>
      </w:r>
    </w:p>
    <w:p>
      <w:pPr>
        <w:spacing w:before="60" w:after="90"/>
      </w:pPr>
      <w:r>
        <w:rPr>
          <w:rFonts w:ascii="Calibri" w:cs="Calibri" w:eastAsia="Calibri" w:hAnsi="Calibri"/>
          <w:color w:val="212121"/>
          <w:sz w:val="21"/>
          <w:szCs w:val="21"/>
        </w:rPr>
        <w:t xml:space="preserve">Die Komplexitätsanalyse zeigt die Rechenaufwände für alle kritischen Algorithmen und begründet die Technologieentscheidungen (Datenstrukturen, Caching-Strategien, Batch-Verarbeitung).</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2000"/>
        <w:gridCol w:w="826"/>
      </w:tblGrid>
      <w:tr>
        <w:trPr>
          <w:tblHeader/>
        </w:trPr>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Algorithmus</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Zeitkomplexität</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Raumkomplexität</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Bottleneck bei</w:t>
            </w:r>
          </w:p>
        </w:tc>
        <w:tc>
          <w:tcPr>
            <w:tcW w:type="dxa" w:w="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Optimierungsstrategie</w:t>
            </w:r>
          </w:p>
        </w:tc>
      </w:tr>
      <w:tr>
        <w:tc>
          <w:tcPr>
            <w:tcW w:type="dxa" w:w="2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TX-Klassifikation (Regelbasiert)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O(1) pro TX (HashMap-Lookup)</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O(k) für k Regeln (constant)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 – O(1) ist optimal</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HashMap mit vorkomputierten Regel-Keys</w:t>
            </w:r>
          </w:p>
        </w:tc>
      </w:tr>
      <w:tr>
        <w:tc>
          <w:tcPr>
            <w:tcW w:type="dxa" w:w="2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FIFO Lot-Disposal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 für n Lots pro Token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 gesamt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alte Wallets (&gt; 10.000 Lots/Token)</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Priority-Queue statt sorted scan; DB-Index</w:t>
            </w:r>
          </w:p>
        </w:tc>
      </w:tr>
      <w:tr>
        <w:tc>
          <w:tcPr>
            <w:tcW w:type="dxa" w:w="2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HIFO Lot-Disposal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 log n) für n Lots (Sortierung)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Hohe Transaktionsfrequenz-Portfolios</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Max-Heap Datenstruktur; partielle Sortierung</w:t>
            </w:r>
          </w:p>
        </w:tc>
      </w:tr>
      <w:tr>
        <w:tc>
          <w:tcPr>
            <w:tcW w:type="dxa" w:w="28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Jahres-Steuerberechnung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 × m) für n TX, m Lots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 + m)</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100k+ TX + 50k+ Lots</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Batch-Processing, PostgreSQL-native Berechnung</w:t>
            </w:r>
          </w:p>
        </w:tc>
      </w:tr>
      <w:tr>
        <w:tc>
          <w:tcPr>
            <w:tcW w:type="dxa" w:w="28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IL-Berechnung (V2 AMM)</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O(1) pro Position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O(1)</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Closed-form Lösung – keine Iteration</w:t>
            </w:r>
          </w:p>
        </w:tc>
      </w:tr>
      <w:tr>
        <w:tc>
          <w:tcPr>
            <w:tcW w:type="dxa" w:w="28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IL-Berechnung (V3 Concentrated)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O(k) für k aktive Ticks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O(k)</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viele LP-Positionen</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Tick-Range Pre-Berechnung, Caching</w:t>
            </w:r>
          </w:p>
        </w:tc>
      </w:tr>
      <w:tr>
        <w:tc>
          <w:tcPr>
            <w:tcW w:type="dxa" w:w="28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Cross-Chain Matching (LZ-ID)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O(1) pro Bridge-TX</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O(1)</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 (direkter Lookup)</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LayerZero-ID als Primärschlüssel</w:t>
            </w:r>
          </w:p>
        </w:tc>
      </w:tr>
      <w:tr>
        <w:tc>
          <w:tcPr>
            <w:tcW w:type="dxa" w:w="28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Cross-Chain Matching (Heuristik)</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 für n Kandidaten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Viele simultane Bridges</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Candidate-Pruning: Zeit-Fenster + Token-Filter</w:t>
            </w:r>
          </w:p>
        </w:tc>
      </w:tr>
      <w:tr>
        <w:tc>
          <w:tcPr>
            <w:tcW w:type="dxa" w:w="28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ML-Klassifikation (Random Forest)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O(d × k) für d Features, k Bäume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O(k × depth)</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Seltener Fallback – nicht hot-path</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Async-Job außerhalb kritischem Pfad</w:t>
            </w:r>
          </w:p>
        </w:tc>
      </w:tr>
      <w:tr>
        <w:tc>
          <w:tcPr>
            <w:tcW w:type="dxa" w:w="28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Anomalie-Erkennung (Z-Score)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O(1) mit vorberechneten Statistiken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O(w) für Fenster w</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Immer effizient</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Rolling Mean/StdDev in Redis</w:t>
            </w:r>
          </w:p>
        </w:tc>
      </w:tr>
    </w:tbl>
    <w:p>
      <w:pPr>
        <w:spacing w:before="80" w:after="0"/>
      </w:pPr>
      <w:r>
        <w:t xml:space="preserve"/>
      </w:r>
    </w:p>
    <w:p>
      <w:pPr>
        <w:spacing w:before="200" w:after="80"/>
      </w:pPr>
      <w:r>
        <w:rPr>
          <w:rFonts w:ascii="Calibri" w:cs="Calibri" w:eastAsia="Calibri" w:hAnsi="Calibri"/>
          <w:b/>
          <w:bCs/>
          <w:color w:val="006064"/>
          <w:sz w:val="23"/>
          <w:szCs w:val="23"/>
        </w:rPr>
        <w:t xml:space="preserve">DS9.1 Performance-Benchmarks (Zielwerte)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600"/>
        <w:gridCol w:w="2426"/>
      </w:tblGrid>
      <w:tr>
        <w:trPr>
          <w:tblHeader/>
        </w:trPr>
        <w:tc>
          <w:tcPr>
            <w:tcW w:type="dxa" w:w="3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Operation</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Datenmenge</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Ziel-Laufzeit</w:t>
            </w:r>
          </w:p>
        </w:tc>
        <w:tc>
          <w:tcPr>
            <w:tcW w:type="dxa" w:w="24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Methode</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Single-TX Klassifikation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 TX</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5 ms</w:t>
            </w:r>
          </w:p>
        </w:tc>
        <w:tc>
          <w:tcPr>
            <w:tcW w:type="dxa" w:w="2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Regelbasiert (HashMap O(1))</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Jahres-Steuerberechnung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10.000 TX</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5 Sekunden</w:t>
            </w:r>
          </w:p>
        </w:tc>
        <w:tc>
          <w:tcPr>
            <w:tcW w:type="dxa" w:w="2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PostgreSQL batch + Index-Scan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Jahres-Steuerberechnung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100.000 TX</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30 Sekunden</w:t>
            </w:r>
          </w:p>
        </w:tc>
        <w:tc>
          <w:tcPr>
            <w:tcW w:type="dxa" w:w="2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Async Job, BullMQ Worker</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CSV-Export (CoinTracking)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10.000 TX</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5 Sekunden</w:t>
            </w:r>
          </w:p>
        </w:tc>
        <w:tc>
          <w:tcPr>
            <w:tcW w:type="dxa" w:w="2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Stream-based CSV Generation</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IL-Berechnung (alle Positionen)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500 LP-Positionen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2 Sekunden</w:t>
            </w:r>
          </w:p>
        </w:tc>
        <w:tc>
          <w:tcPr>
            <w:tcW w:type="dxa" w:w="2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Parallel, in-memory</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Preisvalidierung (Batch)</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1.000 Preise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1 Sekunde</w:t>
            </w:r>
          </w:p>
        </w:tc>
        <w:tc>
          <w:tcPr>
            <w:tcW w:type="dxa" w:w="2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Redis Cache + Batch-API-Call</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ML-Klassifikation (Fallback)</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 unbekannte TX</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10 Sekunden</w:t>
            </w:r>
          </w:p>
        </w:tc>
        <w:tc>
          <w:tcPr>
            <w:tcW w:type="dxa" w:w="2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Async; Ergebnis nach Background-Job</w:t>
            </w:r>
          </w:p>
        </w:tc>
      </w:tr>
      <w:tr>
        <w:tc>
          <w:tcPr>
            <w:tcW w:type="dxa" w:w="3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Tax-Loss-Harvesting-Scan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1.000 offene Lots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3 Sekunden</w:t>
            </w:r>
          </w:p>
        </w:tc>
        <w:tc>
          <w:tcPr>
            <w:tcW w:type="dxa" w:w="2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Sort + Greedy O(n log n)</w:t>
            </w:r>
          </w:p>
        </w:tc>
      </w:tr>
    </w:tbl>
    <w:p>
      <w:pPr>
        <w:spacing w:before="200" w:after="0"/>
      </w:pPr>
      <w:r>
        <w:t xml:space="preserve"/>
      </w:r>
    </w:p>
    <w:p>
      <w:pPr>
        <w:pBdr>
          <w:top w:val="single" w:color="0D47A1" w:sz="4" w:space="8"/>
        </w:pBdr>
        <w:spacing w:before="200" w:after="0"/>
        <w:jc w:val="center"/>
      </w:pPr>
      <w:r>
        <w:rPr>
          <w:rFonts w:ascii="Calibri" w:cs="Calibri" w:eastAsia="Calibri" w:hAnsi="Calibri"/>
          <w:i/>
          <w:iCs/>
          <w:color w:val="999999"/>
          <w:sz w:val="17"/>
          <w:szCs w:val="17"/>
        </w:rPr>
        <w:t xml:space="preserve">Data Science &amp; Algorithmus-Analyse – NextGen IT Solutions GmbH, Stuttgart · März 2026 · Alle Algorithmen sind Pseudocode zur Konzeptillustration. Produktionsimplementierung kann abweichen.</w:t>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2"/>
              <w:left w:val="single" w:color="0D47A1" w:sz="1"/>
              <w:bottom w:val="single" w:color="E65100" w:sz="6"/>
              <w:right w:val="single" w:color="0D47A1" w:sz="1"/>
            </w:tcBorders>
            <w:shd w:fill="0A3880" w:val="clear"/>
            <w:tcMar>
              <w:top w:type="dxa" w:w="160"/>
              <w:left w:type="dxa" w:w="280"/>
              <w:bottom w:type="dxa" w:w="160"/>
              <w:right w:type="dxa" w:w="200"/>
            </w:tcMar>
          </w:tcPr>
          <w:p>
            <w:pPr>
              <w:spacing w:before="0" w:after="40"/>
              <w:jc w:val="center"/>
            </w:pPr>
            <w:r>
              <w:rPr>
                <w:rFonts w:ascii="Calibri" w:cs="Calibri" w:eastAsia="Calibri" w:hAnsi="Calibri"/>
                <w:b/>
                <w:bCs/>
                <w:color w:val="FFFFFF"/>
                <w:sz w:val="40"/>
                <w:szCs w:val="40"/>
              </w:rPr>
              <w:t xml:space="preserve">SECURITY- &amp; COMPLIANCE-ANALYSE</w:t>
            </w:r>
          </w:p>
          <w:p>
            <w:pPr>
              <w:spacing w:before="0" w:after="0"/>
              <w:jc w:val="center"/>
            </w:pPr>
            <w:r>
              <w:rPr>
                <w:rFonts w:ascii="Calibri" w:cs="Calibri" w:eastAsia="Calibri" w:hAnsi="Calibri"/>
                <w:color w:val="B0C4DE"/>
                <w:sz w:val="22"/>
                <w:szCs w:val="22"/>
              </w:rPr>
              <w:t xml:space="preserve">OWASP · Vulnerability Management · Incident Response · BCP/DR · ISO 27001 · SOC 2 · Zertifizierungsroadmap · Reifegradmodell</w:t>
            </w:r>
          </w:p>
        </w:tc>
      </w:tr>
    </w:tbl>
    <w:p>
      <w:pPr>
        <w:spacing w:before="200" w:after="0"/>
      </w:pPr>
      <w:r>
        <w:t xml:space="preserve"/>
      </w:r>
    </w:p>
    <w:p>
      <w:pPr>
        <w:pStyle w:val="Heading1"/>
        <w:pBdr>
          <w:bottom w:val="single" w:color="0D47A1" w:sz="4" w:space="6"/>
        </w:pBdr>
        <w:spacing w:before="360" w:after="160"/>
      </w:pPr>
      <w:r>
        <w:rPr>
          <w:rFonts w:ascii="Calibri" w:cs="Calibri" w:eastAsia="Calibri" w:hAnsi="Calibri"/>
          <w:b/>
          <w:bCs/>
          <w:color w:val="0D47A1"/>
          <w:sz w:val="36"/>
          <w:szCs w:val="36"/>
        </w:rPr>
        <w:t xml:space="preserve">SC1. Sicherheitsübersicht &amp; Bedrohungslandschaft</w:t>
      </w:r>
    </w:p>
    <w:p>
      <w:pPr>
        <w:spacing w:before="60" w:after="90"/>
      </w:pPr>
      <w:r>
        <w:rPr>
          <w:rFonts w:ascii="Calibri" w:cs="Calibri" w:eastAsia="Calibri" w:hAnsi="Calibri"/>
          <w:color w:val="212121"/>
          <w:sz w:val="21"/>
          <w:szCs w:val="21"/>
        </w:rPr>
        <w:t xml:space="preserve">Als SaaS-Tool, das sensible Finanzdaten (Wallet-Adressen, Transaktionshistorien, EUR-Portfolio-Werte) im deutschen Rechtsraum verarbeitet, unterliegt der DeFi Tracker SaaS einem erhöhten Sicherheitsanspruch. Die folgende Analyse deckt alle Sicherheits- und Compliance-Dimensionen ab, die über das bereits in T8 beschriebene STRIDE-Modell hinausgehen.</w:t>
      </w:r>
    </w:p>
    <w:p>
      <w:pPr>
        <w:spacing w:before="80" w:after="0"/>
      </w:pPr>
      <w:r>
        <w:t xml:space="preserve"/>
      </w:r>
    </w:p>
    <w:p>
      <w:pPr>
        <w:spacing w:before="200" w:after="80"/>
      </w:pPr>
      <w:r>
        <w:rPr>
          <w:rFonts w:ascii="Calibri" w:cs="Calibri" w:eastAsia="Calibri" w:hAnsi="Calibri"/>
          <w:b/>
          <w:bCs/>
          <w:color w:val="006064"/>
          <w:sz w:val="23"/>
          <w:szCs w:val="23"/>
        </w:rPr>
        <w:t xml:space="preserve">SC1.1 Angreifer-Profile (Threat 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1800"/>
        <w:gridCol w:w="826"/>
      </w:tblGrid>
      <w:tr>
        <w:trPr>
          <w:tblHeader/>
        </w:trPr>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Angreifer-Typ</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Motivation</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Fähigkeitslevel</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Primäres Ziel</w:t>
            </w:r>
          </w:p>
        </w:tc>
        <w:tc>
          <w:tcPr>
            <w:tcW w:type="dxa" w:w="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Wahrscheinlichkeit</w:t>
            </w:r>
          </w:p>
        </w:tc>
      </w:tr>
      <w:tr>
        <w:tc>
          <w:tcPr>
            <w:tcW w:type="dxa" w:w="28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Opportunistischer Skript-Kiddie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Zufälliger Schaden, DDoS-Spaß</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 (Toolkits)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API-DDoS, einfache SQL-Injection</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HOCH</w:t>
            </w:r>
          </w:p>
        </w:tc>
      </w:tr>
      <w:tr>
        <w:tc>
          <w:tcPr>
            <w:tcW w:type="dxa" w:w="28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Daten-Broker / Scraper</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Wallet-Adressen verkaufen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 (API-Abuse)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Massenextraktion von Wallet-Daten via API</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MITTEL</w:t>
            </w:r>
          </w:p>
        </w:tc>
      </w:tr>
      <w:tr>
        <w:tc>
          <w:tcPr>
            <w:tcW w:type="dxa" w:w="28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Konkurrenz / Corporate Espionage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Geschäftsgeheimnisse, Kundendaten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Mittel-Hoch</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Nutzerliste, Preismodell, Protokoll-Integrationen</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NIEDRIG</w:t>
            </w:r>
          </w:p>
        </w:tc>
      </w:tr>
      <w:tr>
        <w:tc>
          <w:tcPr>
            <w:tcW w:type="dxa" w:w="28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Finanzkrimineller</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Steuerhinterziehung verschleiern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 (Social Engineering)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Manipulierte Steuerberichte erzeugen</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NIEDRIG</w:t>
            </w:r>
          </w:p>
        </w:tc>
      </w:tr>
      <w:tr>
        <w:tc>
          <w:tcPr>
            <w:tcW w:type="dxa" w:w="28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Advanced Persistent Threat (APT)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Infrastruktur-Kompromittierung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hoch</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Server-Zugriff, Supply-Chain-Angriff</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NIEDRIG (MVP-Phase)</w:t>
            </w:r>
          </w:p>
        </w:tc>
      </w:tr>
      <w:tr>
        <w:tc>
          <w:tcPr>
            <w:tcW w:type="dxa" w:w="28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Insider-Bedrohung</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Persönlicher Vorteil, Rache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 (Systemkenntnis)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Direkt-DB-Zugriff, Kundendaten-Leak</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NIEDRIG</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SC2. OWASP Top 10 – Spezifische Analyse für DeFi Tracker SaaS</w:t>
      </w:r>
    </w:p>
    <w:p>
      <w:pPr>
        <w:spacing w:before="60" w:after="90"/>
      </w:pPr>
      <w:r>
        <w:rPr>
          <w:rFonts w:ascii="Calibri" w:cs="Calibri" w:eastAsia="Calibri" w:hAnsi="Calibri"/>
          <w:color w:val="212121"/>
          <w:sz w:val="21"/>
          <w:szCs w:val="21"/>
        </w:rPr>
        <w:t xml:space="preserve">Die OWASP Top 10 (2021) sind der branchenstandard für Web-Application-Security. Die folgende Analyse bewertet jede Kategorie spezifisch für das DeFi Tracker SaaS und definiert konkrete Gegenmaßnahmen.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2800"/>
        <w:gridCol w:w="2200"/>
        <w:gridCol w:w="726"/>
      </w:tblGrid>
      <w:tr>
        <w:trPr>
          <w:tblHeader/>
        </w:trPr>
        <w:tc>
          <w:tcPr>
            <w:tcW w:type="dxa" w:w="1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OWASP 2021</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Kategorie</w:t>
            </w:r>
          </w:p>
        </w:tc>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DeFi-Tracker-spezifisches Risiko</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Gegenmaßnahme</w:t>
            </w:r>
          </w:p>
        </w:tc>
        <w:tc>
          <w:tcPr>
            <w:tcW w:type="dxa" w:w="7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Residual-Risiko</w:t>
            </w:r>
          </w:p>
        </w:tc>
      </w:tr>
      <w:tr>
        <w:tc>
          <w:tcPr>
            <w:tcW w:type="dxa" w:w="17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A01: Broken Access Control</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Zugriffskontroll-Fehler</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IDOR: Nutzer A ruft Wallet-Daten von Nutzer B ab via /api/wallets/{id}. Kritisch da Portfolio-Werte hochsensibel.</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Resource-Owner-Check auf JEDER DB-Query: WHERE wallet.user_id = currentUser.id. Automatisierter Test in CI.</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NIEDRIG nach Mitigation</w:t>
            </w:r>
          </w:p>
        </w:tc>
      </w:tr>
      <w:tr>
        <w:tc>
          <w:tcPr>
            <w:tcW w:type="dxa" w:w="17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A02: Cryptographic Failures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Kryptografische Schwächen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Wallet-Adressen im Klartext in Logs oder DB. Tax-Berechnungs-Ergebnisse unverschlüsselt in Redis-Cache.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AES-256-GCM für alle sensiblen DB-Felder. Redis-Verschlüsselung aktiviert. Kein Logging von Wallet-Daten.</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NIEDRIG</w:t>
            </w:r>
          </w:p>
        </w:tc>
      </w:tr>
      <w:tr>
        <w:tc>
          <w:tcPr>
            <w:tcW w:type="dxa" w:w="17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A03: Injection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SQL/NoSQL-Injection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GraphQL-Queries von Nutzern könnten injizierte Felder enthalten. Subgraph-Query-Manipulation.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Prisma ORM: Nur parametrisierte Queries. GraphQL-Schema-Validation. Input-Sanitization via Zod.</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SEHR NIEDRIG</w:t>
            </w:r>
          </w:p>
        </w:tc>
      </w:tr>
      <w:tr>
        <w:tc>
          <w:tcPr>
            <w:tcW w:type="dxa" w:w="17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A04: Insecure Design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Unsicheres Design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Tax-Berechnungs-Engine könnte durch manipulierte Preis-Inputs falsche Ergebnisse liefern (GoBD-Risiko).</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Preis-Validierung (DS3): Z-Score + Cross-Source. Audit-Log aller Berechnungs-Inputs. Unveränderliche Lot-Daten.</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MITTEL – fortlaufend</w:t>
            </w:r>
          </w:p>
        </w:tc>
      </w:tr>
      <w:tr>
        <w:tc>
          <w:tcPr>
            <w:tcW w:type="dxa" w:w="17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A05: Security Misconfiguration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Fehlkonfiguration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Hetzner-Server mit offenen Ports; Redis ohne Auth; PostgreSQL public; Debug-Mode in Production.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Infrastructure-as-Code (IaC) via Docker Compose; Hetzner Firewall: Whitelist-only. Redis AUTH. pgcrypto. Security-Hardening-Checklist vor Deploy.</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NIEDRIG nach Checklist</w:t>
            </w:r>
          </w:p>
        </w:tc>
      </w:tr>
      <w:tr>
        <w:tc>
          <w:tcPr>
            <w:tcW w:type="dxa" w:w="17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A06: Vulnerable Components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Verwundbare Abhängigkeiten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npm-Pakete mit CVEs (z.B. ethers.js, Next.js, Prisma). Supply-Chain-Kompromittierung via typosquatting.</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Dependabot wöchentlich. npm audit --audit-level=high im CI (Build-Break). Lockfile-Prüfung. Minimal-Dependency-Policy.</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MITTEL – kontinuierlich</w:t>
            </w:r>
          </w:p>
        </w:tc>
      </w:tr>
      <w:tr>
        <w:tc>
          <w:tcPr>
            <w:tcW w:type="dxa" w:w="17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A07: Auth &amp; Session Failures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Auth-/Session-Fehler</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Brute-Force auf Login. JWT-Token in localStorage (XSS-angreifbar). Refresh-Token-Diebstahl.</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Rate-Limit: 5 Login-Versuche/15 Min. JWT nur im Memory. Refresh via HttpOnly SameSite=Strict Cookie. 2FA für B2B.</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NIEDRIG</w:t>
            </w:r>
          </w:p>
        </w:tc>
      </w:tr>
      <w:tr>
        <w:tc>
          <w:tcPr>
            <w:tcW w:type="dxa" w:w="17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A08: Software Integrity Failures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Software-Integrität</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CI/CD-Pipeline kompromittiert → Malicious Code in Production. npm publish-Key gestohlen.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GitHub Branch Protection (required reviews). Signed Commits. Docker Image Digest Pinning. SBOM-Generierung.</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NIEDRIG</w:t>
            </w:r>
          </w:p>
        </w:tc>
      </w:tr>
      <w:tr>
        <w:tc>
          <w:tcPr>
            <w:tcW w:type="dxa" w:w="17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A09: Logging &amp; Monitoring Failures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Unzureichendes Logging</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Alert bei IDOR-Versuchen. Kein Monitoring auf anomale Preis-Reads. Audit-Log nicht überwacht.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Prometheus + Grafana. Security-Event-Monitoring. Failed-Auth-Alerts. Anomale API-Aufruf-Muster-Detection.</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NIEDRIG nach Setup</w:t>
            </w:r>
          </w:p>
        </w:tc>
      </w:tr>
      <w:tr>
        <w:tc>
          <w:tcPr>
            <w:tcW w:type="dxa" w:w="17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A10: SSRF</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Server-Side Request Forgery</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Wallet-Address-Input könnte als URL interpretiert werden bei schlecht validierten RPC-Calls.</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Input-Validation: Wallet-Adressen nur 0x[0-9a-fA-F]{40} erlaubt. Keine nutzerdefinierten RPC-URLs. Allowlist für externe HTTP-Calls.</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1B5E20"/>
                <w:sz w:val="20"/>
                <w:szCs w:val="20"/>
              </w:rPr>
              <w:t xml:space="preserve">SEHR NIEDRIG</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SC3. Vulnerability Management – Prozess &amp; Lifecycle</w:t>
      </w:r>
    </w:p>
    <w:p>
      <w:pPr>
        <w:spacing w:before="60" w:after="90"/>
      </w:pPr>
      <w:r>
        <w:rPr>
          <w:rFonts w:ascii="Calibri" w:cs="Calibri" w:eastAsia="Calibri" w:hAnsi="Calibri"/>
          <w:color w:val="212121"/>
          <w:sz w:val="21"/>
          <w:szCs w:val="21"/>
        </w:rPr>
        <w:t xml:space="preserve">Ein strukturierter Vulnerability-Management-Prozess stellt sicher, dass Sicherheitslücken systematisch identifiziert, priorisiert und behoben werden, bevor sie ausgenutzt werden können.</w:t>
      </w:r>
    </w:p>
    <w:p>
      <w:pPr>
        <w:spacing w:before="80" w:after="0"/>
      </w:pPr>
      <w:r>
        <w:t xml:space="preserve"/>
      </w:r>
    </w:p>
    <w:p>
      <w:pPr>
        <w:spacing w:before="200" w:after="80"/>
      </w:pPr>
      <w:r>
        <w:rPr>
          <w:rFonts w:ascii="Calibri" w:cs="Calibri" w:eastAsia="Calibri" w:hAnsi="Calibri"/>
          <w:b/>
          <w:bCs/>
          <w:color w:val="006064"/>
          <w:sz w:val="23"/>
          <w:szCs w:val="23"/>
        </w:rPr>
        <w:t xml:space="preserve">SC3.1 Vulnerability-Lifecycle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1400"/>
        <w:gridCol w:w="1026"/>
      </w:tblGrid>
      <w:tr>
        <w:trPr>
          <w:tblHeader/>
        </w:trPr>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Phase</w:t>
            </w:r>
          </w:p>
        </w:tc>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Aktivität</w:t>
            </w:r>
          </w:p>
        </w:tc>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Werkzeug / Methode</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Frequenz</w:t>
            </w:r>
          </w:p>
        </w:tc>
        <w:tc>
          <w:tcPr>
            <w:tcW w:type="dxa" w:w="10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Verantwortung</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1. Identifikation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CVE-Scanning aller npm-Abhängigkeiten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npm audit + Dependabot + Snyk (optional)</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Täglich automatisch</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CI/CD Pipeline</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2. Identifikation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SAST (Static Application Security Testing)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ESLint Security Plugin + Semgrep</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Jeder PR / Commit</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CI/CD Pipeline</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3. Identifikation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DAST (Dynamic Application Security Testing)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OWASP ZAP (automatisch) gegen Staging</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Wöchentlich</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DevOps</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4. Identifikation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Manueller Penetrationstest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Externer Sicherheitsdienstleister</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Jährlich (vor V-Launch, vor P4)</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CTO + externer Pentester</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5. Bewertung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CVSS-Score-Berechnung + Kontext-Bewertung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CVSS v3.1 Kalkulator</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Bei jedem Fund</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Security-Lead (CTO in MVP-Phase)</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6. Priorisierung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SLA-basierte Patchpflicht je Schweregrad</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SLA-Matrix (s. SC3.2)</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Kontinuierlich</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Dev-Team</w:t>
            </w:r>
          </w:p>
        </w:tc>
      </w:tr>
      <w:tr>
        <w:tc>
          <w:tcPr>
            <w:tcW w:type="dxa" w:w="18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7. Behebung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Patch, Workaround oder Akzeptanz (mit Begründung)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GitHub Issues + Security Advisory</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Gemäß SLA</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Dev-Team</w:t>
            </w:r>
          </w:p>
        </w:tc>
      </w:tr>
      <w:tr>
        <w:tc>
          <w:tcPr>
            <w:tcW w:type="dxa" w:w="18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8. Verifikation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Re-Test nach Patch; Regression-Test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Automatische Tests + manueller Spot-Check</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Nach jedem Patch</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QA + Security-Lead</w:t>
            </w:r>
          </w:p>
        </w:tc>
      </w:tr>
      <w:tr>
        <w:tc>
          <w:tcPr>
            <w:tcW w:type="dxa" w:w="18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9. Dokumentation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CVE-Register + Audit-Trail aller Schwachstellen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Internes Security-Register (GitHub Security Advisory)</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Dauerhaft</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Security-Lead</w:t>
            </w:r>
          </w:p>
        </w:tc>
      </w:tr>
    </w:tbl>
    <w:p>
      <w:pPr>
        <w:spacing w:before="80" w:after="0"/>
      </w:pPr>
      <w:r>
        <w:t xml:space="preserve"/>
      </w:r>
    </w:p>
    <w:p>
      <w:pPr>
        <w:spacing w:before="200" w:after="80"/>
      </w:pPr>
      <w:r>
        <w:rPr>
          <w:rFonts w:ascii="Calibri" w:cs="Calibri" w:eastAsia="Calibri" w:hAnsi="Calibri"/>
          <w:b/>
          <w:bCs/>
          <w:color w:val="006064"/>
          <w:sz w:val="23"/>
          <w:szCs w:val="23"/>
        </w:rPr>
        <w:t xml:space="preserve">SC3.2 Patch-SLA-Matrix nach CVSS-Score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00"/>
        <w:gridCol w:w="2000"/>
        <w:gridCol w:w="1726"/>
      </w:tblGrid>
      <w:tr>
        <w:trPr>
          <w:tblHeader/>
        </w:trPr>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CVSS Score</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Schweregrad</w:t>
            </w:r>
          </w:p>
        </w:tc>
        <w:tc>
          <w:tcPr>
            <w:tcW w:type="dxa" w:w="19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SLA – Patch</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SLA – Workaround</w:t>
            </w:r>
          </w:p>
        </w:tc>
        <w:tc>
          <w:tcPr>
            <w:tcW w:type="dxa" w:w="17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Beispiel im Kontext</w:t>
            </w:r>
          </w:p>
        </w:tc>
      </w:tr>
      <w:tr>
        <w:tc>
          <w:tcPr>
            <w:tcW w:type="dxa" w:w="16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9.0 – 10.0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Kritisch (Critical)</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24 Stunden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4 Stunden</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Remote Code Execution in ethers.js; Auth-Bypass</w:t>
            </w:r>
          </w:p>
        </w:tc>
      </w:tr>
      <w:tr>
        <w:tc>
          <w:tcPr>
            <w:tcW w:type="dxa" w:w="16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7.0 – 8.9</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 (High)</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7 Tage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24 Stunden</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SQL-Injection in Prisma; JWT-Library-Vulnerability</w:t>
            </w:r>
          </w:p>
        </w:tc>
      </w:tr>
      <w:tr>
        <w:tc>
          <w:tcPr>
            <w:tcW w:type="dxa" w:w="16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4.0 – 6.9</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 (Medium)</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30 Tage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7 Tage</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XSS in Next.js-Version; Sensitive Data Exposure</w:t>
            </w:r>
          </w:p>
        </w:tc>
      </w:tr>
      <w:tr>
        <w:tc>
          <w:tcPr>
            <w:tcW w:type="dxa" w:w="16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0.1 – 3.9</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 (Low)</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90 Tage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Optional</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Informationsleaks in Logs; veraltete HTTP-Header</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0.0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Informational</w:t>
            </w:r>
          </w:p>
        </w:tc>
        <w:tc>
          <w:tcPr>
            <w:tcW w:type="dxa" w:w="1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Nächster Sprint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Workaround nötig</w:t>
            </w:r>
          </w:p>
        </w:tc>
        <w:tc>
          <w:tcPr>
            <w:tcW w:type="dxa" w:w="1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Best-Practice-Abweichungen ohne Exploit-Potenzial</w:t>
            </w:r>
          </w:p>
        </w:tc>
      </w:tr>
    </w:tbl>
    <w:p>
      <w:pPr>
        <w:spacing w:before="80" w:after="0"/>
      </w:pPr>
      <w:r>
        <w:t xml:space="preserve"/>
      </w:r>
    </w:p>
    <w:p>
      <w:pPr>
        <w:spacing w:before="200" w:after="80"/>
      </w:pPr>
      <w:r>
        <w:rPr>
          <w:rFonts w:ascii="Calibri" w:cs="Calibri" w:eastAsia="Calibri" w:hAnsi="Calibri"/>
          <w:b/>
          <w:bCs/>
          <w:color w:val="006064"/>
          <w:sz w:val="23"/>
          <w:szCs w:val="23"/>
        </w:rPr>
        <w:t xml:space="preserve">SC3.3 Bug-Bounty-Programm (Phase 3 – Launch)</w:t>
      </w:r>
    </w:p>
    <w:p>
      <w:pPr>
        <w:spacing w:before="60" w:after="90"/>
      </w:pPr>
      <w:r>
        <w:rPr>
          <w:rFonts w:ascii="Calibri" w:cs="Calibri" w:eastAsia="Calibri" w:hAnsi="Calibri"/>
          <w:color w:val="212121"/>
          <w:sz w:val="21"/>
          <w:szCs w:val="21"/>
        </w:rPr>
        <w:t xml:space="preserve">Ab dem öffentlichen Launch (September 2026) wird ein strukturiertes Bug-Bounty-Programm über HackerOne oder Intigriti eingerichtet. Der Scope umfasst ausschließlich die Produktions-API und das Web-Frontend.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226"/>
      </w:tblGrid>
      <w:tr>
        <w:trPr>
          <w:tblHeader/>
        </w:trPr>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Bounty-Kategorie</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Prämie</w:t>
            </w:r>
          </w:p>
        </w:tc>
        <w:tc>
          <w:tcPr>
            <w:tcW w:type="dxa" w:w="3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In-Scope</w:t>
            </w:r>
          </w:p>
        </w:tc>
        <w:tc>
          <w:tcPr>
            <w:tcW w:type="dxa" w:w="22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Out-of-Scope</w:t>
            </w:r>
          </w:p>
        </w:tc>
      </w:tr>
      <w:tr>
        <w:tc>
          <w:tcPr>
            <w:tcW w:type="dxa" w:w="20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Kritisch (CVSS ≥ 9.0)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€ 500 – € 2.000</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RCE, Auth-Bypass, massenhafte IDOR auf User-Daten</w:t>
            </w:r>
          </w:p>
        </w:tc>
        <w:tc>
          <w:tcPr>
            <w:tcW w:type="dxa" w:w="2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Social Engineering, physischer Angriff</w:t>
            </w:r>
          </w:p>
        </w:tc>
      </w:tr>
      <w:tr>
        <w:tc>
          <w:tcPr>
            <w:tcW w:type="dxa" w:w="20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Hoch (CVSS 7–8.9)</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€ 200 – € 500</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SQLi, privilege escalation, kritische Datenlecks</w:t>
            </w:r>
          </w:p>
        </w:tc>
        <w:tc>
          <w:tcPr>
            <w:tcW w:type="dxa" w:w="2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DoS/DDoS ohne Datenverlust</w:t>
            </w:r>
          </w:p>
        </w:tc>
      </w:tr>
      <w:tr>
        <w:tc>
          <w:tcPr>
            <w:tcW w:type="dxa" w:w="20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Mittel (CVSS 4–6.9)</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€ 50 – € 200</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XSS, CSRF, moderate Datenlecks</w:t>
            </w:r>
          </w:p>
        </w:tc>
        <w:tc>
          <w:tcPr>
            <w:tcW w:type="dxa" w:w="2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Bekannte Schwachstellen ohne CVSS-Entry</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Niedrig / Informational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€ 0 – € 50 (Hall of Fame)</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Best-Practice-Abweichungen, Security-Headers</w:t>
            </w:r>
          </w:p>
        </w:tc>
        <w:tc>
          <w:tcPr>
            <w:tcW w:type="dxa" w:w="2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Bereits gemeldete Vulnerabilities</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SC4. Penetrationstest-Plan</w:t>
      </w:r>
    </w:p>
    <w:p>
      <w:pPr>
        <w:spacing w:before="60" w:after="90"/>
      </w:pPr>
      <w:r>
        <w:rPr>
          <w:rFonts w:ascii="Calibri" w:cs="Calibri" w:eastAsia="Calibri" w:hAnsi="Calibri"/>
          <w:color w:val="212121"/>
          <w:sz w:val="21"/>
          <w:szCs w:val="21"/>
        </w:rPr>
        <w:t xml:space="preserve">Der Penetrationstest-Plan definiert Scope, Methodik und Timing aller geplanten Sicherheitstests. Unterschieden wird zwischen automatisierten Tests (DAST/SAST im CI) und manuellen Penetrationstests durch externe Sicherheitsforscher.</w:t>
      </w:r>
    </w:p>
    <w:p>
      <w:pPr>
        <w:spacing w:before="80" w:after="0"/>
      </w:pPr>
      <w:r>
        <w:t xml:space="preserve"/>
      </w:r>
    </w:p>
    <w:p>
      <w:pPr>
        <w:spacing w:before="200" w:after="80"/>
      </w:pPr>
      <w:r>
        <w:rPr>
          <w:rFonts w:ascii="Calibri" w:cs="Calibri" w:eastAsia="Calibri" w:hAnsi="Calibri"/>
          <w:b/>
          <w:bCs/>
          <w:color w:val="006064"/>
          <w:sz w:val="23"/>
          <w:szCs w:val="23"/>
        </w:rPr>
        <w:t xml:space="preserve">SC4.1 Pentest-Roadmap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1800"/>
        <w:gridCol w:w="10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Pentest-Typ</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Zeitpunkt</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Scope</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Methodik</w:t>
            </w:r>
          </w:p>
        </w:tc>
        <w:tc>
          <w:tcPr>
            <w:tcW w:type="dxa" w:w="10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Anbieter-Profil</w:t>
            </w:r>
          </w:p>
        </w:tc>
      </w:tr>
      <w:tr>
        <w:tc>
          <w:tcPr>
            <w:tcW w:type="dxa" w:w="24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Pre-Launch Web App Pentest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August 2026 (vor Beta)</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Web-Frontend + REST/tRPC API + Auth-Flow</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OWASP WSTG v4.2; PTES; Black-Box + Grey-Box</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CREST-zertifizierter Dienstleister; ~€ 3.000–6.000</w:t>
            </w:r>
          </w:p>
        </w:tc>
      </w:tr>
      <w:tr>
        <w:tc>
          <w:tcPr>
            <w:tcW w:type="dxa" w:w="24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Infrastructure &amp; Cloud Pentest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August 2026</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Hetzner-Server, Firewall-Regeln, Docker-Config, Redis, PostgreSQL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CIS Benchmarks; externe Netzwerk-Sicht</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Gleichzeitig mit Web-App-Pentest</w:t>
            </w:r>
          </w:p>
        </w:tc>
      </w:tr>
      <w:tr>
        <w:tc>
          <w:tcPr>
            <w:tcW w:type="dxa" w:w="24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API Security Review</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September 2026 (vor Launch)</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API-Endpoints, JWT-Handling, Rate-Limiting, IDOR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OWASP API Security Top 10 2023</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Intern (CTO) + automatisiert (ZAP)</w:t>
            </w:r>
          </w:p>
        </w:tc>
      </w:tr>
      <w:tr>
        <w:tc>
          <w:tcPr>
            <w:tcW w:type="dxa" w:w="24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Jährlicher Pentest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Q3 2027 (nach Phase 4)</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Vollständiges System nach Multi-Chain-Erweiterung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White-Box + Black-Box kombiniert</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Extern; ~€ 5.000–10.000 bei erweitertem Scope</w:t>
            </w:r>
          </w:p>
        </w:tc>
      </w:tr>
      <w:tr>
        <w:tc>
          <w:tcPr>
            <w:tcW w:type="dxa" w:w="24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Smart-Contract-Konsumenten-Review</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Parallel zu Protokoll-Integration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Überprüfung ob eigene Subgraph-Queries manipulierbar sind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Subgraph-Security-Review (GraphQL-Introspection)</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Intern; The Graph Security Best Practices</w:t>
            </w:r>
          </w:p>
        </w:tc>
      </w:tr>
    </w:tbl>
    <w:p>
      <w:pPr>
        <w:spacing w:before="80" w:after="0"/>
      </w:pPr>
      <w:r>
        <w:t xml:space="preserve"/>
      </w:r>
    </w:p>
    <w:p>
      <w:pPr>
        <w:spacing w:before="200" w:after="80"/>
      </w:pPr>
      <w:r>
        <w:rPr>
          <w:rFonts w:ascii="Calibri" w:cs="Calibri" w:eastAsia="Calibri" w:hAnsi="Calibri"/>
          <w:b/>
          <w:bCs/>
          <w:color w:val="006064"/>
          <w:sz w:val="23"/>
          <w:szCs w:val="23"/>
        </w:rPr>
        <w:t xml:space="preserve">SC4.2 Pentest-Checkliste (OWASP WSTG) – Priorisiert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300"/>
        <w:gridCol w:w="1326"/>
      </w:tblGrid>
      <w:tr>
        <w:trPr>
          <w:tblHeader/>
        </w:trPr>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WSTG-Kategorie</w:t>
            </w:r>
          </w:p>
        </w:tc>
        <w:tc>
          <w:tcPr>
            <w:tcW w:type="dxa" w:w="3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Testfall</w:t>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Priorität</w:t>
            </w:r>
          </w:p>
        </w:tc>
        <w:tc>
          <w:tcPr>
            <w:tcW w:type="dxa" w:w="13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Automatisierbar?</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OTG-AUTHN</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Brute-Force Login; Password-Policy; Account-Lockout; 2FA-Bypass</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KRITISCH</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Teilweise (ZAP)</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OTG-AUTHZ</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IDOR auf /api/wallets/{id}; Horizontal + Vertical Privilege Escalation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KRITISCH</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Manuell</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OTG-SESS</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Session-Hijacking; JWT-Tampering; Token-Expiry; Cookie-Flags</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KRITISCH</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Teilweise</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OTG-INPV</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SQL-Injection (via Prisma); GraphQL-Injection; Path-Traversal; XSS</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ZAP (automatisch)</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OTG-CRYP</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TLS-Version; Cipher-Suites; Zertifikat-Validierung; HSTS</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testssl.sh automatisch</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OTG-BUSLOGIC</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Tax-Berechnung manipulieren durch falschen Input; LP-Szenario-Umgehung</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Manuell</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OTG-CLNT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DOM-XSS; CSRF; Clickjacking (X-Frame-Options)</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ZAP + manuell</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OTG-ERRH</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Error-Messages mit Stack-Traces; Information-Leakage in API-Responses</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c>
          <w:tcPr>
            <w:tcW w:type="dxa" w:w="1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Manuell</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SC5. Incident-Response-Plan (IRP)</w:t>
      </w:r>
    </w:p>
    <w:p>
      <w:pPr>
        <w:spacing w:before="60" w:after="90"/>
      </w:pPr>
      <w:r>
        <w:rPr>
          <w:rFonts w:ascii="Calibri" w:cs="Calibri" w:eastAsia="Calibri" w:hAnsi="Calibri"/>
          <w:color w:val="212121"/>
          <w:sz w:val="21"/>
          <w:szCs w:val="21"/>
        </w:rPr>
        <w:t xml:space="preserve">Der Incident-Response-Plan definiert die strukturierten Abläufe bei Sicherheitsvorfällen. Er orientiert sich am NIST Cybersecurity Framework (Identify → Protect → Detect → Respond → Recover) und den deutschen Meldepflichten nach DSGVO Art. 33/34.</w:t>
      </w:r>
    </w:p>
    <w:p>
      <w:pPr>
        <w:spacing w:before="80" w:after="0"/>
      </w:pPr>
      <w:r>
        <w:t xml:space="preserve"/>
      </w:r>
    </w:p>
    <w:p>
      <w:pPr>
        <w:spacing w:before="200" w:after="80"/>
      </w:pPr>
      <w:r>
        <w:rPr>
          <w:rFonts w:ascii="Calibri" w:cs="Calibri" w:eastAsia="Calibri" w:hAnsi="Calibri"/>
          <w:b/>
          <w:bCs/>
          <w:color w:val="006064"/>
          <w:sz w:val="23"/>
          <w:szCs w:val="23"/>
        </w:rPr>
        <w:t xml:space="preserve">SC5.1 Incident-Klassifikation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1300"/>
        <w:gridCol w:w="1126"/>
      </w:tblGrid>
      <w:tr>
        <w:trPr>
          <w:tblHeader/>
        </w:trPr>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Severity</w:t>
            </w:r>
          </w:p>
        </w:tc>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Kriterien</w:t>
            </w:r>
          </w:p>
        </w:tc>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Beispiele</w:t>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Reaktionszeit</w:t>
            </w:r>
          </w:p>
        </w:tc>
        <w:tc>
          <w:tcPr>
            <w:tcW w:type="dxa" w:w="11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Eskalation</w:t>
            </w:r>
          </w:p>
        </w:tc>
      </w:tr>
      <w:tr>
        <w:tc>
          <w:tcPr>
            <w:tcW w:type="dxa" w:w="16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P1 – Kritisch</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Datenleak &gt; 100 Nutzer; Systemkompromittierung; Production-Ausfall &gt; 2h</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DB-Dump öffentlich; RCE in Production; DDoS-Ausfall</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15 Minuten erste Reaktion</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CTO + CEO sofort; BSI-Meldung; DSGVO-Meldung</w:t>
            </w:r>
          </w:p>
        </w:tc>
      </w:tr>
      <w:tr>
        <w:tc>
          <w:tcPr>
            <w:tcW w:type="dxa" w:w="16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P2 – Hoch</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Einzelner Datenleak; Auth-Bypass; Stagingkompromittierung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 Nutzer-Account kompromittiert; Staging-DB-Zugriff</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1 Stunde</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CTO + Dev-Lead</w:t>
            </w:r>
          </w:p>
        </w:tc>
      </w:tr>
      <w:tr>
        <w:tc>
          <w:tcPr>
            <w:tcW w:type="dxa" w:w="16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P3 – Mittel</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Vulnerability gefunden (kein aktiver Exploit); Performance-Degradation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Kritische CVE in Dependency; API-Latenz +500%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4 Stunden</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Dev-Lead</w:t>
            </w:r>
          </w:p>
        </w:tc>
      </w:tr>
      <w:tr>
        <w:tc>
          <w:tcPr>
            <w:tcW w:type="dxa" w:w="16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P4 – Niedrig</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Best-Practice-Abweichung; Informational Security Finding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Missing Security-Header; veraltete TLS-Version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24 Stunden</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Nächster Sprint</w:t>
            </w:r>
          </w:p>
        </w:tc>
      </w:tr>
    </w:tbl>
    <w:p>
      <w:pPr>
        <w:spacing w:before="80" w:after="0"/>
      </w:pPr>
      <w:r>
        <w:t xml:space="preserve"/>
      </w:r>
    </w:p>
    <w:p>
      <w:pPr>
        <w:spacing w:before="200" w:after="80"/>
      </w:pPr>
      <w:r>
        <w:rPr>
          <w:rFonts w:ascii="Calibri" w:cs="Calibri" w:eastAsia="Calibri" w:hAnsi="Calibri"/>
          <w:b/>
          <w:bCs/>
          <w:color w:val="006064"/>
          <w:sz w:val="23"/>
          <w:szCs w:val="23"/>
        </w:rPr>
        <w:t xml:space="preserve">SC5.2 P1-Incident Response Playbook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1800"/>
        <w:gridCol w:w="826"/>
      </w:tblGrid>
      <w:tr>
        <w:trPr>
          <w:tblHeader/>
        </w:trPr>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Phase</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Zeitrahmen</w:t>
            </w:r>
          </w:p>
        </w:tc>
        <w:tc>
          <w:tcPr>
            <w:tcW w:type="dxa" w:w="3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Aktion</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Verantwortlich</w:t>
            </w:r>
          </w:p>
        </w:tc>
        <w:tc>
          <w:tcPr>
            <w:tcW w:type="dxa" w:w="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Dokumentation</w:t>
            </w:r>
          </w:p>
        </w:tc>
      </w:tr>
      <w:tr>
        <w:tc>
          <w:tcPr>
            <w:tcW w:type="dxa" w:w="18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Detection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T+0</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Alert via PagerDuty ausgelöst; Incident-Channel in Slack öffnen (#incident-critical)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On-Call Dev</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Incident-Ticket erstellen (GitHub)</w:t>
            </w:r>
          </w:p>
        </w:tc>
      </w:tr>
      <w:tr>
        <w:tc>
          <w:tcPr>
            <w:tcW w:type="dxa" w:w="18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Initial Assessment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T+15 Min</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Scope bestimmen: Welche Systeme betroffen? Welche Daten? Öffentlich oder intern?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CTO</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Assessment im Ticket dokumentieren</w:t>
            </w:r>
          </w:p>
        </w:tc>
      </w:tr>
      <w:tr>
        <w:tc>
          <w:tcPr>
            <w:tcW w:type="dxa" w:w="18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Containment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T+30 Min</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Betroffene Services isolieren (Hetzner Firewall-Regel sofort); verdächtige IPs sperren; Sessions invalidieren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DevOps + CTO</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Maßnahmen mit Timestamp loggen</w:t>
            </w:r>
          </w:p>
        </w:tc>
      </w:tr>
      <w:tr>
        <w:tc>
          <w:tcPr>
            <w:tcW w:type="dxa" w:w="18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Evidence Preservation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T+30 Min</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Server-Logs sichern (immutable snapshot); DB-Backup erstellen; forensische Kopie des Audit-Logs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DevOps</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Hash der Beweissicherung dokumentieren</w:t>
            </w:r>
          </w:p>
        </w:tc>
      </w:tr>
      <w:tr>
        <w:tc>
          <w:tcPr>
            <w:tcW w:type="dxa" w:w="18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DSGVO Meldung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T+24h (max 72h)</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Meldung an zuständige Datenschutzbehörde wenn personenbezogene Daten betroffen (Art. 33 DSGVO)</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CEO + Datenschutzbeauftragter</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Meldung archivieren</w:t>
            </w:r>
          </w:p>
        </w:tc>
      </w:tr>
      <w:tr>
        <w:tc>
          <w:tcPr>
            <w:tcW w:type="dxa" w:w="18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Nutzer-Benachrichtigung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T+72h (wenn nötig)</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Betroffene Nutzer informieren (Art. 34 DSGVO) wenn hohes Risiko für Betroffene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CEO + CTO</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E-Mail-Template; Nachweis der Zustellung</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Eradication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T+4h – T+48h</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Ursache beseitigen; Patch deployen; Zugangsdaten rotieren; Zero-Trust-Review</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Dev-Team</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Patch-Commit mit Security-Label</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Recovery</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T+24h – T+72h</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Services schrittweise wiederherstellen; Smoke-Tests; Nutzer-Kommunikation über Status-Page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DevOps + CTO</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Go-Live-Freigabe dokumentiert</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Post-Mortem</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T+7 Tage</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Root-Cause-Analysis; Was haben wir gelernt? Prozessverbesserungen?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Gesamtes Team</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Post-Mortem-Dokument in GitHub Wiki</w:t>
            </w:r>
          </w:p>
        </w:tc>
      </w:tr>
    </w:tbl>
    <w:p>
      <w:pPr>
        <w:spacing w:before="80" w:after="0"/>
      </w:pPr>
      <w:r>
        <w:t xml:space="preserve"/>
      </w:r>
    </w:p>
    <w:p>
      <w:pPr>
        <w:spacing w:before="200" w:after="80"/>
      </w:pPr>
      <w:r>
        <w:rPr>
          <w:rFonts w:ascii="Calibri" w:cs="Calibri" w:eastAsia="Calibri" w:hAnsi="Calibri"/>
          <w:b/>
          <w:bCs/>
          <w:color w:val="006064"/>
          <w:sz w:val="23"/>
          <w:szCs w:val="23"/>
        </w:rPr>
        <w:t xml:space="preserve">SC5.3 DSGVO-Meldepflicht Checkliste (Art. 33 &amp; 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200"/>
        <w:gridCol w:w="2000"/>
        <w:gridCol w:w="726"/>
      </w:tblGrid>
      <w:tr>
        <w:trPr>
          <w:tblHeader/>
        </w:trPr>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DSGVO-Pflicht</w:t>
            </w:r>
          </w:p>
        </w:tc>
        <w:tc>
          <w:tcPr>
            <w:tcW w:type="dxa" w:w="1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Frist</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Voraussetzung</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Inhalt der Meldung</w:t>
            </w:r>
          </w:p>
        </w:tc>
        <w:tc>
          <w:tcPr>
            <w:tcW w:type="dxa" w:w="7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Zuständige Behörde</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Meldung an Aufsichtsbehörde (Art. 33)</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72 Stunden nach Kenntnis</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Jeder Datenschutzvorfall mit Risiko für Betroffene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Art der Verletzung, betroffene Datenkategorien, Anzahl Betroffene, ergriffene Maßnahmen</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LfDI Baden-Württemberg (Stuttgart)</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Benachrichtigung Betroffener (Art. 34)</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Unverzüglich</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Nur wenn voraussichtlich hohes Risiko für Betroffene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Klare Beschreibung des Vorfalls, Empfehlungen für Betroffene, Kontaktdaten DSB</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Direkt an betroffene Nutzer (E-Mail)</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Interne Dokumentation (Art. 33 Abs. 5)</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Dauerhaft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Immer – auch wenn keine externe Meldepflicht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Vollständige interne Dokumentation aller Vorfälle inkl. Nicht-Meldungen mit Begründung</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Internes Datenschutz-Register</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SC6. Business-Continuity-Plan (BCP) &amp; Disaster Recovery (DR)</w:t>
      </w:r>
    </w:p>
    <w:p>
      <w:pPr>
        <w:spacing w:before="60" w:after="90"/>
      </w:pPr>
      <w:r>
        <w:rPr>
          <w:rFonts w:ascii="Calibri" w:cs="Calibri" w:eastAsia="Calibri" w:hAnsi="Calibri"/>
          <w:color w:val="212121"/>
          <w:sz w:val="21"/>
          <w:szCs w:val="21"/>
        </w:rPr>
        <w:t xml:space="preserve">Der BCP/DR-Plan sichert die Betriebsfähigkeit bei unvorhergesehenen Ereignissen wie Serverausfällen, Datenverlust oder regionalen Infrastrukturproblemen. Die Recovery-Ziele orientieren sich an den SLA-Versprechen gegenüber Nutzern.</w:t>
      </w:r>
    </w:p>
    <w:p>
      <w:pPr>
        <w:spacing w:before="80" w:after="0"/>
      </w:pPr>
      <w:r>
        <w:t xml:space="preserve"/>
      </w:r>
    </w:p>
    <w:p>
      <w:pPr>
        <w:spacing w:before="200" w:after="80"/>
      </w:pPr>
      <w:r>
        <w:rPr>
          <w:rFonts w:ascii="Calibri" w:cs="Calibri" w:eastAsia="Calibri" w:hAnsi="Calibri"/>
          <w:b/>
          <w:bCs/>
          <w:color w:val="006064"/>
          <w:sz w:val="23"/>
          <w:szCs w:val="23"/>
        </w:rPr>
        <w:t xml:space="preserve">SC6.1 Recovery-Ziele (RTO &amp; RPO)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1700"/>
        <w:gridCol w:w="926"/>
      </w:tblGrid>
      <w:tr>
        <w:trPr>
          <w:tblHeader/>
        </w:trPr>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Nutzersegment</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Recovery Time Objective (RTO)</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Recovery Point Objective (RPO)</w:t>
            </w:r>
          </w:p>
        </w:tc>
        <w:tc>
          <w:tcPr>
            <w:tcW w:type="dxa" w:w="1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SLA-Versprechen</w:t>
            </w:r>
          </w:p>
        </w:tc>
        <w:tc>
          <w:tcPr>
            <w:tcW w:type="dxa" w:w="9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Begründung</w:t>
            </w:r>
          </w:p>
        </w:tc>
      </w:tr>
      <w:tr>
        <w:tc>
          <w:tcPr>
            <w:tcW w:type="dxa" w:w="22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B2C (Privatanleger)</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4 Stunden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 Stunde</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99,5% Verfügbarkeit</w:t>
            </w:r>
          </w:p>
        </w:tc>
        <w:tc>
          <w:tcPr>
            <w:tcW w:type="dxa" w:w="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Nutzung ist nicht zeitkritisch</w:t>
            </w:r>
          </w:p>
        </w:tc>
      </w:tr>
      <w:tr>
        <w:tc>
          <w:tcPr>
            <w:tcW w:type="dxa" w:w="22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B2B (Steuerberater / Kanzlei)</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 Stunde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15 Minuten</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99,9% Verfügbarkeit (SLA)</w:t>
            </w:r>
          </w:p>
        </w:tc>
        <w:tc>
          <w:tcPr>
            <w:tcW w:type="dxa" w:w="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Steuererklärungsfristen sind kritisch (31.07.)</w:t>
            </w:r>
          </w:p>
        </w:tc>
      </w:tr>
      <w:tr>
        <w:tc>
          <w:tcPr>
            <w:tcW w:type="dxa" w:w="22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Steuerberechnungs-Engine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 Stunden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0 Minuten (kein Datenverlust)</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&gt; 99,9% Konsistenz</w:t>
            </w:r>
          </w:p>
        </w:tc>
        <w:tc>
          <w:tcPr>
            <w:tcW w:type="dxa" w:w="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Steuerliche Konsequenzen bei Datenverlust</w:t>
            </w:r>
          </w:p>
        </w:tc>
      </w:tr>
      <w:tr>
        <w:tc>
          <w:tcPr>
            <w:tcW w:type="dxa" w:w="22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Audit-Log</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0 Stunden (sofort, append-only)</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0 Minuten (Echtzeit-Replikation)</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 Verfügbarkeit / Integrität</w:t>
            </w:r>
          </w:p>
        </w:tc>
        <w:tc>
          <w:tcPr>
            <w:tcW w:type="dxa" w:w="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GoBD: Unveränderlichkeit, Vollständigkeit</w:t>
            </w:r>
          </w:p>
        </w:tc>
      </w:tr>
    </w:tbl>
    <w:p>
      <w:pPr>
        <w:spacing w:before="80" w:after="0"/>
      </w:pPr>
      <w:r>
        <w:t xml:space="preserve"/>
      </w:r>
    </w:p>
    <w:p>
      <w:pPr>
        <w:spacing w:before="200" w:after="80"/>
      </w:pPr>
      <w:r>
        <w:rPr>
          <w:rFonts w:ascii="Calibri" w:cs="Calibri" w:eastAsia="Calibri" w:hAnsi="Calibri"/>
          <w:b/>
          <w:bCs/>
          <w:color w:val="006064"/>
          <w:sz w:val="23"/>
          <w:szCs w:val="23"/>
        </w:rPr>
        <w:t xml:space="preserve">SC6.2 Disaster-Recovery-Szenarien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2900"/>
        <w:gridCol w:w="7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Szenario</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Wahrscheinlichkeit</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Auswirkung</w:t>
            </w:r>
          </w:p>
        </w:tc>
        <w:tc>
          <w:tcPr>
            <w:tcW w:type="dxa" w:w="29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Recovery-Prozess</w:t>
            </w:r>
          </w:p>
        </w:tc>
        <w:tc>
          <w:tcPr>
            <w:tcW w:type="dxa" w:w="7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Recovery-Zeit</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 Nürnberg Rechenzentrum-Ausfall</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niedrig (&lt; 0,1%/Jahr)</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Komplett-Ausfall aller Services</w:t>
            </w:r>
          </w:p>
        </w:tc>
        <w:tc>
          <w:tcPr>
            <w:tcW w:type="dxa" w:w="2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Failover auf Hetzner Helsinki (Backup-Region); DR-Skript automatisiert</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4 Stunden (RTO)</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PostgreSQL-Datenbankkorruption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niedrig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Datenverlust + Service-Ausfall</w:t>
            </w:r>
          </w:p>
        </w:tc>
        <w:tc>
          <w:tcPr>
            <w:tcW w:type="dxa" w:w="2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Letztes Hetzner-Backup (täglich) + binlog-basiertes Point-in-Time-Recovery</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2 Stunden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DDoS-Angriff auf API</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Performance-Degradation bis Ausfall</w:t>
            </w:r>
          </w:p>
        </w:tc>
        <w:tc>
          <w:tcPr>
            <w:tcW w:type="dxa" w:w="2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 DDoS-Schutz (automatisch) + Cloudflare (optional) + Rate-Limiting-Verschärfung</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30 Minuten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Kompromittierter npm-Package (Supply Chain)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Potenziell RCE in Production</w:t>
            </w:r>
          </w:p>
        </w:tc>
        <w:tc>
          <w:tcPr>
            <w:tcW w:type="dxa" w:w="2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Sofort-Rollback auf vorheriges Docker-Image; Dependency entfernen; Full-Audit</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1 Stunde (mit Downtime)</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Versehentliche Datenlöschung (Operator Error)</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Datenverlust (variabel)</w:t>
            </w:r>
          </w:p>
        </w:tc>
        <w:tc>
          <w:tcPr>
            <w:tcW w:type="dxa" w:w="2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Point-in-Time-Recovery via PostgreSQL WAL-Archiv (S3)</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30 Minuten + Datenverlust bis RPO</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Private Key / Secret Leak in GitHub</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Mögliche Kompromittierung</w:t>
            </w:r>
          </w:p>
        </w:tc>
        <w:tc>
          <w:tcPr>
            <w:tcW w:type="dxa" w:w="2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Sofort: Secret rotieren (Hetzner KMS, Env-Vars, API-Keys). Audit ob ausgenutzt. Repository-Purge.</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&gt; 2 Stunden vollständige Bereinigung</w:t>
            </w:r>
          </w:p>
        </w:tc>
      </w:tr>
    </w:tbl>
    <w:p>
      <w:pPr>
        <w:spacing w:before="80" w:after="0"/>
      </w:pPr>
      <w:r>
        <w:t xml:space="preserve"/>
      </w:r>
    </w:p>
    <w:p>
      <w:pPr>
        <w:spacing w:before="200" w:after="80"/>
      </w:pPr>
      <w:r>
        <w:rPr>
          <w:rFonts w:ascii="Calibri" w:cs="Calibri" w:eastAsia="Calibri" w:hAnsi="Calibri"/>
          <w:b/>
          <w:bCs/>
          <w:color w:val="006064"/>
          <w:sz w:val="23"/>
          <w:szCs w:val="23"/>
        </w:rPr>
        <w:t xml:space="preserve">SC6.3 Backup-Strategie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2000"/>
        <w:gridCol w:w="8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Datenkategorie</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Backup-Frequenz</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Aufbewahrung</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Methode</w:t>
            </w:r>
          </w:p>
        </w:tc>
        <w:tc>
          <w:tcPr>
            <w:tcW w:type="dxa" w:w="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Wiederherstellungstest</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PostgreSQL (alle Tabellen)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Täglich (04:00 UTC)</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30 Tage täglich, 12 Monate monatlich</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 Managed Backup + pg_dump nach S3</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Monatlicher DR-Test (Restore auf Staging)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PostgreSQL WAL (binlog)</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Kontinuierlich (Streaming)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 Tage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WAL-Archivierung nach Hetzner S3 (Nürnberg)</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Wöchentlicher PITR-Test</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Redis (Cache + Queue)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Backup nötig (rebuildbar)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N/A</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BullMQ-Jobs sind idempotent; neustart reicht</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N/A</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 S3 (Exports + Audit-Log)</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Kontinuierlich (append)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 Jahre (GoBD)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 Object Storage + S3-Versionierung aktiviert</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Jährlicher Restore-Test</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Docker Images</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Jeder Build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Letzte 20 Images</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 Registry</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Automatisch (Deploy-Rollback im CI)</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Konfiguration / Secrets</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Backup (Hetzner Vault)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Unbegrenzt (KMS)</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 KMS + GitHub Secrets</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Bei jedem Deploy implizit getestet</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SC7. Compliance-Zertifizierungsroadmap</w:t>
      </w:r>
    </w:p>
    <w:p>
      <w:pPr>
        <w:spacing w:before="60" w:after="90"/>
      </w:pPr>
      <w:r>
        <w:rPr>
          <w:rFonts w:ascii="Calibri" w:cs="Calibri" w:eastAsia="Calibri" w:hAnsi="Calibri"/>
          <w:color w:val="212121"/>
          <w:sz w:val="21"/>
          <w:szCs w:val="21"/>
        </w:rPr>
        <w:t xml:space="preserve">Die Zertifizierungsroadmap zeigt den geplanten Weg von der initialen Compliance (MVP-Launch) zur vollständigen Unternehmenszertifizierung (Enterprise-Markt). Jede Zertifizierung wird priorisiert nach: Markterfordernis, Kosten/Nutzen und technischer Voraussetzung.</w:t>
      </w:r>
    </w:p>
    <w:p>
      <w:pPr>
        <w:spacing w:before="80" w:after="0"/>
      </w:pPr>
      <w:r>
        <w:t xml:space="preserve"/>
      </w:r>
    </w:p>
    <w:p>
      <w:pPr>
        <w:spacing w:before="200" w:after="80"/>
      </w:pPr>
      <w:r>
        <w:rPr>
          <w:rFonts w:ascii="Calibri" w:cs="Calibri" w:eastAsia="Calibri" w:hAnsi="Calibri"/>
          <w:b/>
          <w:bCs/>
          <w:color w:val="006064"/>
          <w:sz w:val="23"/>
          <w:szCs w:val="23"/>
        </w:rPr>
        <w:t xml:space="preserve">SC7.1 Compliance-Framework-Übersicht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1500"/>
        <w:gridCol w:w="726"/>
      </w:tblGrid>
      <w:tr>
        <w:trPr>
          <w:tblHeader/>
        </w:trPr>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Framework / Norm</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Relevanz für Tool</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Umfang</w:t>
            </w:r>
          </w:p>
        </w:tc>
        <w:tc>
          <w:tcPr>
            <w:tcW w:type="dxa" w:w="1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Geschätzte Kosten</w:t>
            </w:r>
          </w:p>
        </w:tc>
        <w:tc>
          <w:tcPr>
            <w:tcW w:type="dxa" w:w="7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Zeitplan</w:t>
            </w:r>
          </w:p>
        </w:tc>
      </w:tr>
      <w:tr>
        <w:tc>
          <w:tcPr>
            <w:tcW w:type="dxa" w:w="28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DSGVO (Art. 5, 24, 25, 32)</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Gesetzespflicht (DE/EU)</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Vollständige Umsetzung vor Launch</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Intern (Rechtsberatung ~€ 2.000)</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P1 MVP – Sept 2026 (Pflicht)</w:t>
            </w:r>
          </w:p>
        </w:tc>
      </w:tr>
      <w:tr>
        <w:tc>
          <w:tcPr>
            <w:tcW w:type="dxa" w:w="28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GoBD (BMF 28.11.2019)</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Gesetzespflicht für B2B-Buchführung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Audit-Log, Unveränderlichkeit, Exportformate</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Intern (DB-Design)</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P1 MVP (integriert)</w:t>
            </w:r>
          </w:p>
        </w:tc>
      </w:tr>
      <w:tr>
        <w:tc>
          <w:tcPr>
            <w:tcW w:type="dxa" w:w="28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BSI IT-Grundschutz (Basis)</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DACH-Markt-Differenzierung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Basis-Sicherheitsmaßnahmen gemäß BSI</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~€ 3.000–5.000 (Berater)</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P3 Launch – Sept 2026</w:t>
            </w:r>
          </w:p>
        </w:tc>
      </w:tr>
      <w:tr>
        <w:tc>
          <w:tcPr>
            <w:tcW w:type="dxa" w:w="28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ISO/IEC 27001:2022</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Enterprise B2B-Anforderung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ISMS (Information Security Management System)</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~€ 15.000–30.000 (Zertifizierung)</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P4 Skalierung – Q2 2027</w:t>
            </w:r>
          </w:p>
        </w:tc>
      </w:tr>
      <w:tr>
        <w:tc>
          <w:tcPr>
            <w:tcW w:type="dxa" w:w="28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SOC 2 Type I</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Internationale B2B-Anforderung (US-Markt)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Security, Availability, Confidentiality Trust Principles</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~€ 10.000–20.000</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P4 Skalierung – Q3 2027</w:t>
            </w:r>
          </w:p>
        </w:tc>
      </w:tr>
      <w:tr>
        <w:tc>
          <w:tcPr>
            <w:tcW w:type="dxa" w:w="2800"/>
            <w:tcBorders>
              <w:top w:val="single" w:color="CFD8DC" w:sz="1"/>
              <w:left w:val="single" w:color="CFD8DC" w:sz="1"/>
              <w:bottom w:val="single" w:color="CFD8DC" w:sz="1"/>
              <w:right w:val="single" w:color="CFD8DC" w:sz="1"/>
            </w:tcBorders>
            <w:shd w:fill="E8EAF6" w:val="clear"/>
            <w:tcMar>
              <w:top w:type="dxa" w:w="80"/>
              <w:left w:type="dxa" w:w="130"/>
              <w:bottom w:type="dxa" w:w="80"/>
              <w:right w:type="dxa" w:w="80"/>
            </w:tcMar>
          </w:tcPr>
          <w:p>
            <w:pPr>
              <w:jc w:val="left"/>
            </w:pPr>
            <w:r>
              <w:rPr>
                <w:rFonts w:ascii="Calibri" w:cs="Calibri" w:eastAsia="Calibri" w:hAnsi="Calibri"/>
                <w:b/>
                <w:bCs/>
                <w:color w:val="283593"/>
                <w:sz w:val="20"/>
                <w:szCs w:val="20"/>
              </w:rPr>
              <w:t xml:space="preserve">SOC 2 Type II</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Enterprise-Abschlüsse (große Kanzleien)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12-monatiges Beobachtungsfenster für SOC 2 Type I</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~€ 15.000–25.000</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Phase 5 – 2028</w:t>
            </w:r>
          </w:p>
        </w:tc>
      </w:tr>
      <w:tr>
        <w:tc>
          <w:tcPr>
            <w:tcW w:type="dxa" w:w="2800"/>
            <w:tcBorders>
              <w:top w:val="single" w:color="CFD8DC" w:sz="1"/>
              <w:left w:val="single" w:color="CFD8DC" w:sz="1"/>
              <w:bottom w:val="single" w:color="CFD8DC" w:sz="1"/>
              <w:right w:val="single" w:color="CFD8DC" w:sz="1"/>
            </w:tcBorders>
            <w:shd w:fill="E8EAF6" w:val="clear"/>
            <w:tcMar>
              <w:top w:type="dxa" w:w="80"/>
              <w:left w:type="dxa" w:w="130"/>
              <w:bottom w:type="dxa" w:w="80"/>
              <w:right w:type="dxa" w:w="80"/>
            </w:tcMar>
          </w:tcPr>
          <w:p>
            <w:pPr>
              <w:jc w:val="left"/>
            </w:pPr>
            <w:r>
              <w:rPr>
                <w:rFonts w:ascii="Calibri" w:cs="Calibri" w:eastAsia="Calibri" w:hAnsi="Calibri"/>
                <w:b/>
                <w:bCs/>
                <w:color w:val="283593"/>
                <w:sz w:val="20"/>
                <w:szCs w:val="20"/>
              </w:rPr>
              <w:t xml:space="preserve">eIDAS 2.0 / Qualified Trust Service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EU Electronic Signature für Steuerberichte (optional)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QES-Integration in PDF-Exports</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~€ 5.000 + laufende Kosten</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Phase 5 – 2028+</w:t>
            </w:r>
          </w:p>
        </w:tc>
      </w:tr>
    </w:tbl>
    <w:p>
      <w:pPr>
        <w:spacing w:before="80" w:after="0"/>
      </w:pPr>
      <w:r>
        <w:t xml:space="preserve"/>
      </w:r>
    </w:p>
    <w:p>
      <w:pPr>
        <w:spacing w:before="200" w:after="80"/>
      </w:pPr>
      <w:r>
        <w:rPr>
          <w:rFonts w:ascii="Calibri" w:cs="Calibri" w:eastAsia="Calibri" w:hAnsi="Calibri"/>
          <w:b/>
          <w:bCs/>
          <w:color w:val="006064"/>
          <w:sz w:val="23"/>
          <w:szCs w:val="23"/>
        </w:rPr>
        <w:t xml:space="preserve">SC7.2 ISO 27001 – Umsetzungsplan (Phase 4)</w:t>
      </w:r>
    </w:p>
    <w:p>
      <w:pPr>
        <w:spacing w:before="60" w:after="90"/>
      </w:pPr>
      <w:r>
        <w:rPr>
          <w:rFonts w:ascii="Calibri" w:cs="Calibri" w:eastAsia="Calibri" w:hAnsi="Calibri"/>
          <w:color w:val="212121"/>
          <w:sz w:val="21"/>
          <w:szCs w:val="21"/>
        </w:rPr>
        <w:t xml:space="preserve">ISO 27001:2022 ist der internationale Standard für Informationssicherheits-Managementsysteme (ISMS). Die Zertifizierung ist für B2B-Kanzlei-Kunden und institutionelle Nutzer häufig Pflichtvoraussetzung.</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626"/>
      </w:tblGrid>
      <w:tr>
        <w:trPr>
          <w:tblHeader/>
        </w:trPr>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ISO 27001 Domäne (Annex A)</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Relevanz für DeFi Tracker</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Aktuelle Lücken</w:t>
            </w:r>
          </w:p>
        </w:tc>
        <w:tc>
          <w:tcPr>
            <w:tcW w:type="dxa" w:w="26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Maßnahmen Phase 4</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A.5 – Informationssicherheitsrichtlinien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Formale Richtlinien fehlen</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Sicherheitsrichtlinien-Dokument erstellen und verabschieden</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A.6 – Organisation der Informationssicherheit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formaler Security-Officer</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Security-Lead formell benennen; RACI-Matrix</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A.8 – Asset Management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Asset-Register (Software, Daten, Infrastruktur)</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Asset-Inventar erstellen: Server, Datenbanken, APIs, Kundendaten-Kategorien</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A.9 – Zugriffskontrolle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RBAC implementiert; formale Review fehlt</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Vierteljährliche Access-Reviews; Least-Privilege-Policy formalisieren</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A.10 – Kryptografie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AES-256 + Argon2 implementiert; Key-Management formal dokumentieren</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Key-Management-Policy; Rotation-Prozedur; HSM-Bewertung</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A.12 – Betriebssicherheit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CI/CD vorhanden; Change-Management-Prozess fehlt</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Formaler Change-Management-Prozess; Patch-SLA dokumentiert</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A.16 – Informationssicherheitsvorfälle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IRP vorhanden (SC5); formale Übungen fehlen</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Jährliche IRP-Übung (Tabletop); Metriken zu Vorfallsantwortzeiten</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A.17 – Business Continuity</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BCP/DR dokumentiert (SC6); Testnachweise fehlen</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Jährlicher DR-Test; Ergebnis-Dokumentation für Audit</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A.18 – Compliance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DSGVO, GoBD implementiert; formale Compliance-Überprüfungen fehlen</w:t>
            </w:r>
          </w:p>
        </w:tc>
        <w:tc>
          <w:tcPr>
            <w:tcW w:type="dxa" w:w="2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Jährliches Compliance-Audit; Legal-Review aller Datenschutzdokumente</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SC8. Schlüsselmanagement-Architektur (Key Management)</w:t>
      </w:r>
    </w:p>
    <w:p>
      <w:pPr>
        <w:spacing w:before="60" w:after="90"/>
      </w:pPr>
      <w:r>
        <w:rPr>
          <w:rFonts w:ascii="Calibri" w:cs="Calibri" w:eastAsia="Calibri" w:hAnsi="Calibri"/>
          <w:color w:val="212121"/>
          <w:sz w:val="21"/>
          <w:szCs w:val="21"/>
        </w:rPr>
        <w:t xml:space="preserve">Das Schlüsselmanagement ist kritisch für die DSGVO-konforme Verschlüsselung von Wallet-Daten und den Schutz von API-Schlüsseln. Die Architektur folgt dem Envelope-Encryption-Prinzip.</w:t>
      </w:r>
    </w:p>
    <w:p>
      <w:pPr>
        <w:spacing w:before="80" w:after="0"/>
      </w:pPr>
      <w:r>
        <w:t xml:space="preserve"/>
      </w:r>
    </w:p>
    <w:p>
      <w:pPr>
        <w:spacing w:before="200" w:after="80"/>
      </w:pPr>
      <w:r>
        <w:rPr>
          <w:rFonts w:ascii="Calibri" w:cs="Calibri" w:eastAsia="Calibri" w:hAnsi="Calibri"/>
          <w:b/>
          <w:bCs/>
          <w:color w:val="006064"/>
          <w:sz w:val="23"/>
          <w:szCs w:val="23"/>
        </w:rPr>
        <w:t xml:space="preserve">SC8.1 Envelope-Encryption-Architektur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63238" w:sz="2"/>
              <w:left w:val="single" w:color="263238" w:sz="2"/>
              <w:bottom w:val="single" w:color="263238" w:sz="2"/>
              <w:right w:val="single" w:color="263238" w:sz="2"/>
            </w:tcBorders>
            <w:shd w:fill="1E2A3A" w:val="clear"/>
            <w:tcMar>
              <w:top w:type="dxa" w:w="120"/>
              <w:left w:type="dxa" w:w="200"/>
              <w:bottom w:type="dxa" w:w="120"/>
              <w:right w:type="dxa" w:w="160"/>
            </w:tcMar>
          </w:tcPr>
          <w:p>
            <w:pPr>
              <w:spacing w:before="0" w:after="18"/>
            </w:pPr>
            <w:r>
              <w:rPr>
                <w:rFonts w:ascii="Courier New" w:cs="Courier New" w:eastAsia="Courier New" w:hAnsi="Courier New"/>
                <w:color w:val="A8D8EA"/>
                <w:sz w:val="17"/>
                <w:szCs w:val="17"/>
              </w:rPr>
              <w:t xml:space="preserve">/**</w:t>
            </w:r>
          </w:p>
          <w:p>
            <w:pPr>
              <w:spacing w:before="0" w:after="18"/>
            </w:pPr>
            <w:r>
              <w:rPr>
                <w:rFonts w:ascii="Courier New" w:cs="Courier New" w:eastAsia="Courier New" w:hAnsi="Courier New"/>
                <w:color w:val="A8D8EA"/>
                <w:sz w:val="17"/>
                <w:szCs w:val="17"/>
              </w:rPr>
              <w:t xml:space="preserve"> * Envelope Encryption – Zweistufige Schlüsselhierarchie</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 * Master Key (KMS): Hetzner Key Management Service</w:t>
            </w:r>
          </w:p>
          <w:p>
            <w:pPr>
              <w:spacing w:before="0" w:after="18"/>
            </w:pPr>
            <w:r>
              <w:rPr>
                <w:rFonts w:ascii="Courier New" w:cs="Courier New" w:eastAsia="Courier New" w:hAnsi="Courier New"/>
                <w:color w:val="A8D8EA"/>
                <w:sz w:val="17"/>
                <w:szCs w:val="17"/>
              </w:rPr>
              <w:t xml:space="preserve"> *   └── Data Encryption Key (DEK): Generiert pro Nutzer-Datensatz</w:t>
            </w:r>
          </w:p>
          <w:p>
            <w:pPr>
              <w:spacing w:before="0" w:after="18"/>
            </w:pPr>
            <w:r>
              <w:rPr>
                <w:rFonts w:ascii="Courier New" w:cs="Courier New" w:eastAsia="Courier New" w:hAnsi="Courier New"/>
                <w:color w:val="A8D8EA"/>
                <w:sz w:val="17"/>
                <w:szCs w:val="17"/>
              </w:rPr>
              <w:t xml:space="preserve"> *         └── Verschlüsselte Daten: wallet_address, portfolio_value etc.</w:t>
            </w:r>
          </w:p>
          <w:p>
            <w:pPr>
              <w:spacing w:before="0" w:after="18"/>
            </w:pPr>
            <w:r>
              <w:rPr>
                <w:rFonts w:ascii="Courier New" w:cs="Courier New" w:eastAsia="Courier New" w:hAnsi="Courier New"/>
                <w:color w:val="A8D8EA"/>
                <w:sz w:val="17"/>
                <w:szCs w:val="17"/>
              </w:rPr>
              <w:t xml:space="preserve"> */</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Schritt 1: DEK generieren (einmalig pro Nutzer bei Registrierung)</w:t>
            </w:r>
          </w:p>
          <w:p>
            <w:pPr>
              <w:spacing w:before="0" w:after="18"/>
            </w:pPr>
            <w:r>
              <w:rPr>
                <w:rFonts w:ascii="Courier New" w:cs="Courier New" w:eastAsia="Courier New" w:hAnsi="Courier New"/>
                <w:color w:val="A8D8EA"/>
                <w:sz w:val="17"/>
                <w:szCs w:val="17"/>
              </w:rPr>
              <w:t xml:space="preserve">const dek = crypto.randomBytes(32);              // 256-bit AES-Key</w:t>
            </w:r>
          </w:p>
          <w:p>
            <w:pPr>
              <w:spacing w:before="0" w:after="18"/>
            </w:pPr>
            <w:r>
              <w:rPr>
                <w:rFonts w:ascii="Courier New" w:cs="Courier New" w:eastAsia="Courier New" w:hAnsi="Courier New"/>
                <w:color w:val="A8D8EA"/>
                <w:sz w:val="17"/>
                <w:szCs w:val="17"/>
              </w:rPr>
              <w:t xml:space="preserve">const encryptedDEK = await hetznerKMS.encrypt(dek, MASTER_KEY_ID);</w:t>
            </w:r>
          </w:p>
          <w:p>
            <w:pPr>
              <w:spacing w:before="0" w:after="18"/>
            </w:pPr>
            <w:r>
              <w:rPr>
                <w:rFonts w:ascii="Courier New" w:cs="Courier New" w:eastAsia="Courier New" w:hAnsi="Courier New"/>
                <w:color w:val="A8D8EA"/>
                <w:sz w:val="17"/>
                <w:szCs w:val="17"/>
              </w:rPr>
              <w:t xml:space="preserve">await db.users.update({ encryptedDEK });          // Verschlüsselter DEK in DB</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Schritt 2: Daten verschlüsseln (write path)</w:t>
            </w:r>
          </w:p>
          <w:p>
            <w:pPr>
              <w:spacing w:before="0" w:after="18"/>
            </w:pPr>
            <w:r>
              <w:rPr>
                <w:rFonts w:ascii="Courier New" w:cs="Courier New" w:eastAsia="Courier New" w:hAnsi="Courier New"/>
                <w:color w:val="A8D8EA"/>
                <w:sz w:val="17"/>
                <w:szCs w:val="17"/>
              </w:rPr>
              <w:t xml:space="preserve">async function encryptWalletAddress(walletAddress: string, userId: string) {</w:t>
            </w:r>
          </w:p>
          <w:p>
            <w:pPr>
              <w:spacing w:before="0" w:after="18"/>
            </w:pPr>
            <w:r>
              <w:rPr>
                <w:rFonts w:ascii="Courier New" w:cs="Courier New" w:eastAsia="Courier New" w:hAnsi="Courier New"/>
                <w:color w:val="A8D8EA"/>
                <w:sz w:val="17"/>
                <w:szCs w:val="17"/>
              </w:rPr>
              <w:t xml:space="preserve">  const encryptedDEK = await db.users.getEncryptedDEK(userId);</w:t>
            </w:r>
          </w:p>
          <w:p>
            <w:pPr>
              <w:spacing w:before="0" w:after="18"/>
            </w:pPr>
            <w:r>
              <w:rPr>
                <w:rFonts w:ascii="Courier New" w:cs="Courier New" w:eastAsia="Courier New" w:hAnsi="Courier New"/>
                <w:color w:val="A8D8EA"/>
                <w:sz w:val="17"/>
                <w:szCs w:val="17"/>
              </w:rPr>
              <w:t xml:space="preserve">  const dek = await hetznerKMS.decrypt(encryptedDEK, MASTER_KEY_ID);</w:t>
            </w:r>
          </w:p>
          <w:p>
            <w:pPr>
              <w:spacing w:before="0" w:after="18"/>
            </w:pPr>
            <w:r>
              <w:rPr>
                <w:rFonts w:ascii="Courier New" w:cs="Courier New" w:eastAsia="Courier New" w:hAnsi="Courier New"/>
                <w:color w:val="A8D8EA"/>
                <w:sz w:val="17"/>
                <w:szCs w:val="17"/>
              </w:rPr>
              <w:t xml:space="preserve">  const { iv, ciphertext, tag } = aes256gcm.encrypt(walletAddress, dek);</w:t>
            </w:r>
          </w:p>
          <w:p>
            <w:pPr>
              <w:spacing w:before="0" w:after="18"/>
            </w:pPr>
            <w:r>
              <w:rPr>
                <w:rFonts w:ascii="Courier New" w:cs="Courier New" w:eastAsia="Courier New" w:hAnsi="Courier New"/>
                <w:color w:val="A8D8EA"/>
                <w:sz w:val="17"/>
                <w:szCs w:val="17"/>
              </w:rPr>
              <w:t xml:space="preserve">  return { iv, ciphertext, tag };  // Gespeichert in DB</w:t>
            </w:r>
          </w:p>
          <w:p>
            <w:pPr>
              <w:spacing w:before="0" w:after="18"/>
            </w:pPr>
            <w:r>
              <w:rPr>
                <w:rFonts w:ascii="Courier New" w:cs="Courier New" w:eastAsia="Courier New" w:hAnsi="Courier New"/>
                <w:color w:val="A8D8EA"/>
                <w:sz w:val="17"/>
                <w:szCs w:val="17"/>
              </w:rPr>
              <w:t xml:space="preserve">}</w:t>
            </w:r>
          </w:p>
          <w:p>
            <w:pPr>
              <w:spacing w:before="0" w:after="18"/>
            </w:pPr>
            <w:r>
              <w:rPr>
                <w:rFonts w:ascii="Courier New" w:cs="Courier New" w:eastAsia="Courier New" w:hAnsi="Courier New"/>
                <w:color w:val="A8D8EA"/>
                <w:sz w:val="17"/>
                <w:szCs w:val="17"/>
              </w:rPr>
              <w:t xml:space="preserve"/>
            </w:r>
          </w:p>
          <w:p>
            <w:pPr>
              <w:spacing w:before="0" w:after="18"/>
            </w:pPr>
            <w:r>
              <w:rPr>
                <w:rFonts w:ascii="Courier New" w:cs="Courier New" w:eastAsia="Courier New" w:hAnsi="Courier New"/>
                <w:color w:val="A8D8EA"/>
                <w:sz w:val="17"/>
                <w:szCs w:val="17"/>
              </w:rPr>
              <w:t xml:space="preserve">// Schritt 3: Key Rotation (jährlich oder bei Kompromittierung)</w:t>
            </w:r>
          </w:p>
          <w:p>
            <w:pPr>
              <w:spacing w:before="0" w:after="18"/>
            </w:pPr>
            <w:r>
              <w:rPr>
                <w:rFonts w:ascii="Courier New" w:cs="Courier New" w:eastAsia="Courier New" w:hAnsi="Courier New"/>
                <w:color w:val="A8D8EA"/>
                <w:sz w:val="17"/>
                <w:szCs w:val="17"/>
              </w:rPr>
              <w:t xml:space="preserve">async function rotateUserDEK(userId: string) {</w:t>
            </w:r>
          </w:p>
          <w:p>
            <w:pPr>
              <w:spacing w:before="0" w:after="18"/>
            </w:pPr>
            <w:r>
              <w:rPr>
                <w:rFonts w:ascii="Courier New" w:cs="Courier New" w:eastAsia="Courier New" w:hAnsi="Courier New"/>
                <w:color w:val="A8D8EA"/>
                <w:sz w:val="17"/>
                <w:szCs w:val="17"/>
              </w:rPr>
              <w:t xml:space="preserve">  const newDEK = crypto.randomBytes(32);</w:t>
            </w:r>
          </w:p>
          <w:p>
            <w:pPr>
              <w:spacing w:before="0" w:after="18"/>
            </w:pPr>
            <w:r>
              <w:rPr>
                <w:rFonts w:ascii="Courier New" w:cs="Courier New" w:eastAsia="Courier New" w:hAnsi="Courier New"/>
                <w:color w:val="A8D8EA"/>
                <w:sz w:val="17"/>
                <w:szCs w:val="17"/>
              </w:rPr>
              <w:t xml:space="preserve">  const newEncryptedDEK = await hetznerKMS.encrypt(newDEK, NEW_MASTER_KEY_ID);</w:t>
            </w:r>
          </w:p>
          <w:p>
            <w:pPr>
              <w:spacing w:before="0" w:after="18"/>
            </w:pPr>
            <w:r>
              <w:rPr>
                <w:rFonts w:ascii="Courier New" w:cs="Courier New" w:eastAsia="Courier New" w:hAnsi="Courier New"/>
                <w:color w:val="A8D8EA"/>
                <w:sz w:val="17"/>
                <w:szCs w:val="17"/>
              </w:rPr>
              <w:t xml:space="preserve">  // Re-encrypt alle User-Daten mit neuem DEK...</w:t>
            </w:r>
          </w:p>
          <w:p>
            <w:pPr>
              <w:spacing w:before="0" w:after="18"/>
            </w:pPr>
            <w:r>
              <w:rPr>
                <w:rFonts w:ascii="Courier New" w:cs="Courier New" w:eastAsia="Courier New" w:hAnsi="Courier New"/>
                <w:color w:val="A8D8EA"/>
                <w:sz w:val="17"/>
                <w:szCs w:val="17"/>
              </w:rPr>
              <w:t xml:space="preserve">  await auditLog.record('KEY_ROTATION', { userId, timestamp: Date.now() });</w:t>
            </w:r>
          </w:p>
          <w:p>
            <w:pPr>
              <w:spacing w:before="0" w:after="18"/>
            </w:pPr>
            <w:r>
              <w:rPr>
                <w:rFonts w:ascii="Courier New" w:cs="Courier New" w:eastAsia="Courier New" w:hAnsi="Courier New"/>
                <w:color w:val="A8D8EA"/>
                <w:sz w:val="17"/>
                <w:szCs w:val="17"/>
              </w:rPr>
              <w:t xml:space="preserve">}</w:t>
            </w:r>
          </w:p>
        </w:tc>
      </w:tr>
    </w:tbl>
    <w:p>
      <w:pPr>
        <w:spacing w:before="80" w:after="0"/>
      </w:pPr>
      <w:r>
        <w:t xml:space="preserve"/>
      </w:r>
    </w:p>
    <w:p>
      <w:pPr>
        <w:spacing w:before="200" w:after="80"/>
      </w:pPr>
      <w:r>
        <w:rPr>
          <w:rFonts w:ascii="Calibri" w:cs="Calibri" w:eastAsia="Calibri" w:hAnsi="Calibri"/>
          <w:b/>
          <w:bCs/>
          <w:color w:val="006064"/>
          <w:sz w:val="23"/>
          <w:szCs w:val="23"/>
        </w:rPr>
        <w:t xml:space="preserve">SC8.2 Secret-Management-Übersicht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1400"/>
        <w:gridCol w:w="1226"/>
      </w:tblGrid>
      <w:tr>
        <w:trPr>
          <w:tblHeader/>
        </w:trPr>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Secret-Typ</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Speicherort</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Zugriff</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Rotation-Frequenz</w:t>
            </w:r>
          </w:p>
        </w:tc>
        <w:tc>
          <w:tcPr>
            <w:tcW w:type="dxa" w:w="12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Kompromittierungs-Response</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Master Encryption Key</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 KMS (Hardware-backed)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Nur über KMS-API (nie im Memory exportierbar)</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Jährlich</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Sofortiger neuer KMS-Key; alle DEKs re-encrypten</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Database Password (PostgreSQL)</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GitHub Actions Secrets + Hetzner ENV</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Nur in Docker-Container; nie in Logs</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Vierteljährlich</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DB-Passwort ändern; alle Connections terminieren</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Redis Password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GitHub Actions Secrets + Hetzner ENV</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Nur über interne Docker-Netzwerk</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Vierteljährlich</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Redis FLUSHALL (falls verdächtig); Password rotieren</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CoinGecko / CMC API Keys</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GitHub Actions Secrets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Nur in price-service-Container</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Jährlich</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Neuen Key generieren; alten revoken</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JWT Signing Key (RS256)</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 Vault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Nur im api-gateway-Container; öffentlicher Key öffentlich</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Jährlich</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aktiven Sessions invalidieren; neuer Key-Pair</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NextAuth.js NEXTAUTH_SECRET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GitHub Actions Secrets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Nur in Next.js-Server-Component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Jährlich</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Session-Cookies invalidieren</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Hetzner API Token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GitHub Actions Secrets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Nur in CI/CD-Pipeline für Deploy</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Jährlich</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Token revoken; Deploy-Pipeline neu konfigurieren</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SC9. Security-Reifegradmodell (CMMI-basiert)</w:t>
      </w:r>
    </w:p>
    <w:p>
      <w:pPr>
        <w:spacing w:before="60" w:after="90"/>
      </w:pPr>
      <w:r>
        <w:rPr>
          <w:rFonts w:ascii="Calibri" w:cs="Calibri" w:eastAsia="Calibri" w:hAnsi="Calibri"/>
          <w:color w:val="212121"/>
          <w:sz w:val="21"/>
          <w:szCs w:val="21"/>
        </w:rPr>
        <w:t xml:space="preserve">Das Security-Reifegradmodell bewertet den aktuellen und geplanten Sicherheitsreifegrad des Tools auf einer 5-stufigen Skala (L1=Initial bis L5=Optimierend). Es orientiert sich am CMMI-Modell und dem NIST CSF.</w:t>
      </w:r>
    </w:p>
    <w:p>
      <w:pPr>
        <w:spacing w:before="80" w:after="0"/>
      </w:pPr>
      <w:r>
        <w:t xml:space="preserve"/>
      </w:r>
    </w:p>
    <w:p>
      <w:pPr>
        <w:spacing w:before="200" w:after="80"/>
      </w:pPr>
      <w:r>
        <w:rPr>
          <w:rFonts w:ascii="Calibri" w:cs="Calibri" w:eastAsia="Calibri" w:hAnsi="Calibri"/>
          <w:b/>
          <w:bCs/>
          <w:color w:val="006064"/>
          <w:sz w:val="23"/>
          <w:szCs w:val="23"/>
        </w:rPr>
        <w:t xml:space="preserve">SC9.1 Reifegrad-Definition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026"/>
      </w:tblGrid>
      <w:tr>
        <w:trPr>
          <w:tblHeader/>
        </w:trPr>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Level</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Bezeichnung</w:t>
            </w:r>
          </w:p>
        </w:tc>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Beschreibung</w:t>
            </w:r>
          </w:p>
        </w:tc>
        <w:tc>
          <w:tcPr>
            <w:tcW w:type="dxa" w:w="30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Typische Merkmale</w:t>
            </w:r>
          </w:p>
        </w:tc>
      </w:tr>
      <w:tr>
        <w:tc>
          <w:tcPr>
            <w:tcW w:type="dxa" w:w="14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L1 – Initial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Ad-hoc</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Sicherheit wird reaktiv behandelt; keine formalen Prozesse</w:t>
            </w:r>
          </w:p>
        </w:tc>
        <w:tc>
          <w:tcPr>
            <w:tcW w:type="dxa" w:w="3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Keine Dokumentation; Fixes nur nach Vorfällen</w:t>
            </w:r>
          </w:p>
        </w:tc>
      </w:tr>
      <w:tr>
        <w:tc>
          <w:tcPr>
            <w:tcW w:type="dxa" w:w="14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L2 – Managed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Reaktiv</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Grundlegende Sicherheitsmaßnahmen dokumentiert; noch nicht systematisch</w:t>
            </w:r>
          </w:p>
        </w:tc>
        <w:tc>
          <w:tcPr>
            <w:tcW w:type="dxa" w:w="3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Patch-SLA existiert; keine regelmäßigen Tests</w:t>
            </w:r>
          </w:p>
        </w:tc>
      </w:tr>
      <w:tr>
        <w:tc>
          <w:tcPr>
            <w:tcW w:type="dxa" w:w="14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L3 – Defined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Proaktiv</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Formale Sicherheitsprozesse definiert und gelebt; regelmäßige Tests</w:t>
            </w:r>
          </w:p>
        </w:tc>
        <w:tc>
          <w:tcPr>
            <w:tcW w:type="dxa" w:w="3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Pentest jährlich; IRP vorhanden; Schulungen</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L4 – Quantitatively Managed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Messbar</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Security-Metriken werden erhoben und zur Prozesssteuerung genutzt</w:t>
            </w:r>
          </w:p>
        </w:tc>
        <w:tc>
          <w:tcPr>
            <w:tcW w:type="dxa" w:w="3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MTTD/MTTR-KPIs; Security-Scorecard; Compliance-Audit</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L5 – Optimizing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Kontinuierlich</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Kontinuierliche Verbesserung; ISO 27001-zertifiziert; SOC2-attestiert</w:t>
            </w:r>
          </w:p>
        </w:tc>
        <w:tc>
          <w:tcPr>
            <w:tcW w:type="dxa" w:w="3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DevSecOps vollständig; Red-Team; Threat-Intel</w:t>
            </w:r>
          </w:p>
        </w:tc>
      </w:tr>
    </w:tbl>
    <w:p>
      <w:pPr>
        <w:spacing w:before="80" w:after="0"/>
      </w:pPr>
      <w:r>
        <w:t xml:space="preserve"/>
      </w:r>
    </w:p>
    <w:p>
      <w:pPr>
        <w:spacing w:before="200" w:after="80"/>
      </w:pPr>
      <w:r>
        <w:rPr>
          <w:rFonts w:ascii="Calibri" w:cs="Calibri" w:eastAsia="Calibri" w:hAnsi="Calibri"/>
          <w:b/>
          <w:bCs/>
          <w:color w:val="006064"/>
          <w:sz w:val="23"/>
          <w:szCs w:val="23"/>
        </w:rPr>
        <w:t xml:space="preserve">SC9.2 Aktueller &amp; Ziel-Reifegrad je Sicherheitsdomäne</w:t>
      </w:r>
    </w:p>
    <w:p>
      <w:pPr>
        <w:spacing w:before="60" w:after="90"/>
      </w:pPr>
      <w:r>
        <w:rPr>
          <w:rFonts w:ascii="Calibri" w:cs="Calibri" w:eastAsia="Calibri" w:hAnsi="Calibri"/>
          <w:color w:val="212121"/>
          <w:sz w:val="21"/>
          <w:szCs w:val="21"/>
        </w:rPr>
        <w:t xml:space="preserve">Legende: █ = Erreicht  ░ = Angestrebt  (Skala L0–L5)</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63238" w:sz="2"/>
              <w:left w:val="single" w:color="263238" w:sz="2"/>
              <w:bottom w:val="single" w:color="263238" w:sz="2"/>
              <w:right w:val="single" w:color="263238" w:sz="2"/>
            </w:tcBorders>
            <w:shd w:fill="0D1117" w:val="clear"/>
            <w:tcMar>
              <w:top w:type="dxa" w:w="140"/>
              <w:left w:type="dxa" w:w="220"/>
              <w:bottom w:type="dxa" w:w="140"/>
              <w:right w:type="dxa" w:w="180"/>
            </w:tcMar>
          </w:tcPr>
          <w:p>
            <w:pPr>
              <w:spacing w:before="0" w:after="30"/>
            </w:pPr>
            <w:r>
              <w:rPr>
                <w:rFonts w:ascii="Courier New" w:cs="Courier New" w:eastAsia="Courier New" w:hAnsi="Courier New"/>
                <w:b/>
                <w:bCs/>
                <w:color w:val="64748B"/>
                <w:sz w:val="18"/>
                <w:szCs w:val="18"/>
              </w:rPr>
              <w:t xml:space="preserve">Sicherheitsdomäne              MVP-Launch (Sept 2026)    Ziel Phase 4 (Q2 2027)</w:t>
            </w:r>
          </w:p>
          <w:p>
            <w:pPr>
              <w:spacing w:before="40" w:after="40"/>
            </w:pPr>
            <w:r>
              <w:rPr>
                <w:rFonts w:ascii="Courier New" w:cs="Courier New" w:eastAsia="Courier New" w:hAnsi="Courier New"/>
                <w:color w:val="212121"/>
                <w:sz w:val="19"/>
                <w:szCs w:val="19"/>
              </w:rPr>
              <w:t xml:space="preserve">Authentifizierung &amp; Auth           </w:t>
            </w:r>
            <w:r>
              <w:rPr>
                <w:rFonts w:ascii="Courier New" w:cs="Courier New" w:eastAsia="Courier New" w:hAnsi="Courier New"/>
                <w:color w:val="4ADE80"/>
                <w:sz w:val="19"/>
                <w:szCs w:val="19"/>
              </w:rPr>
              <w:t xml:space="preserve">███░░</w:t>
            </w:r>
            <w:r>
              <w:rPr>
                <w:rFonts w:ascii="Calibri" w:cs="Calibri" w:eastAsia="Calibri" w:hAnsi="Calibri"/>
                <w:b/>
                <w:bCs/>
                <w:color w:val="4ADE80"/>
                <w:sz w:val="19"/>
                <w:szCs w:val="19"/>
              </w:rPr>
              <w:t xml:space="preserve">  L3/5  </w:t>
            </w:r>
            <w:r>
              <w:rPr>
                <w:rFonts w:ascii="Calibri" w:cs="Calibri" w:eastAsia="Calibri" w:hAnsi="Calibri"/>
                <w:color w:val="546E7A"/>
                <w:sz w:val="18"/>
                <w:szCs w:val="18"/>
              </w:rPr>
              <w:t xml:space="preserve">Argon2id, JWT RS256, 2FA → Ziel: SSO + Hardware-Token</w:t>
            </w:r>
          </w:p>
          <w:p>
            <w:pPr>
              <w:spacing w:before="40" w:after="40"/>
            </w:pPr>
            <w:r>
              <w:rPr>
                <w:rFonts w:ascii="Courier New" w:cs="Courier New" w:eastAsia="Courier New" w:hAnsi="Courier New"/>
                <w:color w:val="212121"/>
                <w:sz w:val="19"/>
                <w:szCs w:val="19"/>
              </w:rPr>
              <w:t xml:space="preserve">Verschlüsselung                    </w:t>
            </w:r>
            <w:r>
              <w:rPr>
                <w:rFonts w:ascii="Courier New" w:cs="Courier New" w:eastAsia="Courier New" w:hAnsi="Courier New"/>
                <w:color w:val="4ADE80"/>
                <w:sz w:val="19"/>
                <w:szCs w:val="19"/>
              </w:rPr>
              <w:t xml:space="preserve">███░░</w:t>
            </w:r>
            <w:r>
              <w:rPr>
                <w:rFonts w:ascii="Calibri" w:cs="Calibri" w:eastAsia="Calibri" w:hAnsi="Calibri"/>
                <w:b/>
                <w:bCs/>
                <w:color w:val="4ADE80"/>
                <w:sz w:val="19"/>
                <w:szCs w:val="19"/>
              </w:rPr>
              <w:t xml:space="preserve">  L3/5  </w:t>
            </w:r>
            <w:r>
              <w:rPr>
                <w:rFonts w:ascii="Calibri" w:cs="Calibri" w:eastAsia="Calibri" w:hAnsi="Calibri"/>
                <w:color w:val="546E7A"/>
                <w:sz w:val="18"/>
                <w:szCs w:val="18"/>
              </w:rPr>
              <w:t xml:space="preserve">AES-256-GCM + KMS → Ziel: HSM + Key-Rotation-Automation</w:t>
            </w:r>
          </w:p>
          <w:p>
            <w:pPr>
              <w:spacing w:before="40" w:after="40"/>
            </w:pPr>
            <w:r>
              <w:rPr>
                <w:rFonts w:ascii="Courier New" w:cs="Courier New" w:eastAsia="Courier New" w:hAnsi="Courier New"/>
                <w:color w:val="212121"/>
                <w:sz w:val="19"/>
                <w:szCs w:val="19"/>
              </w:rPr>
              <w:t xml:space="preserve">Vulnerability Management           </w:t>
            </w:r>
            <w:r>
              <w:rPr>
                <w:rFonts w:ascii="Courier New" w:cs="Courier New" w:eastAsia="Courier New" w:hAnsi="Courier New"/>
                <w:color w:val="FACC15"/>
                <w:sz w:val="19"/>
                <w:szCs w:val="19"/>
              </w:rPr>
              <w:t xml:space="preserve">██░░░</w:t>
            </w:r>
            <w:r>
              <w:rPr>
                <w:rFonts w:ascii="Calibri" w:cs="Calibri" w:eastAsia="Calibri" w:hAnsi="Calibri"/>
                <w:b/>
                <w:bCs/>
                <w:color w:val="FACC15"/>
                <w:sz w:val="19"/>
                <w:szCs w:val="19"/>
              </w:rPr>
              <w:t xml:space="preserve">  L2/5  </w:t>
            </w:r>
            <w:r>
              <w:rPr>
                <w:rFonts w:ascii="Calibri" w:cs="Calibri" w:eastAsia="Calibri" w:hAnsi="Calibri"/>
                <w:color w:val="546E7A"/>
                <w:sz w:val="18"/>
                <w:szCs w:val="18"/>
              </w:rPr>
              <w:t xml:space="preserve">Dependabot + npm audit → Ziel: SAST + regelmäßiger Pentest</w:t>
            </w:r>
          </w:p>
          <w:p>
            <w:pPr>
              <w:spacing w:before="40" w:after="40"/>
            </w:pPr>
            <w:r>
              <w:rPr>
                <w:rFonts w:ascii="Courier New" w:cs="Courier New" w:eastAsia="Courier New" w:hAnsi="Courier New"/>
                <w:color w:val="212121"/>
                <w:sz w:val="19"/>
                <w:szCs w:val="19"/>
              </w:rPr>
              <w:t xml:space="preserve">Incident Response                  </w:t>
            </w:r>
            <w:r>
              <w:rPr>
                <w:rFonts w:ascii="Courier New" w:cs="Courier New" w:eastAsia="Courier New" w:hAnsi="Courier New"/>
                <w:color w:val="FACC15"/>
                <w:sz w:val="19"/>
                <w:szCs w:val="19"/>
              </w:rPr>
              <w:t xml:space="preserve">██░░░</w:t>
            </w:r>
            <w:r>
              <w:rPr>
                <w:rFonts w:ascii="Calibri" w:cs="Calibri" w:eastAsia="Calibri" w:hAnsi="Calibri"/>
                <w:b/>
                <w:bCs/>
                <w:color w:val="FACC15"/>
                <w:sz w:val="19"/>
                <w:szCs w:val="19"/>
              </w:rPr>
              <w:t xml:space="preserve">  L2/5  </w:t>
            </w:r>
            <w:r>
              <w:rPr>
                <w:rFonts w:ascii="Calibri" w:cs="Calibri" w:eastAsia="Calibri" w:hAnsi="Calibri"/>
                <w:color w:val="546E7A"/>
                <w:sz w:val="18"/>
                <w:szCs w:val="18"/>
              </w:rPr>
              <w:t xml:space="preserve">IRP dokumentiert → Ziel: Getesteter IRP + Tabletop-Übungen</w:t>
            </w:r>
          </w:p>
          <w:p>
            <w:pPr>
              <w:spacing w:before="40" w:after="40"/>
            </w:pPr>
            <w:r>
              <w:rPr>
                <w:rFonts w:ascii="Courier New" w:cs="Courier New" w:eastAsia="Courier New" w:hAnsi="Courier New"/>
                <w:color w:val="212121"/>
                <w:sz w:val="19"/>
                <w:szCs w:val="19"/>
              </w:rPr>
              <w:t xml:space="preserve">Logging &amp; Monitoring               </w:t>
            </w:r>
            <w:r>
              <w:rPr>
                <w:rFonts w:ascii="Courier New" w:cs="Courier New" w:eastAsia="Courier New" w:hAnsi="Courier New"/>
                <w:color w:val="4ADE80"/>
                <w:sz w:val="19"/>
                <w:szCs w:val="19"/>
              </w:rPr>
              <w:t xml:space="preserve">███░░</w:t>
            </w:r>
            <w:r>
              <w:rPr>
                <w:rFonts w:ascii="Calibri" w:cs="Calibri" w:eastAsia="Calibri" w:hAnsi="Calibri"/>
                <w:b/>
                <w:bCs/>
                <w:color w:val="4ADE80"/>
                <w:sz w:val="19"/>
                <w:szCs w:val="19"/>
              </w:rPr>
              <w:t xml:space="preserve">  L3/5  </w:t>
            </w:r>
            <w:r>
              <w:rPr>
                <w:rFonts w:ascii="Calibri" w:cs="Calibri" w:eastAsia="Calibri" w:hAnsi="Calibri"/>
                <w:color w:val="546E7A"/>
                <w:sz w:val="18"/>
                <w:szCs w:val="18"/>
              </w:rPr>
              <w:t xml:space="preserve">Prometheus + Grafana → Ziel: SIEM + Security-Event-Korrelation</w:t>
            </w:r>
          </w:p>
          <w:p>
            <w:pPr>
              <w:spacing w:before="40" w:after="40"/>
            </w:pPr>
            <w:r>
              <w:rPr>
                <w:rFonts w:ascii="Courier New" w:cs="Courier New" w:eastAsia="Courier New" w:hAnsi="Courier New"/>
                <w:color w:val="212121"/>
                <w:sz w:val="19"/>
                <w:szCs w:val="19"/>
              </w:rPr>
              <w:t xml:space="preserve">Business Continuity                </w:t>
            </w:r>
            <w:r>
              <w:rPr>
                <w:rFonts w:ascii="Courier New" w:cs="Courier New" w:eastAsia="Courier New" w:hAnsi="Courier New"/>
                <w:color w:val="FACC15"/>
                <w:sz w:val="19"/>
                <w:szCs w:val="19"/>
              </w:rPr>
              <w:t xml:space="preserve">██░░░</w:t>
            </w:r>
            <w:r>
              <w:rPr>
                <w:rFonts w:ascii="Calibri" w:cs="Calibri" w:eastAsia="Calibri" w:hAnsi="Calibri"/>
                <w:b/>
                <w:bCs/>
                <w:color w:val="FACC15"/>
                <w:sz w:val="19"/>
                <w:szCs w:val="19"/>
              </w:rPr>
              <w:t xml:space="preserve">  L2/5  </w:t>
            </w:r>
            <w:r>
              <w:rPr>
                <w:rFonts w:ascii="Calibri" w:cs="Calibri" w:eastAsia="Calibri" w:hAnsi="Calibri"/>
                <w:color w:val="546E7A"/>
                <w:sz w:val="18"/>
                <w:szCs w:val="18"/>
              </w:rPr>
              <w:t xml:space="preserve">BCP/DR dokumentiert → Ziel: Getesteter DR + RTO-Nachweis</w:t>
            </w:r>
          </w:p>
          <w:p>
            <w:pPr>
              <w:spacing w:before="40" w:after="40"/>
            </w:pPr>
            <w:r>
              <w:rPr>
                <w:rFonts w:ascii="Courier New" w:cs="Courier New" w:eastAsia="Courier New" w:hAnsi="Courier New"/>
                <w:color w:val="212121"/>
                <w:sz w:val="19"/>
                <w:szCs w:val="19"/>
              </w:rPr>
              <w:t xml:space="preserve">Compliance (DSGVO/GoBD)            </w:t>
            </w:r>
            <w:r>
              <w:rPr>
                <w:rFonts w:ascii="Courier New" w:cs="Courier New" w:eastAsia="Courier New" w:hAnsi="Courier New"/>
                <w:color w:val="4ADE80"/>
                <w:sz w:val="19"/>
                <w:szCs w:val="19"/>
              </w:rPr>
              <w:t xml:space="preserve">████░</w:t>
            </w:r>
            <w:r>
              <w:rPr>
                <w:rFonts w:ascii="Calibri" w:cs="Calibri" w:eastAsia="Calibri" w:hAnsi="Calibri"/>
                <w:b/>
                <w:bCs/>
                <w:color w:val="4ADE80"/>
                <w:sz w:val="19"/>
                <w:szCs w:val="19"/>
              </w:rPr>
              <w:t xml:space="preserve">  L4/5  </w:t>
            </w:r>
            <w:r>
              <w:rPr>
                <w:rFonts w:ascii="Calibri" w:cs="Calibri" w:eastAsia="Calibri" w:hAnsi="Calibri"/>
                <w:color w:val="546E7A"/>
                <w:sz w:val="18"/>
                <w:szCs w:val="18"/>
              </w:rPr>
              <w:t xml:space="preserve">Vollständig implementiert → Ziel: Formales Compliance-Audit</w:t>
            </w:r>
          </w:p>
          <w:p>
            <w:pPr>
              <w:spacing w:before="40" w:after="40"/>
            </w:pPr>
            <w:r>
              <w:rPr>
                <w:rFonts w:ascii="Courier New" w:cs="Courier New" w:eastAsia="Courier New" w:hAnsi="Courier New"/>
                <w:color w:val="212121"/>
                <w:sz w:val="19"/>
                <w:szCs w:val="19"/>
              </w:rPr>
              <w:t xml:space="preserve">Zertifizierungen                   </w:t>
            </w:r>
            <w:r>
              <w:rPr>
                <w:rFonts w:ascii="Courier New" w:cs="Courier New" w:eastAsia="Courier New" w:hAnsi="Courier New"/>
                <w:color w:val="F87171"/>
                <w:sz w:val="19"/>
                <w:szCs w:val="19"/>
              </w:rPr>
              <w:t xml:space="preserve">█░░░░</w:t>
            </w:r>
            <w:r>
              <w:rPr>
                <w:rFonts w:ascii="Calibri" w:cs="Calibri" w:eastAsia="Calibri" w:hAnsi="Calibri"/>
                <w:b/>
                <w:bCs/>
                <w:color w:val="F87171"/>
                <w:sz w:val="19"/>
                <w:szCs w:val="19"/>
              </w:rPr>
              <w:t xml:space="preserve">  L1/5  </w:t>
            </w:r>
            <w:r>
              <w:rPr>
                <w:rFonts w:ascii="Calibri" w:cs="Calibri" w:eastAsia="Calibri" w:hAnsi="Calibri"/>
                <w:color w:val="546E7A"/>
                <w:sz w:val="18"/>
                <w:szCs w:val="18"/>
              </w:rPr>
              <w:t xml:space="preserve">Keine Zertifizierung → Ziel: ISO 27001 + BSI-Grundschutz</w:t>
            </w:r>
          </w:p>
          <w:p>
            <w:pPr>
              <w:spacing w:before="40" w:after="40"/>
            </w:pPr>
            <w:r>
              <w:rPr>
                <w:rFonts w:ascii="Courier New" w:cs="Courier New" w:eastAsia="Courier New" w:hAnsi="Courier New"/>
                <w:color w:val="212121"/>
                <w:sz w:val="19"/>
                <w:szCs w:val="19"/>
              </w:rPr>
              <w:t xml:space="preserve">Supply Chain Security              </w:t>
            </w:r>
            <w:r>
              <w:rPr>
                <w:rFonts w:ascii="Courier New" w:cs="Courier New" w:eastAsia="Courier New" w:hAnsi="Courier New"/>
                <w:color w:val="FACC15"/>
                <w:sz w:val="19"/>
                <w:szCs w:val="19"/>
              </w:rPr>
              <w:t xml:space="preserve">██░░░</w:t>
            </w:r>
            <w:r>
              <w:rPr>
                <w:rFonts w:ascii="Calibri" w:cs="Calibri" w:eastAsia="Calibri" w:hAnsi="Calibri"/>
                <w:b/>
                <w:bCs/>
                <w:color w:val="FACC15"/>
                <w:sz w:val="19"/>
                <w:szCs w:val="19"/>
              </w:rPr>
              <w:t xml:space="preserve">  L2/5  </w:t>
            </w:r>
            <w:r>
              <w:rPr>
                <w:rFonts w:ascii="Calibri" w:cs="Calibri" w:eastAsia="Calibri" w:hAnsi="Calibri"/>
                <w:color w:val="546E7A"/>
                <w:sz w:val="18"/>
                <w:szCs w:val="18"/>
              </w:rPr>
              <w:t xml:space="preserve">Lockfile + Dependabot → Ziel: SBOM + Signierte Commits enforce</w:t>
            </w:r>
          </w:p>
          <w:p>
            <w:pPr>
              <w:spacing w:before="40" w:after="40"/>
            </w:pPr>
            <w:r>
              <w:rPr>
                <w:rFonts w:ascii="Courier New" w:cs="Courier New" w:eastAsia="Courier New" w:hAnsi="Courier New"/>
                <w:color w:val="212121"/>
                <w:sz w:val="19"/>
                <w:szCs w:val="19"/>
              </w:rPr>
              <w:t xml:space="preserve">Penetration Testing                </w:t>
            </w:r>
            <w:r>
              <w:rPr>
                <w:rFonts w:ascii="Courier New" w:cs="Courier New" w:eastAsia="Courier New" w:hAnsi="Courier New"/>
                <w:color w:val="F87171"/>
                <w:sz w:val="19"/>
                <w:szCs w:val="19"/>
              </w:rPr>
              <w:t xml:space="preserve">█░░░░</w:t>
            </w:r>
            <w:r>
              <w:rPr>
                <w:rFonts w:ascii="Calibri" w:cs="Calibri" w:eastAsia="Calibri" w:hAnsi="Calibri"/>
                <w:b/>
                <w:bCs/>
                <w:color w:val="F87171"/>
                <w:sz w:val="19"/>
                <w:szCs w:val="19"/>
              </w:rPr>
              <w:t xml:space="preserve">  L1/5  </w:t>
            </w:r>
            <w:r>
              <w:rPr>
                <w:rFonts w:ascii="Calibri" w:cs="Calibri" w:eastAsia="Calibri" w:hAnsi="Calibri"/>
                <w:color w:val="546E7A"/>
                <w:sz w:val="18"/>
                <w:szCs w:val="18"/>
              </w:rPr>
              <w:t xml:space="preserve">Kein Pentest → Ziel: Jährlicher externer Pentest + Bug Bounty</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thick" w:color="1B5E20" w:sz="18"/>
              <w:bottom w:val="single" w:color="1B5E20" w:sz="1"/>
              <w:right w:val="single" w:color="1B5E20" w:sz="1"/>
            </w:tcBorders>
            <w:shd w:fill="E8F5E9" w:val="clear"/>
            <w:tcMar>
              <w:top w:type="dxa" w:w="110"/>
              <w:left w:type="dxa" w:w="200"/>
              <w:bottom w:type="dxa" w:w="110"/>
              <w:right w:type="dxa" w:w="140"/>
            </w:tcMar>
          </w:tcPr>
          <w:p>
            <w:pPr>
              <w:spacing w:before="0" w:after="40"/>
            </w:pPr>
            <w:r>
              <w:rPr>
                <w:rFonts w:ascii="Calibri" w:cs="Calibri" w:eastAsia="Calibri" w:hAnsi="Calibri"/>
                <w:b/>
                <w:bCs/>
                <w:color w:val="1B5E20"/>
                <w:sz w:val="21"/>
                <w:szCs w:val="21"/>
              </w:rPr>
              <w:t xml:space="preserve">Gesamtbewertung Sicherheitsreifegrad</w:t>
            </w:r>
          </w:p>
          <w:p>
            <w:pPr>
              <w:spacing w:before="0" w:after="0"/>
            </w:pPr>
            <w:r>
              <w:rPr>
                <w:rFonts w:ascii="Calibri" w:cs="Calibri" w:eastAsia="Calibri" w:hAnsi="Calibri"/>
                <w:color w:val="212121"/>
                <w:sz w:val="20"/>
                <w:szCs w:val="20"/>
              </w:rPr>
              <w:t xml:space="preserve">MVP-Launch (September 2026): Durchschnittlicher Reifegrad L2,4 – ausreichend für B2C-Betrieb und regulatorische Grundanforderungen (DSGVO, GoBD). Phase 4 Ziel (Q2 2027): Durchschnittlicher Reifegrad L3,5 – ausreichend für B2B-Kanzlei-Kunden und institutionelle Anleger. ISO 27001 Zertifizierung (Q2 2027): Erhebt das Unternehmen auf L4 in allen relevanten Domänen.</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SC10. Haftungs- &amp; SLA-Analyse</w:t>
      </w:r>
    </w:p>
    <w:p>
      <w:pPr>
        <w:spacing w:before="60" w:after="90"/>
      </w:pPr>
      <w:r>
        <w:rPr>
          <w:rFonts w:ascii="Calibri" w:cs="Calibri" w:eastAsia="Calibri" w:hAnsi="Calibri"/>
          <w:color w:val="212121"/>
          <w:sz w:val="21"/>
          <w:szCs w:val="21"/>
        </w:rPr>
        <w:t xml:space="preserve">Als SaaS-Anbieter im steuerlich-regulierten Umfeld trägt NextGen IT Solutions GmbH spezifische Haftungsrisiken. Die folgende Analyse definiert Haftungsgrenzen, SLA-Verpflichtungen und rechtliche Schutzmechanismen.</w:t>
      </w:r>
    </w:p>
    <w:p>
      <w:pPr>
        <w:spacing w:before="80" w:after="0"/>
      </w:pPr>
      <w:r>
        <w:t xml:space="preserve"/>
      </w:r>
    </w:p>
    <w:p>
      <w:pPr>
        <w:spacing w:before="200" w:after="80"/>
      </w:pPr>
      <w:r>
        <w:rPr>
          <w:rFonts w:ascii="Calibri" w:cs="Calibri" w:eastAsia="Calibri" w:hAnsi="Calibri"/>
          <w:b/>
          <w:bCs/>
          <w:color w:val="006064"/>
          <w:sz w:val="23"/>
          <w:szCs w:val="23"/>
        </w:rPr>
        <w:t xml:space="preserve">SC10.1 Haftungsanalyse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2826"/>
      </w:tblGrid>
      <w:tr>
        <w:trPr>
          <w:tblHeader/>
        </w:trPr>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Haftungsrisiko</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Rechtsgrundlage</w:t>
            </w:r>
          </w:p>
        </w:tc>
        <w:tc>
          <w:tcPr>
            <w:tcW w:type="dxa" w:w="1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Risikohöhe</w:t>
            </w:r>
          </w:p>
        </w:tc>
        <w:tc>
          <w:tcPr>
            <w:tcW w:type="dxa" w:w="2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Schutzmaßnahme</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Falsche Steuerberechnung durch Software-Fehler</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280 BGB (Schlechtleistung)</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AGB-Disclaimer: 'Kein Ersatz für Steuerberatung'; Empfehlung zur Steuerberater-Prüfung bei jedem Export</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Datenschutzverletzung (Datenleak)</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Art. 82 DSGVO; § 280 BGB</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HOCH</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DSGVO-konforme AGB; Cyber-Versicherung ab Phase 3; DPA (AVV) mit Nutzern</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Falsche Graubereich-Einordnung (LP, CDP)</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675 BGB (Beratungsvertrag-ähnlich)</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Explizite Disclaimer bei jedem Graubereich-TX; Nutzer bestätigt Kenntnisnahme aktiv</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GoBD-Verletzung (für gewerbliche Nutzer)</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147 AO; § 379 AO</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Nur Werkzeug, kein Buchführungsdienstleister; Hinweis auf eigene Buchführungspflicht</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Ausfall während Steuerfrist (31.07.)</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SLA-Verletzung; § 280 BGB</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99,9%-SLA mit Kompensationsregelung; redundante Infrastruktur</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Falsche ELSTER-Daten (Phase 4)</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370 AO (Steuerhinterziehung, mittelbar)</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Klarer Disclaimer: Tool erstellt Vorschlag; Nutzer trägt Einreichungsverantwortung</w:t>
            </w:r>
          </w:p>
        </w:tc>
      </w:tr>
    </w:tbl>
    <w:p>
      <w:pPr>
        <w:spacing w:before="80" w:after="0"/>
      </w:pPr>
      <w:r>
        <w:t xml:space="preserve"/>
      </w:r>
    </w:p>
    <w:p>
      <w:pPr>
        <w:spacing w:before="200" w:after="80"/>
      </w:pPr>
      <w:r>
        <w:rPr>
          <w:rFonts w:ascii="Calibri" w:cs="Calibri" w:eastAsia="Calibri" w:hAnsi="Calibri"/>
          <w:b/>
          <w:bCs/>
          <w:color w:val="006064"/>
          <w:sz w:val="23"/>
          <w:szCs w:val="23"/>
        </w:rPr>
        <w:t xml:space="preserve">SC10.2 SLA-Definition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200"/>
        <w:gridCol w:w="1200"/>
        <w:gridCol w:w="2226"/>
      </w:tblGrid>
      <w:tr>
        <w:trPr>
          <w:tblHeader/>
        </w:trPr>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SLA-Metrik</w:t>
            </w:r>
          </w:p>
        </w:tc>
        <w:tc>
          <w:tcPr>
            <w:tcW w:type="dxa" w:w="11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Starter</w:t>
            </w:r>
          </w:p>
        </w:tc>
        <w:tc>
          <w:tcPr>
            <w:tcW w:type="dxa" w:w="11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Pro</w:t>
            </w:r>
          </w:p>
        </w:tc>
        <w:tc>
          <w:tcPr>
            <w:tcW w:type="dxa" w:w="1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Business</w:t>
            </w:r>
          </w:p>
        </w:tc>
        <w:tc>
          <w:tcPr>
            <w:tcW w:type="dxa" w:w="1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Kanzlei (B2B)</w:t>
            </w:r>
          </w:p>
        </w:tc>
        <w:tc>
          <w:tcPr>
            <w:tcW w:type="dxa" w:w="22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Kompensation bei Verletzung</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Verfügbarkeit (Uptime)</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99,0%</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99,5%</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99,9%</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99,95%</w:t>
            </w:r>
          </w:p>
        </w:tc>
        <w:tc>
          <w:tcPr>
            <w:tcW w:type="dxa" w:w="2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 Gutschrift je angefangenem 0,1% Unterschreitung</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Support-Reaktionszeit</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48h E-Mail</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24h E-Mail</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8h E-Mail</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2h Telefon + E-Mail</w:t>
            </w:r>
          </w:p>
        </w:tc>
        <w:tc>
          <w:tcPr>
            <w:tcW w:type="dxa" w:w="2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Keine finanzielle Kompensation; Best-Effort</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Sync-Latenz (TX-Erkennung)</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5 Min.</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2 Min.</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60 Sek.</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30 Sek.</w:t>
            </w:r>
          </w:p>
        </w:tc>
        <w:tc>
          <w:tcPr>
            <w:tcW w:type="dxa" w:w="2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Nur Monitoring; keine Kompensation</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Export-Generierung</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30 Sek.</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15 Sek.</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10 Sek.</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5 Sek.</w:t>
            </w:r>
          </w:p>
        </w:tc>
        <w:tc>
          <w:tcPr>
            <w:tcW w:type="dxa" w:w="2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Keine finanzielle Kompensation</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Datenverfügbarkeit</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Keine Garantie (Best-Effort)</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Täglich Backup</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Stündliches Backup-Snapshot</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PITR (15 Min. RPO)</w:t>
            </w:r>
          </w:p>
        </w:tc>
        <w:tc>
          <w:tcPr>
            <w:tcW w:type="dxa" w:w="2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 Gutschrift bei Datenverlust &gt; RPO</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Jährliche Gesamtkompensation (Cap)</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N/A</w:t>
            </w:r>
          </w:p>
        </w:tc>
        <w:tc>
          <w:tcPr>
            <w:tcW w:type="dxa" w:w="11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Max. 1 Monat Gebühr</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Max. 3 Monate Gebühr</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Max. 6 Monate Gebühr</w:t>
            </w:r>
          </w:p>
        </w:tc>
        <w:tc>
          <w:tcPr>
            <w:tcW w:type="dxa" w:w="2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Über Cap: kein Anspruch (AGB)</w:t>
            </w:r>
          </w:p>
        </w:tc>
      </w:tr>
    </w:tbl>
    <w:p>
      <w:pPr>
        <w:spacing w:before="200" w:after="0"/>
      </w:pPr>
      <w:r>
        <w:t xml:space="preserve"/>
      </w:r>
    </w:p>
    <w:p>
      <w:pPr>
        <w:pBdr>
          <w:top w:val="single" w:color="0D47A1" w:sz="4" w:space="8"/>
        </w:pBdr>
        <w:spacing w:before="200" w:after="0"/>
        <w:jc w:val="center"/>
      </w:pPr>
      <w:r>
        <w:rPr>
          <w:rFonts w:ascii="Calibri" w:cs="Calibri" w:eastAsia="Calibri" w:hAnsi="Calibri"/>
          <w:i/>
          <w:iCs/>
          <w:color w:val="999999"/>
          <w:sz w:val="17"/>
          <w:szCs w:val="17"/>
        </w:rPr>
        <w:t xml:space="preserve">Security- &amp; Compliance-Analyse – NextGen IT Solutions GmbH, Stuttgart · März 2026 · Alle rechtlichen Angaben ohne Gewähr. Kein Ersatz für rechtliche Beratung.</w:t>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2"/>
              <w:left w:val="single" w:color="0D47A1" w:sz="1"/>
              <w:bottom w:val="single" w:color="E65100" w:sz="6"/>
              <w:right w:val="single" w:color="0D47A1" w:sz="1"/>
            </w:tcBorders>
            <w:shd w:fill="0A3880" w:val="clear"/>
            <w:tcMar>
              <w:top w:type="dxa" w:w="160"/>
              <w:left w:type="dxa" w:w="280"/>
              <w:bottom w:type="dxa" w:w="160"/>
              <w:right w:type="dxa" w:w="200"/>
            </w:tcMar>
          </w:tcPr>
          <w:p>
            <w:pPr>
              <w:spacing w:before="0" w:after="40"/>
              <w:jc w:val="center"/>
            </w:pPr>
            <w:r>
              <w:rPr>
                <w:rFonts w:ascii="Calibri" w:cs="Calibri" w:eastAsia="Calibri" w:hAnsi="Calibri"/>
                <w:b/>
                <w:bCs/>
                <w:color w:val="FFFFFF"/>
                <w:sz w:val="40"/>
                <w:szCs w:val="40"/>
              </w:rPr>
              <w:t xml:space="preserve">GESCHÄFTSMODELL- &amp; MARKTANALYSE</w:t>
            </w:r>
          </w:p>
          <w:p>
            <w:pPr>
              <w:spacing w:before="0" w:after="0"/>
              <w:jc w:val="center"/>
            </w:pPr>
            <w:r>
              <w:rPr>
                <w:rFonts w:ascii="Calibri" w:cs="Calibri" w:eastAsia="Calibri" w:hAnsi="Calibri"/>
                <w:color w:val="B0C4DE"/>
                <w:sz w:val="22"/>
                <w:szCs w:val="22"/>
              </w:rPr>
              <w:t xml:space="preserve">Revenue-Modell · Unit Economics · Finanzprognose · Marktgröße · Customer Acquisition · Break-Even · Exit-Szenarien · Stand: März 2026</w:t>
            </w:r>
          </w:p>
        </w:tc>
      </w:tr>
    </w:tbl>
    <w:p>
      <w:pPr>
        <w:spacing w:before="200" w:after="0"/>
      </w:pPr>
      <w:r>
        <w:t xml:space="preserve"/>
      </w:r>
    </w:p>
    <w:p>
      <w:pPr>
        <w:pStyle w:val="Heading1"/>
        <w:pBdr>
          <w:bottom w:val="single" w:color="0D47A1" w:sz="4" w:space="6"/>
        </w:pBdr>
        <w:spacing w:before="360" w:after="160"/>
      </w:pPr>
      <w:r>
        <w:rPr>
          <w:rFonts w:ascii="Calibri" w:cs="Calibri" w:eastAsia="Calibri" w:hAnsi="Calibri"/>
          <w:b/>
          <w:bCs/>
          <w:color w:val="0D47A1"/>
          <w:sz w:val="36"/>
          <w:szCs w:val="36"/>
        </w:rPr>
        <w:t xml:space="preserve">GM1. Business-Model-Canvas</w:t>
      </w:r>
    </w:p>
    <w:p>
      <w:pPr>
        <w:spacing w:before="60" w:after="90"/>
      </w:pPr>
      <w:r>
        <w:rPr>
          <w:rFonts w:ascii="Calibri" w:cs="Calibri" w:eastAsia="Calibri" w:hAnsi="Calibri"/>
          <w:color w:val="212121"/>
          <w:sz w:val="21"/>
          <w:szCs w:val="21"/>
        </w:rPr>
        <w:t xml:space="preserve">Das Business-Model-Canvas nach Osterwalder &amp; Pigneur strukturiert das Geschäftsmodell des DeFi Tracker SaaS in neun Dimensionen. Es bildet die strategische Grundlage für alle nachfolgenden Finanz- und Marktanalysen.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Dimension</w:t>
            </w:r>
          </w:p>
        </w:tc>
        <w:tc>
          <w:tcPr>
            <w:tcW w:type="dxa" w:w="6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Inhalt</w:t>
            </w:r>
          </w:p>
        </w:tc>
      </w:tr>
      <w:tr>
        <w:tc>
          <w:tcPr>
            <w:tcW w:type="dxa" w:w="22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Kundensegmente</w:t>
            </w:r>
          </w:p>
        </w:tc>
        <w:tc>
          <w:tcPr>
            <w:tcW w:type="dxa" w:w="6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 DeFi-Privatanleger DE (Flare/Aave-Nutzer) · (2) Steuerberater &amp; Kanzleien (DACH) · (3) Institutionelle / Family Offices · (4) SaaS/FinTech-Entwickler (API-Nutzer)</w:t>
            </w:r>
          </w:p>
        </w:tc>
      </w:tr>
      <w:tr>
        <w:tc>
          <w:tcPr>
            <w:tcW w:type="dxa" w:w="22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Wertversprechen</w:t>
            </w:r>
          </w:p>
        </w:tc>
        <w:tc>
          <w:tcPr>
            <w:tcW w:type="dxa" w:w="6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Einzige DE-konforme Lösung für Flare-DeFi-Transaktionen · BMF 2025-konformes Steuertracking · CoinTracking-Export in &lt; 5 Min. · LP-Dual-Szenario · GoBD-Audit-Log · DAC8-Compliance</w:t>
            </w:r>
          </w:p>
        </w:tc>
      </w:tr>
      <w:tr>
        <w:tc>
          <w:tcPr>
            <w:tcW w:type="dxa" w:w="22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Kanäle</w:t>
            </w:r>
          </w:p>
        </w:tc>
        <w:tc>
          <w:tcPr>
            <w:tcW w:type="dxa" w:w="6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SEO (DeFi-Steuer-Keywords DE) · Flare Network Community (Discord/Telegram) · Steuerberater-Netzwerk · Google Ads (ab Phase 3) · Blocktrainer/BTC-Echo (PR) · CoinTracking-Partner</w:t>
            </w:r>
          </w:p>
        </w:tc>
      </w:tr>
      <w:tr>
        <w:tc>
          <w:tcPr>
            <w:tcW w:type="dxa" w:w="22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Kundenbeziehungen</w:t>
            </w:r>
          </w:p>
        </w:tc>
        <w:tc>
          <w:tcPr>
            <w:tcW w:type="dxa" w:w="6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Self-Service (B2C): Onboarding &lt; 5 Min., FAQ, Chat-Support · High-Touch (B2B): Dedizierter Account Manager, SLA, Schulungen · Community: GitHub-Diskussionen, Changelog-Newsletter</w:t>
            </w:r>
          </w:p>
        </w:tc>
      </w:tr>
      <w:tr>
        <w:tc>
          <w:tcPr>
            <w:tcW w:type="dxa" w:w="22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Einnahmequellen</w:t>
            </w:r>
          </w:p>
        </w:tc>
        <w:tc>
          <w:tcPr>
            <w:tcW w:type="dxa" w:w="6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 Monats-/Jahres-Abonnements (Starter €9,99 – Kanzlei €299,99) · (2) API-Nutzungsgebühren (Pay-per-Call ab P4) · (3) White-Label-Lizenzierung · (4) Steuerberater-Provisionen (Referral) · (5) Einmalzahlungen (ELSTER-Export)</w:t>
            </w:r>
          </w:p>
        </w:tc>
      </w:tr>
      <w:tr>
        <w:tc>
          <w:tcPr>
            <w:tcW w:type="dxa" w:w="22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Schlüsselressourcen</w:t>
            </w:r>
          </w:p>
        </w:tc>
        <w:tc>
          <w:tcPr>
            <w:tcW w:type="dxa" w:w="6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EVM-Indexierungs-Infrastruktur · Flare-FTSO-Integration · Steuerrechts-Know-how (BMF 2025) · ABI-Registry (6 Protokolle) · Kundenvertrauen / Marke · Team-Expertise (DeFi + DE-Steuerrecht)</w:t>
            </w:r>
          </w:p>
        </w:tc>
      </w:tr>
      <w:tr>
        <w:tc>
          <w:tcPr>
            <w:tcW w:type="dxa" w:w="22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Schlüsselaktivitäten</w:t>
            </w:r>
          </w:p>
        </w:tc>
        <w:tc>
          <w:tcPr>
            <w:tcW w:type="dxa" w:w="6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Protokoll-Integration &amp; Wartung · Steuerrechts-Updates (BMF, DAC8) · On-Chain-Indexierung (24/7) · CoinTracking-CSV-Validierung · Kundensupport · Security-Betrieb</w:t>
            </w:r>
          </w:p>
        </w:tc>
      </w:tr>
      <w:tr>
        <w:tc>
          <w:tcPr>
            <w:tcW w:type="dxa" w:w="22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Schlüsselpartner</w:t>
            </w:r>
          </w:p>
        </w:tc>
        <w:tc>
          <w:tcPr>
            <w:tcW w:type="dxa" w:w="6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Flare Network Foundation (Ecosystem Partner) · CoinTracking (Import-Partner) · Hetzner (Hosting) · The Graph Protocol (Subgraph) · Steuerberatungskanzleien (B2B-Reseller) · KPMG/PWC (Audit-Zertifizierung)</w:t>
            </w:r>
          </w:p>
        </w:tc>
      </w:tr>
      <w:tr>
        <w:tc>
          <w:tcPr>
            <w:tcW w:type="dxa" w:w="22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Kostenstruktur</w:t>
            </w:r>
          </w:p>
        </w:tc>
        <w:tc>
          <w:tcPr>
            <w:tcW w:type="dxa" w:w="6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Infrastruktur (Hetzner): €180–2.000/Monat (skalierend) · Personalkosten: € 62K–87K MVP · External APIs (CoinGecko, CMC): ~€200/Monat · Security (Pentest, Zertifizierung): ~€5K/Jahr · Support &amp; Operations: ~€2K/Monat ab Phase 3</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GM2. Revenue-Modell &amp; Monetarisierungsstrategien</w:t>
      </w:r>
    </w:p>
    <w:p>
      <w:pPr>
        <w:spacing w:before="60" w:after="90"/>
      </w:pPr>
      <w:r>
        <w:rPr>
          <w:rFonts w:ascii="Calibri" w:cs="Calibri" w:eastAsia="Calibri" w:hAnsi="Calibri"/>
          <w:color w:val="212121"/>
          <w:sz w:val="21"/>
          <w:szCs w:val="21"/>
        </w:rPr>
        <w:t xml:space="preserve">Das Tool verfolgt ein hybrides Revenue-Modell mit fünf Einnahmequellen. Die primäre Quelle sind wiederkehrende Abonnements (Subscription Revenue) mit hoher Predictability. Sekundäre Quellen (API, White-Label, ELSTER) skalieren verzögert, aber mit hohen Margen.</w:t>
      </w:r>
    </w:p>
    <w:p>
      <w:pPr>
        <w:spacing w:before="80" w:after="0"/>
      </w:pPr>
      <w:r>
        <w:t xml:space="preserve"/>
      </w:r>
    </w:p>
    <w:p>
      <w:pPr>
        <w:spacing w:before="200" w:after="80"/>
      </w:pPr>
      <w:r>
        <w:rPr>
          <w:rFonts w:ascii="Calibri" w:cs="Calibri" w:eastAsia="Calibri" w:hAnsi="Calibri"/>
          <w:b/>
          <w:bCs/>
          <w:color w:val="006064"/>
          <w:sz w:val="23"/>
          <w:szCs w:val="23"/>
        </w:rPr>
        <w:t xml:space="preserve">GM2.1 Subscription-Revenue-Modell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200"/>
        <w:gridCol w:w="1700"/>
        <w:gridCol w:w="2000"/>
        <w:gridCol w:w="1226"/>
      </w:tblGrid>
      <w:tr>
        <w:trPr>
          <w:tblHeader/>
        </w:trPr>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Tarif</w:t>
            </w:r>
          </w:p>
        </w:tc>
        <w:tc>
          <w:tcPr>
            <w:tcW w:type="dxa" w:w="1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Monatspreis</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Jahrespreis</w:t>
            </w:r>
          </w:p>
        </w:tc>
        <w:tc>
          <w:tcPr>
            <w:tcW w:type="dxa" w:w="1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TX-Limit</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Zielgruppe</w:t>
            </w:r>
          </w:p>
        </w:tc>
        <w:tc>
          <w:tcPr>
            <w:tcW w:type="dxa" w:w="12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Marge (Est.)</w:t>
            </w:r>
          </w:p>
        </w:tc>
      </w:tr>
      <w:tr>
        <w:tc>
          <w:tcPr>
            <w:tcW w:type="dxa" w:w="1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Starter</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€ 9,99</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€ 99 (–17% Rabatt)</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200 TX/Jahr</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DeFi-Einsteiger, XRP-Holder</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~85% (Infra-Kosten &lt; €1,50)</w:t>
            </w:r>
          </w:p>
        </w:tc>
      </w:tr>
      <w:tr>
        <w:tc>
          <w:tcPr>
            <w:tcW w:type="dxa" w:w="14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Pro</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€ 29,99</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€ 299 (–17% Rabatt)</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2.000 TX/Jahr</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Aktive DeFi-Nutzer, mehrere Protokolle</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~80%</w:t>
            </w:r>
          </w:p>
        </w:tc>
      </w:tr>
      <w:tr>
        <w:tc>
          <w:tcPr>
            <w:tcW w:type="dxa" w:w="14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Business</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€ 79,99</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€ 799 (–17% Rabatt)</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Unbegrenzt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Multi-Chain-Nutzer, institutionell</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~75%</w:t>
            </w:r>
          </w:p>
        </w:tc>
      </w:tr>
      <w:tr>
        <w:tc>
          <w:tcPr>
            <w:tcW w:type="dxa" w:w="14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Kanzlei (B2B)</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€ 299,99</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€ 2.999 (–17% Rabatt)</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Unbegrenzt + Multi-Mandant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Steuerberatungskanzleien</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~70% (Support-intensiv)</w:t>
            </w:r>
          </w:p>
        </w:tc>
      </w:tr>
      <w:tr>
        <w:tc>
          <w:tcPr>
            <w:tcW w:type="dxa" w:w="14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Enterprise (individuell)</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Ab € 999</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Individuell</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Unbegrenzt + White-Label + SLA</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Institutionelle, FinTech-Partner</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~65% (Customizing-Kosten)</w:t>
            </w:r>
          </w:p>
        </w:tc>
      </w:tr>
    </w:tbl>
    <w:p>
      <w:pPr>
        <w:spacing w:before="80" w:after="0"/>
      </w:pPr>
      <w:r>
        <w:t xml:space="preserve"/>
      </w:r>
    </w:p>
    <w:p>
      <w:pPr>
        <w:spacing w:before="200" w:after="80"/>
      </w:pPr>
      <w:r>
        <w:rPr>
          <w:rFonts w:ascii="Calibri" w:cs="Calibri" w:eastAsia="Calibri" w:hAnsi="Calibri"/>
          <w:b/>
          <w:bCs/>
          <w:color w:val="006064"/>
          <w:sz w:val="23"/>
          <w:szCs w:val="23"/>
        </w:rPr>
        <w:t xml:space="preserve">GM2.2 Weitere Einnahmequellen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1400"/>
        <w:gridCol w:w="826"/>
      </w:tblGrid>
      <w:tr>
        <w:trPr>
          <w:tblHeader/>
        </w:trPr>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Revenue-Quelle</w:t>
            </w:r>
          </w:p>
        </w:tc>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Beschreibung</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Preismodell</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Verfügbar ab</w:t>
            </w:r>
          </w:p>
        </w:tc>
        <w:tc>
          <w:tcPr>
            <w:tcW w:type="dxa" w:w="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Umsatzpotenzial (Jahr 2)</w:t>
            </w:r>
          </w:p>
        </w:tc>
      </w:tr>
      <w:tr>
        <w:tc>
          <w:tcPr>
            <w:tcW w:type="dxa" w:w="22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API-Nutzungsgebühren</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REST-API für Drittanbieter (Buchhaltungssoftware, eigene Apps)</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€ 0,002 / API-Call; Pakete ab € 99/Monat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Phase 4 (Q1 2027)</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€ 20.000–60.000</w:t>
            </w:r>
          </w:p>
        </w:tc>
      </w:tr>
      <w:tr>
        <w:tc>
          <w:tcPr>
            <w:tcW w:type="dxa" w:w="22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White-Label-Lizenz</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Rebranded Tool für Steuerberater-Kanzleien und FinTech-Startups</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Einmalig € 5.000–15.000 Setup + monatl. Lizenz</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Phase 4 (Q4 2026)</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€ 30.000–80.000</w:t>
            </w:r>
          </w:p>
        </w:tc>
      </w:tr>
      <w:tr>
        <w:tc>
          <w:tcPr>
            <w:tcW w:type="dxa" w:w="22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ELSTER-Export-Einmalfee</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Einmaliger ELSTER-XML-Export pro Steuerjahr (auch für Free-User)</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€ 9,99 pro Export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Phase 4 (Q1 2027)</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€ 15.000–40.000</w:t>
            </w:r>
          </w:p>
        </w:tc>
      </w:tr>
      <w:tr>
        <w:tc>
          <w:tcPr>
            <w:tcW w:type="dxa" w:w="22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Steuerberater-Referral</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Provision bei Nutzerempfehlung durch Kanzlei (CPA-Modell)</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15–20% Provision auf Jahres-Abo</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Phase 3 (Q4 2026)</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€ 10.000–25.000</w:t>
            </w:r>
          </w:p>
        </w:tc>
      </w:tr>
      <w:tr>
        <w:tc>
          <w:tcPr>
            <w:tcW w:type="dxa" w:w="22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Daten-Insights (Anon.)</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Anonymisierte DeFi-Nutzungsstatistiken für Forschung (Opt-in)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Forschungslizenzen € 500–5.000/Jahr</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Phase 5 (2028)</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€ 5.000–20.000</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GM3. Total Addressable Market – TAM/SAM/SOM Analyse</w:t>
      </w:r>
    </w:p>
    <w:p>
      <w:pPr>
        <w:spacing w:before="60" w:after="90"/>
      </w:pPr>
      <w:r>
        <w:rPr>
          <w:rFonts w:ascii="Calibri" w:cs="Calibri" w:eastAsia="Calibri" w:hAnsi="Calibri"/>
          <w:color w:val="212121"/>
          <w:sz w:val="21"/>
          <w:szCs w:val="21"/>
        </w:rPr>
        <w:t xml:space="preserve">Die Marktgrößen-Analyse unterscheidet drei konzentrische Märkte: TAM (gesamter adressierbarer Markt), SAM (relevanter Teilmarkt) und SOM (realistisch erreichbarer Markt in 3 Jahren). Alle Schätzungen basieren auf öffentlichen Marktdaten (Stand März 2026).</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FD8DC" w:sz="1"/>
              <w:left w:val="single" w:color="CFD8DC" w:sz="1"/>
              <w:bottom w:val="single" w:color="CFD8DC" w:sz="1"/>
              <w:right w:val="single" w:color="CFD8DC" w:sz="1"/>
            </w:tcBorders>
            <w:shd w:fill="E3F2FD" w:val="clear"/>
            <w:tcMar>
              <w:top w:type="dxa" w:w="100"/>
              <w:left w:type="dxa" w:w="140"/>
              <w:bottom w:type="dxa" w:w="100"/>
              <w:right w:type="dxa" w:w="100"/>
            </w:tcMar>
            <w:vAlign w:val="center"/>
          </w:tcPr>
          <w:p>
            <w:pPr>
              <w:jc w:val="center"/>
            </w:pPr>
            <w:r>
              <w:rPr>
                <w:rFonts w:ascii="Calibri" w:cs="Calibri" w:eastAsia="Calibri" w:hAnsi="Calibri"/>
                <w:color w:val="546E7A"/>
                <w:sz w:val="17"/>
                <w:szCs w:val="17"/>
              </w:rPr>
              <w:t xml:space="preserve">TAM – Gesamt DE Krypto-Steuer-Software</w:t>
            </w:r>
          </w:p>
          <w:p>
            <w:pPr>
              <w:jc w:val="center"/>
            </w:pPr>
            <w:r>
              <w:rPr>
                <w:rFonts w:ascii="Calibri" w:cs="Calibri" w:eastAsia="Calibri" w:hAnsi="Calibri"/>
                <w:b/>
                <w:bCs/>
                <w:color w:val="0D47A1"/>
                <w:sz w:val="28"/>
                <w:szCs w:val="28"/>
              </w:rPr>
              <w:t xml:space="preserve">€ 180–250M</w:t>
            </w:r>
          </w:p>
          <w:p>
            <w:pPr>
              <w:jc w:val="center"/>
            </w:pPr>
            <w:r>
              <w:rPr>
                <w:rFonts w:ascii="Calibri" w:cs="Calibri" w:eastAsia="Calibri" w:hAnsi="Calibri"/>
                <w:color w:val="546E7A"/>
                <w:sz w:val="17"/>
                <w:szCs w:val="17"/>
              </w:rPr>
              <w:t xml:space="preserve">Marktgröße 2026 (geschätzt)</w:t>
            </w:r>
          </w:p>
        </w:tc>
        <w:tc>
          <w:tcPr>
            <w:tcW w:type="dxa" w:w="3008"/>
            <w:tcBorders>
              <w:top w:val="single" w:color="CFD8DC" w:sz="1"/>
              <w:left w:val="single" w:color="CFD8DC" w:sz="1"/>
              <w:bottom w:val="single" w:color="CFD8DC" w:sz="1"/>
              <w:right w:val="single" w:color="CFD8DC" w:sz="1"/>
            </w:tcBorders>
            <w:shd w:fill="FFF8E1" w:val="clear"/>
            <w:tcMar>
              <w:top w:type="dxa" w:w="100"/>
              <w:left w:type="dxa" w:w="140"/>
              <w:bottom w:type="dxa" w:w="100"/>
              <w:right w:type="dxa" w:w="100"/>
            </w:tcMar>
            <w:vAlign w:val="center"/>
          </w:tcPr>
          <w:p>
            <w:pPr>
              <w:jc w:val="center"/>
            </w:pPr>
            <w:r>
              <w:rPr>
                <w:rFonts w:ascii="Calibri" w:cs="Calibri" w:eastAsia="Calibri" w:hAnsi="Calibri"/>
                <w:color w:val="546E7A"/>
                <w:sz w:val="17"/>
                <w:szCs w:val="17"/>
              </w:rPr>
              <w:t xml:space="preserve">SAM – DeFi-fokussierte Steuer-Tools DE</w:t>
            </w:r>
          </w:p>
          <w:p>
            <w:pPr>
              <w:jc w:val="center"/>
            </w:pPr>
            <w:r>
              <w:rPr>
                <w:rFonts w:ascii="Calibri" w:cs="Calibri" w:eastAsia="Calibri" w:hAnsi="Calibri"/>
                <w:b/>
                <w:bCs/>
                <w:color w:val="E65100"/>
                <w:sz w:val="28"/>
                <w:szCs w:val="28"/>
              </w:rPr>
              <w:t xml:space="preserve">€ 35–55M</w:t>
            </w:r>
          </w:p>
          <w:p>
            <w:pPr>
              <w:jc w:val="center"/>
            </w:pPr>
            <w:r>
              <w:rPr>
                <w:rFonts w:ascii="Calibri" w:cs="Calibri" w:eastAsia="Calibri" w:hAnsi="Calibri"/>
                <w:color w:val="546E7A"/>
                <w:sz w:val="17"/>
                <w:szCs w:val="17"/>
              </w:rPr>
              <w:t xml:space="preserve">Relevanter Teilmarkt</w:t>
            </w:r>
          </w:p>
        </w:tc>
        <w:tc>
          <w:tcPr>
            <w:tcW w:type="dxa" w:w="3010"/>
            <w:tcBorders>
              <w:top w:val="single" w:color="CFD8DC" w:sz="1"/>
              <w:left w:val="single" w:color="CFD8DC" w:sz="1"/>
              <w:bottom w:val="single" w:color="CFD8DC" w:sz="1"/>
              <w:right w:val="single" w:color="CFD8DC" w:sz="1"/>
            </w:tcBorders>
            <w:shd w:fill="E8F5E9" w:val="clear"/>
            <w:tcMar>
              <w:top w:type="dxa" w:w="100"/>
              <w:left w:type="dxa" w:w="140"/>
              <w:bottom w:type="dxa" w:w="100"/>
              <w:right w:type="dxa" w:w="100"/>
            </w:tcMar>
            <w:vAlign w:val="center"/>
          </w:tcPr>
          <w:p>
            <w:pPr>
              <w:jc w:val="center"/>
            </w:pPr>
            <w:r>
              <w:rPr>
                <w:rFonts w:ascii="Calibri" w:cs="Calibri" w:eastAsia="Calibri" w:hAnsi="Calibri"/>
                <w:color w:val="546E7A"/>
                <w:sz w:val="17"/>
                <w:szCs w:val="17"/>
              </w:rPr>
              <w:t xml:space="preserve">SOM – Erreichbar in 3 Jahren (2029)</w:t>
            </w:r>
          </w:p>
          <w:p>
            <w:pPr>
              <w:jc w:val="center"/>
            </w:pPr>
            <w:r>
              <w:rPr>
                <w:rFonts w:ascii="Calibri" w:cs="Calibri" w:eastAsia="Calibri" w:hAnsi="Calibri"/>
                <w:b/>
                <w:bCs/>
                <w:color w:val="1B5E20"/>
                <w:sz w:val="28"/>
                <w:szCs w:val="28"/>
              </w:rPr>
              <w:t xml:space="preserve">€ 3–8M</w:t>
            </w:r>
          </w:p>
          <w:p>
            <w:pPr>
              <w:jc w:val="center"/>
            </w:pPr>
            <w:r>
              <w:rPr>
                <w:rFonts w:ascii="Calibri" w:cs="Calibri" w:eastAsia="Calibri" w:hAnsi="Calibri"/>
                <w:color w:val="546E7A"/>
                <w:sz w:val="17"/>
                <w:szCs w:val="17"/>
              </w:rPr>
              <w:t xml:space="preserve">Realistischer Marktanteil</w:t>
            </w:r>
          </w:p>
        </w:tc>
      </w:tr>
    </w:tbl>
    <w:p>
      <w:pPr>
        <w:spacing w:before="80" w:after="0"/>
      </w:pPr>
      <w:r>
        <w:t xml:space="preserve"/>
      </w:r>
    </w:p>
    <w:p>
      <w:pPr>
        <w:spacing w:before="200" w:after="80"/>
      </w:pPr>
      <w:r>
        <w:rPr>
          <w:rFonts w:ascii="Calibri" w:cs="Calibri" w:eastAsia="Calibri" w:hAnsi="Calibri"/>
          <w:b/>
          <w:bCs/>
          <w:color w:val="006064"/>
          <w:sz w:val="23"/>
          <w:szCs w:val="23"/>
        </w:rPr>
        <w:t xml:space="preserve">GM3.1 Marktgrößen-Berechnung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700"/>
        <w:gridCol w:w="1400"/>
        <w:gridCol w:w="1926"/>
      </w:tblGrid>
      <w:tr>
        <w:trPr>
          <w:tblHeader/>
        </w:trPr>
        <w:tc>
          <w:tcPr>
            <w:tcW w:type="dxa" w:w="3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Marktsegment</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Nutzeranzahl DE</w:t>
            </w:r>
          </w:p>
        </w:tc>
        <w:tc>
          <w:tcPr>
            <w:tcW w:type="dxa" w:w="1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ARPU/Jahr</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Marktgröße</w:t>
            </w:r>
          </w:p>
        </w:tc>
        <w:tc>
          <w:tcPr>
            <w:tcW w:type="dxa" w:w="19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Methodik</w:t>
            </w:r>
          </w:p>
        </w:tc>
      </w:tr>
      <w:tr>
        <w:tc>
          <w:tcPr>
            <w:tcW w:type="dxa" w:w="32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TAM: Alle Krypto-Nutzer DE (steuerrelevant)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3,5–5,0 Mio. (aktive Krypto-Inhaber)</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€ 40–60/Jahr (Durchschnitt)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€ 140–300M</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Bottom-up: BZSt-Steuererklärungen + Blockpit-Marktdaten</w:t>
            </w:r>
          </w:p>
        </w:tc>
      </w:tr>
      <w:tr>
        <w:tc>
          <w:tcPr>
            <w:tcW w:type="dxa" w:w="32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SAM: DeFi-aktive Nutzer DE (Tracking-Bedarf)</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400–600k (aktiv in DeFi-Protokollen)</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€ 70–100/Jahr (höhere WTP durch Komplexität)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€ 28–60M</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DeFi-Llama DE-Wallet-Schätzung + DAC8-Compliance-Druck</w:t>
            </w:r>
          </w:p>
        </w:tc>
      </w:tr>
      <w:tr>
        <w:tc>
          <w:tcPr>
            <w:tcW w:type="dxa" w:w="32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SAM: Steuerberater / Kanzleien (B2B)</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2.000–5.000 DE Kanzleien mit Krypto-Mandanten</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€ 500–2.000/Jahr (Kanzlei-Plan)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€ 1–10M</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Steuerberaterkammer-Statistiken; Krypto-Spezialisten</w:t>
            </w:r>
          </w:p>
        </w:tc>
      </w:tr>
      <w:tr>
        <w:tc>
          <w:tcPr>
            <w:tcW w:type="dxa" w:w="32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SAM: Institutionelle (Family Office / HNW)</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200–800 relevante Institutionen</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€ 2.000–10.000/Jahr</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€ 0,4–8M</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HNW-Krypto-Investoren-Studie 2025 (Hochrechnung)</w:t>
            </w:r>
          </w:p>
        </w:tc>
      </w:tr>
      <w:tr>
        <w:tc>
          <w:tcPr>
            <w:tcW w:type="dxa" w:w="32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SOM: Flare-DeFi-Nutzer (Jahr 1–2, MVP)</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5.000–15.000 zahlende Nutzer</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€ 120–250/Jahr</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€ 0,6–3,75M</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Flare TVL-Nutzerverteilung; vergleichbar Blockpit-Launch 2017–2018</w:t>
            </w:r>
          </w:p>
        </w:tc>
      </w:tr>
      <w:tr>
        <w:tc>
          <w:tcPr>
            <w:tcW w:type="dxa" w:w="32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SOM: Erweiterter DeFi-Markt (Jahr 3, Phase 4)</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20.000–50.000 zahlende Nutzer</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€ 150–200/Jahr</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€ 3–10M</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Multi-Chain + Aave-Integration erschließt größeren SAM</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thick" w:color="1B5E20" w:sz="18"/>
              <w:bottom w:val="single" w:color="1B5E20" w:sz="1"/>
              <w:right w:val="single" w:color="1B5E20" w:sz="1"/>
            </w:tcBorders>
            <w:shd w:fill="E8F5E9" w:val="clear"/>
            <w:tcMar>
              <w:top w:type="dxa" w:w="110"/>
              <w:left w:type="dxa" w:w="200"/>
              <w:bottom w:type="dxa" w:w="110"/>
              <w:right w:type="dxa" w:w="140"/>
            </w:tcMar>
          </w:tcPr>
          <w:p>
            <w:pPr>
              <w:spacing w:before="0" w:after="40"/>
            </w:pPr>
            <w:r>
              <w:rPr>
                <w:rFonts w:ascii="Calibri" w:cs="Calibri" w:eastAsia="Calibri" w:hAnsi="Calibri"/>
                <w:b/>
                <w:bCs/>
                <w:color w:val="1B5E20"/>
                <w:sz w:val="21"/>
                <w:szCs w:val="21"/>
              </w:rPr>
              <w:t xml:space="preserve">Markt-Validierungs-Benchmark</w:t>
            </w:r>
          </w:p>
          <w:p>
            <w:pPr>
              <w:spacing w:before="0" w:after="0"/>
            </w:pPr>
            <w:r>
              <w:rPr>
                <w:rFonts w:ascii="Calibri" w:cs="Calibri" w:eastAsia="Calibri" w:hAnsi="Calibri"/>
                <w:color w:val="212121"/>
                <w:sz w:val="20"/>
                <w:szCs w:val="20"/>
              </w:rPr>
              <w:t xml:space="preserve">Blockpit: 350.000 Nutzer weltweit nach 7 Jahren (gegründet 2017). CoinTracking: ~1,5 Mio. Nutzer nach 12 Jahren (gegründet 2012). Koinly: 300k+ Nutzer nach 5 Jahren (gegründet 2019). Unsere SOM-Schätzung von 20.000–50.000 zahlenden Nutzern nach 3 Jahren ist konservativ und plausibel, da wir eine klar definierte Nische (Flare-DeFi + DE-Steuerrecht) ohne direkten Wettbewerber besetzen.</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GM4. Unit Economics – LTV, CAC, Churn &amp; Payback</w:t>
      </w:r>
    </w:p>
    <w:p>
      <w:pPr>
        <w:spacing w:before="60" w:after="90"/>
      </w:pPr>
      <w:r>
        <w:rPr>
          <w:rFonts w:ascii="Calibri" w:cs="Calibri" w:eastAsia="Calibri" w:hAnsi="Calibri"/>
          <w:color w:val="212121"/>
          <w:sz w:val="21"/>
          <w:szCs w:val="21"/>
        </w:rPr>
        <w:t xml:space="preserve">Unit Economics messen die Wirtschaftlichkeit pro Kunde. Sie sind der Schlüsselindikator für die SaaS-Skalierbarkeit und Investoren-Attraktivität. Alle Werte sind Schätzungen auf Basis von SaaS-Benchmarks und unseren spezifischen Marktannahmen.</w:t>
      </w:r>
    </w:p>
    <w:p>
      <w:pPr>
        <w:spacing w:before="80" w:after="0"/>
      </w:pPr>
      <w:r>
        <w:t xml:space="preserve"/>
      </w:r>
    </w:p>
    <w:p>
      <w:pPr>
        <w:spacing w:before="200" w:after="80"/>
      </w:pPr>
      <w:r>
        <w:rPr>
          <w:rFonts w:ascii="Calibri" w:cs="Calibri" w:eastAsia="Calibri" w:hAnsi="Calibri"/>
          <w:b/>
          <w:bCs/>
          <w:color w:val="006064"/>
          <w:sz w:val="23"/>
          <w:szCs w:val="23"/>
        </w:rPr>
        <w:t xml:space="preserve">GM4.1 Metriken-Definitionen &amp; Zielwerte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1500"/>
        <w:gridCol w:w="726"/>
      </w:tblGrid>
      <w:tr>
        <w:trPr>
          <w:tblHeader/>
        </w:trPr>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Metrik</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Formel</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Zielwert MVP (Jahr 1)</w:t>
            </w:r>
          </w:p>
        </w:tc>
        <w:tc>
          <w:tcPr>
            <w:tcW w:type="dxa" w:w="1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Zielwert Scale (Jahr 3)</w:t>
            </w:r>
          </w:p>
        </w:tc>
        <w:tc>
          <w:tcPr>
            <w:tcW w:type="dxa" w:w="7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Benchmark (SaaS-Industrie)</w:t>
            </w:r>
          </w:p>
        </w:tc>
      </w:tr>
      <w:tr>
        <w:tc>
          <w:tcPr>
            <w:tcW w:type="dxa" w:w="2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MRR (Monthly Recurring Revenue)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Σ aktive Abonnements × Monatspreis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€ 5.000–15.000 (Sept 2026)</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€ 80.000–150.000 (Q1 2027)</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N/A (tool-spezifisch)</w:t>
            </w:r>
          </w:p>
        </w:tc>
      </w:tr>
      <w:tr>
        <w:tc>
          <w:tcPr>
            <w:tcW w:type="dxa" w:w="2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ARR (Annual Recurring Revenue)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MRR × 12</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€ 60.000–180.000</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€ 960.000–1,8M</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N/A</w:t>
            </w:r>
          </w:p>
        </w:tc>
      </w:tr>
      <w:tr>
        <w:tc>
          <w:tcPr>
            <w:tcW w:type="dxa" w:w="28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ARPU (Ø Revenue per User/Monat)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MRR ÷ zahlende Nutzer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€ 18–25 (Mix B2C/B2B)</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€ 25–45 (höherer B2B-Anteil)</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€ 15–50 (B2B-SaaS)</w:t>
            </w:r>
          </w:p>
        </w:tc>
      </w:tr>
      <w:tr>
        <w:tc>
          <w:tcPr>
            <w:tcW w:type="dxa" w:w="28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Churn Rate (monatlich)</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Verlorene Kunden ÷ Gesamt-Kunden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5%/Monat (B2C)</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2,5%/Monat (B2C), &lt; 1%/Monat (B2B)</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2–8% (B2C SaaS), 0,5–2% (B2B)</w:t>
            </w:r>
          </w:p>
        </w:tc>
      </w:tr>
      <w:tr>
        <w:tc>
          <w:tcPr>
            <w:tcW w:type="dxa" w:w="28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LTV (Customer Lifetime Value)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ARPU ÷ Churn-Rate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€ 360–500 (B2C Starter)</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€ 900–1.800 (B2C Pro/Business)</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LTV &gt; 3× CAC ist Ziel</w:t>
            </w:r>
          </w:p>
        </w:tc>
      </w:tr>
      <w:tr>
        <w:tc>
          <w:tcPr>
            <w:tcW w:type="dxa" w:w="28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CAC (Customer Acquisition Cost)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Marketing- + Sales-Kosten ÷ Neue Kunden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€ 30–60 (organisch dominant)</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€ 50–120 (Paid + Organic Mix)</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CAC &lt; LTV/3</w:t>
            </w:r>
          </w:p>
        </w:tc>
      </w:tr>
      <w:tr>
        <w:tc>
          <w:tcPr>
            <w:tcW w:type="dxa" w:w="28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LTV:CAC-Ratio</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LTV ÷ CAC</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8:1 – 12:1 (organisch)</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6:1 – 15:1</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3:1 (gesund); ≥ 5:1 (exzellent)</w:t>
            </w:r>
          </w:p>
        </w:tc>
      </w:tr>
      <w:tr>
        <w:tc>
          <w:tcPr>
            <w:tcW w:type="dxa" w:w="2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Payback Period</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CAC ÷ (ARPU × Bruttomarge)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4–8 Monate</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3–6 Monate</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12 Monate (gut); &lt; 6 Monate (exzellent)</w:t>
            </w:r>
          </w:p>
        </w:tc>
      </w:tr>
      <w:tr>
        <w:tc>
          <w:tcPr>
            <w:tcW w:type="dxa" w:w="28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NRR (Net Revenue Retention)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(MRR t0 + Expansion - Churn) ÷ MRR t0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~95% (wenig Upselling Year 1)</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~115% (starkes Upselling durch Plan-Upgrades)</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100% = skalierbar</w:t>
            </w:r>
          </w:p>
        </w:tc>
      </w:tr>
      <w:tr>
        <w:tc>
          <w:tcPr>
            <w:tcW w:type="dxa" w:w="2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Gross Margin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(Revenue - COGS) ÷ Revenue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80–85% (Infra-dominiert)</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82–88% (Skalenvorteil)</w:t>
            </w:r>
          </w:p>
        </w:tc>
        <w:tc>
          <w:tcPr>
            <w:tcW w:type="dxa" w:w="7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70–85% (SaaS-Benchmark)</w:t>
            </w:r>
          </w:p>
        </w:tc>
      </w:tr>
    </w:tbl>
    <w:p>
      <w:pPr>
        <w:spacing w:before="80" w:after="0"/>
      </w:pPr>
      <w:r>
        <w:t xml:space="preserve"/>
      </w:r>
    </w:p>
    <w:p>
      <w:pPr>
        <w:spacing w:before="200" w:after="80"/>
      </w:pPr>
      <w:r>
        <w:rPr>
          <w:rFonts w:ascii="Calibri" w:cs="Calibri" w:eastAsia="Calibri" w:hAnsi="Calibri"/>
          <w:b/>
          <w:bCs/>
          <w:color w:val="006064"/>
          <w:sz w:val="23"/>
          <w:szCs w:val="23"/>
        </w:rPr>
        <w:t xml:space="preserve">GM4.2 Churn-Modell &amp; Retentions-Strategie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2800"/>
        <w:gridCol w:w="10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Churn-Treiber</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Wahrscheinlichkeit</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Impact</w:t>
            </w:r>
          </w:p>
        </w:tc>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Gegenmaßnahme</w:t>
            </w:r>
          </w:p>
        </w:tc>
        <w:tc>
          <w:tcPr>
            <w:tcW w:type="dxa" w:w="10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Ziel-Churn-Reduktion</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Steuerähnliche Saisonalität (Nutzer kündigt nach Steuererklärung)</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Spike Juli–September</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Jahres-Abo mit Rabatt fördern; Q4-Re-Engagement-Kampagne</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Churn-Saison von 15% → 8%</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Wettbewerber-Übernahme (CoinTracking ergänzt Flare)</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Mittelfristig hoher Churn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First-Mover-Bindung; Switching-Costs (historische Daten im Tool)</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Halte-Angebot bei Kündigung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Unzufriedenheit mit TX-Klassifikation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Sofort-Kündigung</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Onboarding-Quality-Score; &lt; 5% unklassifizierte TX</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Churn &lt; 2% durch gute UX</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Pricing zu hoch</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Preis-sensitiver B2C-Nutzer</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Free-Tier ausbauen; Jahres-Rabatt kommunizieren</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Downgrade statt Kündigung</w:t>
            </w:r>
          </w:p>
        </w:tc>
      </w:tr>
      <w:tr>
        <w:tc>
          <w:tcPr>
            <w:tcW w:type="dxa" w:w="24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Keine neue DeFi-Aktivität (inaktiver Nutzer)</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Passiv-Kündigung</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Inaktivitäts-E-Mail nach 30 Tagen; Haltefrist-Reminder</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Reaktivierung 20% der Inaktiven</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GM5. Finanzprognose 2026–2029</w:t>
      </w:r>
    </w:p>
    <w:p>
      <w:pPr>
        <w:spacing w:before="60" w:after="90"/>
      </w:pPr>
      <w:r>
        <w:rPr>
          <w:rFonts w:ascii="Calibri" w:cs="Calibri" w:eastAsia="Calibri" w:hAnsi="Calibri"/>
          <w:color w:val="212121"/>
          <w:sz w:val="21"/>
          <w:szCs w:val="21"/>
        </w:rPr>
        <w:t xml:space="preserve">Die Finanzprognose basiert auf drei Szenarien (Base, Bull, Bear). Alle Zahlen sind Schätzungen und dienen als Orientierung für Ressourcenplanung und Investor-Kommunikation. Grundannahme: MVP-Launch September 2026, Phase 4 Start Q4 2026.</w:t>
      </w:r>
    </w:p>
    <w:p>
      <w:pPr>
        <w:spacing w:before="80" w:after="0"/>
      </w:pPr>
      <w:r>
        <w:t xml:space="preserve"/>
      </w:r>
    </w:p>
    <w:p>
      <w:pPr>
        <w:spacing w:before="200" w:after="80"/>
      </w:pPr>
      <w:r>
        <w:rPr>
          <w:rFonts w:ascii="Calibri" w:cs="Calibri" w:eastAsia="Calibri" w:hAnsi="Calibri"/>
          <w:b/>
          <w:bCs/>
          <w:color w:val="006064"/>
          <w:sz w:val="23"/>
          <w:szCs w:val="23"/>
        </w:rPr>
        <w:t xml:space="preserve">GM5.1 3-Jahres-P&amp;L Prognose (Base-Case)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600"/>
        <w:gridCol w:w="1700"/>
        <w:gridCol w:w="1700"/>
        <w:gridCol w:w="1926"/>
      </w:tblGrid>
      <w:tr>
        <w:trPr>
          <w:tblHeader/>
        </w:trPr>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Position</w:t>
            </w:r>
          </w:p>
        </w:tc>
        <w:tc>
          <w:tcPr>
            <w:tcW w:type="dxa" w:w="1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Q4 2026 (Launch)</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Jahr 2027</w:t>
            </w:r>
          </w:p>
        </w:tc>
        <w:tc>
          <w:tcPr>
            <w:tcW w:type="dxa" w:w="1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Jahr 2028</w:t>
            </w:r>
          </w:p>
        </w:tc>
        <w:tc>
          <w:tcPr>
            <w:tcW w:type="dxa" w:w="1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Jahr 2029</w:t>
            </w:r>
          </w:p>
        </w:tc>
        <w:tc>
          <w:tcPr>
            <w:tcW w:type="dxa" w:w="19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Annahmen</w:t>
            </w:r>
          </w:p>
        </w:tc>
      </w:tr>
      <w:tr>
        <w:tc>
          <w:tcPr>
            <w:tcW w:type="dxa" w:w="26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Zahlende Nutzer</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300–500</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3.000–6.000</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12.000–25.000</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30.000–60.000</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Wachstum: +400%/Jahr (Y1→Y2), +200% (Y2→Y3), +100% (Y3→Y4)</w:t>
            </w:r>
          </w:p>
        </w:tc>
      </w:tr>
      <w:tr>
        <w:tc>
          <w:tcPr>
            <w:tcW w:type="dxa" w:w="26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MRR (Ende Periode)</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€ 6.000–12.000</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€ 60.000–130.000</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€ 250.000–600.000</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€ 700K–1,5M</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ARPU-Steigerung durch B2B-Mix-Shift</w:t>
            </w:r>
          </w:p>
        </w:tc>
      </w:tr>
      <w:tr>
        <w:tc>
          <w:tcPr>
            <w:tcW w:type="dxa" w:w="26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ARR</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€ 72K–144K</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€ 720K–1,56M</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€ 3M–7,2M</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€ 8,4M–18M</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Inkl. API + White-Label ab 2027</w:t>
            </w:r>
          </w:p>
        </w:tc>
      </w:tr>
      <w:tr>
        <w:tc>
          <w:tcPr>
            <w:tcW w:type="dxa" w:w="26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Infrastruktur (Hetzner + APIs)</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€ 3.500–5.000</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€ 15.000–30.000</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€ 50.000–120.000</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€ 150.000–350.000</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Skaliert mit Nutzerzahl</w:t>
            </w:r>
          </w:p>
        </w:tc>
      </w:tr>
      <w:tr>
        <w:tc>
          <w:tcPr>
            <w:tcW w:type="dxa" w:w="26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Personalkosten</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€ 0 (MVP investiert)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€ 120K–180K</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€ 300K–500K</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€ 600K–1M</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Jahr 2: 3 FTE; Jahr 3: 5–7 FTE</w:t>
            </w:r>
          </w:p>
        </w:tc>
      </w:tr>
      <w:tr>
        <w:tc>
          <w:tcPr>
            <w:tcW w:type="dxa" w:w="26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Marketing &amp; Sales</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€ 2.000–5.000</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€ 30.000–60.000</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€ 100.000–200.000</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€ 250.000–500.000</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10–15% des Revenue reinvestiert</w:t>
            </w:r>
          </w:p>
        </w:tc>
      </w:tr>
      <w:tr>
        <w:tc>
          <w:tcPr>
            <w:tcW w:type="dxa" w:w="26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Sonstige OpEx</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€ 2.000–4.000</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€ 20.000–40.000</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€ 60.000–120.000</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€ 150.000–300.000</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Support, Legal, Zertifizierungen</w:t>
            </w:r>
          </w:p>
        </w:tc>
      </w:tr>
      <w:tr>
        <w:tc>
          <w:tcPr>
            <w:tcW w:type="dxa" w:w="26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Bruttomarge</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~82%</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~81%</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~83%</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~85%</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Skalenvorteil bei Infra-Kosten</w:t>
            </w:r>
          </w:p>
        </w:tc>
      </w:tr>
      <w:tr>
        <w:tc>
          <w:tcPr>
            <w:tcW w:type="dxa" w:w="26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EBITDA</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E65100"/>
                <w:sz w:val="20"/>
                <w:szCs w:val="20"/>
              </w:rPr>
              <w:t xml:space="preserve">–€ 1K–+€ 5K</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€ 500K–1,2M</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€ 2,4M–5,5M</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€ 7M–15M</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Break-Even: Q2 2027</w:t>
            </w:r>
          </w:p>
        </w:tc>
      </w:tr>
      <w:tr>
        <w:tc>
          <w:tcPr>
            <w:tcW w:type="dxa" w:w="26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Cashflow (kumuliert)</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color w:val="B71C1C"/>
                <w:sz w:val="20"/>
                <w:szCs w:val="20"/>
              </w:rPr>
              <w:t xml:space="preserve">–€ 62K–87K (MVP-Invest)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–€ 10K bis +€ 300K</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€ 1M–5M</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€ 8M–20M</w:t>
            </w:r>
          </w:p>
        </w:tc>
        <w:tc>
          <w:tcPr>
            <w:tcW w:type="dxa" w:w="19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MVP-Kosten amortisiert bis Q3 2027</w:t>
            </w:r>
          </w:p>
        </w:tc>
      </w:tr>
    </w:tbl>
    <w:p>
      <w:pPr>
        <w:spacing w:before="80" w:after="0"/>
      </w:pPr>
      <w:r>
        <w:t xml:space="preserve"/>
      </w:r>
    </w:p>
    <w:p>
      <w:pPr>
        <w:spacing w:before="200" w:after="80"/>
      </w:pPr>
      <w:r>
        <w:rPr>
          <w:rFonts w:ascii="Calibri" w:cs="Calibri" w:eastAsia="Calibri" w:hAnsi="Calibri"/>
          <w:b/>
          <w:bCs/>
          <w:color w:val="006064"/>
          <w:sz w:val="23"/>
          <w:szCs w:val="23"/>
        </w:rPr>
        <w:t xml:space="preserve">GM5.2 Szenario-Analyse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500"/>
        <w:gridCol w:w="1500"/>
        <w:gridCol w:w="1600"/>
        <w:gridCol w:w="1026"/>
      </w:tblGrid>
      <w:tr>
        <w:trPr>
          <w:tblHeader/>
        </w:trPr>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Szenario</w:t>
            </w:r>
          </w:p>
        </w:tc>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Annahmen</w:t>
            </w:r>
          </w:p>
        </w:tc>
        <w:tc>
          <w:tcPr>
            <w:tcW w:type="dxa" w:w="1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ARR 2027</w:t>
            </w:r>
          </w:p>
        </w:tc>
        <w:tc>
          <w:tcPr>
            <w:tcW w:type="dxa" w:w="1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ARR 2028</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Break-Even</w:t>
            </w:r>
          </w:p>
        </w:tc>
        <w:tc>
          <w:tcPr>
            <w:tcW w:type="dxa" w:w="10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Haupttreiber</w:t>
            </w:r>
          </w:p>
        </w:tc>
      </w:tr>
      <w:tr>
        <w:tc>
          <w:tcPr>
            <w:tcW w:type="dxa" w:w="16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 Bull-Case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Flare-TVL explodiert +300%; DAC8 erzeugt massiven Compliance-Schub; CoinTracking-Partnerschaft früh</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€ 2–3M</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€ 8–15M</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Q1 2027</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XRPFi-Welle + Institutionelle Adoption</w:t>
            </w:r>
          </w:p>
        </w:tc>
      </w:tr>
      <w:tr>
        <w:tc>
          <w:tcPr>
            <w:tcW w:type="dxa" w:w="16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 Base-Case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Moderates Flare-Wachstum; organische Nutzergwinnung; DAC8 wirkt</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€ 720K–1,56M</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€ 3–7,2M</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Q2 2027</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Organisches Wachstum + B2B ab Q4 2026</w:t>
            </w:r>
          </w:p>
        </w:tc>
      </w:tr>
      <w:tr>
        <w:tc>
          <w:tcPr>
            <w:tcW w:type="dxa" w:w="16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 Bear-Case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Flare-Wachstum stagniert; CoinTracking/Blockpit ergänzen Flare früh; hoher CAC</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€ 150K–400K</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€ 600K–1,5M</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Q4 2027</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Pivot zu Multi-Chain früher nötig</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 Worst-Case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Krypto-Winter; Flare-Ökosystem schrumpft; Regulierung verschärft DeFi</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€ 50K–150K</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€ 200K–500K</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Nicht vor 2028</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Strategischer Pivot zu Compliance-SaaS generisch</w:t>
            </w:r>
          </w:p>
        </w:tc>
      </w:tr>
    </w:tbl>
    <w:p>
      <w:pPr>
        <w:spacing w:before="80" w:after="0"/>
      </w:pPr>
      <w:r>
        <w:t xml:space="preserve"/>
      </w:r>
    </w:p>
    <w:p>
      <w:pPr>
        <w:spacing w:before="200" w:after="80"/>
      </w:pPr>
      <w:r>
        <w:rPr>
          <w:rFonts w:ascii="Calibri" w:cs="Calibri" w:eastAsia="Calibri" w:hAnsi="Calibri"/>
          <w:b/>
          <w:bCs/>
          <w:color w:val="006064"/>
          <w:sz w:val="23"/>
          <w:szCs w:val="23"/>
        </w:rPr>
        <w:t xml:space="preserve">GM5.3 Break-Even-Analyse</w:t>
      </w:r>
    </w:p>
    <w:p>
      <w:pPr>
        <w:spacing w:before="60" w:after="90"/>
      </w:pPr>
      <w:r>
        <w:rPr>
          <w:rFonts w:ascii="Calibri" w:cs="Calibri" w:eastAsia="Calibri" w:hAnsi="Calibri"/>
          <w:color w:val="212121"/>
          <w:sz w:val="21"/>
          <w:szCs w:val="21"/>
        </w:rPr>
        <w:t xml:space="preserve">Der Break-Even-Punkt wird erreicht, wenn der monatliche Umsatz die laufenden Betriebskosten deckt. Nach Amortisation der MVP-Investitionskosten (€ 62K–87K) ist das Unternehmen dauerhaft profitabel.</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2200"/>
        <w:gridCol w:w="1626"/>
      </w:tblGrid>
      <w:tr>
        <w:trPr>
          <w:tblHeader/>
        </w:trPr>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Phase</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Monatliche Kosten</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Benötigter MRR</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Benötigte Nutzer (ARPU €22)</w:t>
            </w:r>
          </w:p>
        </w:tc>
        <w:tc>
          <w:tcPr>
            <w:tcW w:type="dxa" w:w="16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Erreichbarkeit</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Phase 1 – MVP-Betrieb (minimal)</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€ 3.500 (Infra + APIs)</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€ 3.500</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160 zahlende Nutzer</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Oktober 2026 (realistisch)</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Phase 2 – Mit 1 FTE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€ 13.000 (Infra + 1 Vollzeit)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€ 13.000</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590 zahlende Nutzer</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Q1 2027</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Phase 3 – Mit 3 FTE + Marketing</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€ 35.000 (Infra + Team + Ads)</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€ 35.000</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1.590 zahlende Nutzer</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Q2 2027 (Base-Case)</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Phase 4 – Mit 6 FTE + B2B</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€ 80.000 (skalierter Betrieb)</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€ 80.000</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3.600 zahlende Nutzer</w:t>
            </w:r>
          </w:p>
        </w:tc>
        <w:tc>
          <w:tcPr>
            <w:tcW w:type="dxa" w:w="16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Q4 2027</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GM6. Customer-Acquisition-Strategie &amp; Funnel</w:t>
      </w:r>
    </w:p>
    <w:p>
      <w:pPr>
        <w:spacing w:before="60" w:after="90"/>
      </w:pPr>
      <w:r>
        <w:rPr>
          <w:rFonts w:ascii="Calibri" w:cs="Calibri" w:eastAsia="Calibri" w:hAnsi="Calibri"/>
          <w:color w:val="212121"/>
          <w:sz w:val="21"/>
          <w:szCs w:val="21"/>
        </w:rPr>
        <w:t xml:space="preserve">Der Customer-Acquisition-Funnel definiert, wie potenzielle Nutzer von der Bekanntheit bis zur zahlenden Kundschaft werden. In Phase 1 dominiert organisches Wachstum (Low-CAC). Ab Phase 3 wird Paid-Acquisition skaliert.</w:t>
      </w:r>
    </w:p>
    <w:p>
      <w:pPr>
        <w:spacing w:before="80" w:after="0"/>
      </w:pPr>
      <w:r>
        <w:t xml:space="preserve"/>
      </w:r>
    </w:p>
    <w:p>
      <w:pPr>
        <w:spacing w:before="200" w:after="80"/>
      </w:pPr>
      <w:r>
        <w:rPr>
          <w:rFonts w:ascii="Calibri" w:cs="Calibri" w:eastAsia="Calibri" w:hAnsi="Calibri"/>
          <w:b/>
          <w:bCs/>
          <w:color w:val="006064"/>
          <w:sz w:val="23"/>
          <w:szCs w:val="23"/>
        </w:rPr>
        <w:t xml:space="preserve">GM6.1 Acquisition-Funnel (AIDA+R)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800"/>
        <w:gridCol w:w="1826"/>
      </w:tblGrid>
      <w:tr>
        <w:trPr>
          <w:tblHeader/>
        </w:trPr>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Funnel-Stage</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Kanal</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Zielgruppe</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Konversionsrate</w:t>
            </w:r>
          </w:p>
        </w:tc>
        <w:tc>
          <w:tcPr>
            <w:tcW w:type="dxa" w:w="1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Maßnahmen</w:t>
            </w:r>
          </w:p>
        </w:tc>
      </w:tr>
      <w:tr>
        <w:tc>
          <w:tcPr>
            <w:tcW w:type="dxa" w:w="16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Awareness</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SEO, Flare-Community, PR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DeFi-Nutzer die 'Flare Steuern' googlen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 Keyword-optimierte Guides: 'SparkDEX CoinTracking', 'DeFi Steuer Deutschland 2027', 'FlareDrops versteuern'</w:t>
            </w:r>
          </w:p>
        </w:tc>
      </w:tr>
      <w:tr>
        <w:tc>
          <w:tcPr>
            <w:tcW w:type="dxa" w:w="16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Interest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Website, Demo-Video, GitHub</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Besucher die &gt; 60s auf Landingpage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5–10% (Visitor → Sign-up)</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Free-Tier-Angebot; 5-Min-Demo-Video; Vertrauens-Signale (Blocktrainer-Review)</w:t>
            </w:r>
          </w:p>
        </w:tc>
      </w:tr>
      <w:tr>
        <w:tc>
          <w:tcPr>
            <w:tcW w:type="dxa" w:w="16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Desire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Onboarding-Flow, Free-Trial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Registrierte Nutzer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30–50% (Sign-up → Trial-Aktivierung)</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Wallet-Connect in &lt; 2 Minuten; erster Export sofort sichtbar; kein Kreditkarten-Voraus</w:t>
            </w:r>
          </w:p>
        </w:tc>
      </w:tr>
      <w:tr>
        <w:tc>
          <w:tcPr>
            <w:tcW w:type="dxa" w:w="16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Action (Conversion)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In-App Upgrade-Prompt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Trial-Nutzer die Limit erreichen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15–25% (Trial → Paid)</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Freundlicher Paywall bei TX-Limit; Jahres-Abo-Anreiz (–17%); steuerliche Deadline-Urgency</w:t>
            </w:r>
          </w:p>
        </w:tc>
      </w:tr>
      <w:tr>
        <w:tc>
          <w:tcPr>
            <w:tcW w:type="dxa" w:w="16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Retention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E-Mail, In-App-Benachrichtigungen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Zahlende Nutzer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Ziel-Churn &lt; 3%/Monat</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Haltefrist-Alerts; BMF-Update-Newsletter; Steuerberater-Empfehlung bei komplexen Fällen</w:t>
            </w:r>
          </w:p>
        </w:tc>
      </w:tr>
      <w:tr>
        <w:tc>
          <w:tcPr>
            <w:tcW w:type="dxa" w:w="16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Referral</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Steuerberater-Netzwerk, Community</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Bestehende Nutzer + Kanzleien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5–10% Referral-Rate</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Kanzlei-Provisionsmodell 15%; Community-Referral €10 Guthaben; 'Teile deinen Steuer-Bericht'</w:t>
            </w:r>
          </w:p>
        </w:tc>
      </w:tr>
    </w:tbl>
    <w:p>
      <w:pPr>
        <w:spacing w:before="80" w:after="0"/>
      </w:pPr>
      <w:r>
        <w:t xml:space="preserve"/>
      </w:r>
    </w:p>
    <w:p>
      <w:pPr>
        <w:spacing w:before="200" w:after="80"/>
      </w:pPr>
      <w:r>
        <w:rPr>
          <w:rFonts w:ascii="Calibri" w:cs="Calibri" w:eastAsia="Calibri" w:hAnsi="Calibri"/>
          <w:b/>
          <w:bCs/>
          <w:color w:val="006064"/>
          <w:sz w:val="23"/>
          <w:szCs w:val="23"/>
        </w:rPr>
        <w:t xml:space="preserve">GM6.2 CAC-Kalkulation nach Kanal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2000"/>
        <w:gridCol w:w="10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Akquisitionskanal</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CAC</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Qualität (LTV:CAC)</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Skalierbarkeit</w:t>
            </w:r>
          </w:p>
        </w:tc>
        <w:tc>
          <w:tcPr>
            <w:tcW w:type="dxa" w:w="10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Phase</w:t>
            </w:r>
          </w:p>
        </w:tc>
      </w:tr>
      <w:tr>
        <w:tc>
          <w:tcPr>
            <w:tcW w:type="dxa" w:w="24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SEO / Organisch</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€ 10–30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20:1 – 40:1 (exzellent)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Hoch (einmal investiert, dauerhaft)</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P1–P4</w:t>
            </w:r>
          </w:p>
        </w:tc>
      </w:tr>
      <w:tr>
        <w:tc>
          <w:tcPr>
            <w:tcW w:type="dxa" w:w="24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Flare-Community (Discord/X)</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€ 15–40 (Zeit-Aufwand)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15:1 – 25:1 (sehr gut)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 (Community-Größe limitiert)</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P1 MVP</w:t>
            </w:r>
          </w:p>
        </w:tc>
      </w:tr>
      <w:tr>
        <w:tc>
          <w:tcPr>
            <w:tcW w:type="dxa" w:w="24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Steuerberater-Referral</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€ 80–200 (Provision 15%+)</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8:1 – 15:1 (gut)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 (Netzwerk-Aufbau nötig)</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P3 Launch</w:t>
            </w:r>
          </w:p>
        </w:tc>
      </w:tr>
      <w:tr>
        <w:tc>
          <w:tcPr>
            <w:tcW w:type="dxa" w:w="24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Google Ads (DeFi-Steuer-Keywords)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€ 80–150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5:1 – 10:1 (akzeptabel)</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hoch (Budget-abhängig)</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P3 Launch</w:t>
            </w:r>
          </w:p>
        </w:tc>
      </w:tr>
      <w:tr>
        <w:tc>
          <w:tcPr>
            <w:tcW w:type="dxa" w:w="24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PR / Media (Blocktrainer, BTC-Echo)</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€ 20–50 (Zeitaufwand)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12:1 – 20:1 (gut)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 (Reichweite begrenzt)</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P2 Beta – P3</w:t>
            </w:r>
          </w:p>
        </w:tc>
      </w:tr>
      <w:tr>
        <w:tc>
          <w:tcPr>
            <w:tcW w:type="dxa" w:w="24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CoinTracking-Partner-Listing</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€ 5–20 (wenn Partnerschaft aktiv)</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25:1 – 50:1 (exzellent)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 (Abhängigkeit von CT)</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P3 Launch</w:t>
            </w:r>
          </w:p>
        </w:tc>
      </w:tr>
      <w:tr>
        <w:tc>
          <w:tcPr>
            <w:tcW w:type="dxa" w:w="24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Social Media Ads (X, LinkedIn)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€ 150–300 (Krypto-Ads teuer)</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3:1 – 6:1 (grenzwertig)</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hoch (Budget-abhängig)</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Phase 4 nur bei skalierten MRR</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GM7. Kohortenanalyse &amp; Wachstumsmodell</w:t>
      </w:r>
    </w:p>
    <w:p>
      <w:pPr>
        <w:spacing w:before="60" w:after="90"/>
      </w:pPr>
      <w:r>
        <w:rPr>
          <w:rFonts w:ascii="Calibri" w:cs="Calibri" w:eastAsia="Calibri" w:hAnsi="Calibri"/>
          <w:color w:val="212121"/>
          <w:sz w:val="21"/>
          <w:szCs w:val="21"/>
        </w:rPr>
        <w:t xml:space="preserve">Das Kohortenmodell zeigt, wie Nutzer-Kohorten (nach Startzeitpunkt gruppiert) sich über die Zeit entwickeln. Es ist die Grundlage für realistische Umsatzprognosen und hilft, Churn-Muster frühzeitig zu erkennen.</w:t>
      </w:r>
    </w:p>
    <w:p>
      <w:pPr>
        <w:spacing w:before="80" w:after="0"/>
      </w:pPr>
      <w:r>
        <w:t xml:space="preserve"/>
      </w:r>
    </w:p>
    <w:p>
      <w:pPr>
        <w:spacing w:before="200" w:after="80"/>
      </w:pPr>
      <w:r>
        <w:rPr>
          <w:rFonts w:ascii="Calibri" w:cs="Calibri" w:eastAsia="Calibri" w:hAnsi="Calibri"/>
          <w:b/>
          <w:bCs/>
          <w:color w:val="006064"/>
          <w:sz w:val="23"/>
          <w:szCs w:val="23"/>
        </w:rPr>
        <w:t xml:space="preserve">GM7.1 Monatliches Kohorten-Retentionsmodell (Schätzung)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900"/>
        <w:gridCol w:w="900"/>
        <w:gridCol w:w="900"/>
        <w:gridCol w:w="900"/>
        <w:gridCol w:w="1826"/>
      </w:tblGrid>
      <w:tr>
        <w:trPr>
          <w:tblHeader/>
        </w:trPr>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Kohorte</w:t>
            </w:r>
          </w:p>
        </w:tc>
        <w:tc>
          <w:tcPr>
            <w:tcW w:type="dxa" w:w="9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Monat 0</w:t>
            </w:r>
          </w:p>
        </w:tc>
        <w:tc>
          <w:tcPr>
            <w:tcW w:type="dxa" w:w="9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Monat 1</w:t>
            </w:r>
          </w:p>
        </w:tc>
        <w:tc>
          <w:tcPr>
            <w:tcW w:type="dxa" w:w="9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Monat 3</w:t>
            </w:r>
          </w:p>
        </w:tc>
        <w:tc>
          <w:tcPr>
            <w:tcW w:type="dxa" w:w="9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Monat 6</w:t>
            </w:r>
          </w:p>
        </w:tc>
        <w:tc>
          <w:tcPr>
            <w:tcW w:type="dxa" w:w="9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Monat 12</w:t>
            </w:r>
          </w:p>
        </w:tc>
        <w:tc>
          <w:tcPr>
            <w:tcW w:type="dxa" w:w="9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Monat 24</w:t>
            </w:r>
          </w:p>
        </w:tc>
        <w:tc>
          <w:tcPr>
            <w:tcW w:type="dxa" w:w="1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Kommentar</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B2C Starter</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70%</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55%</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45%</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38%</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28%</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Hohe Saisonalität (Steuererklärung Juli)</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B2C Pro</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80%</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68%</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60%</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52%</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42%</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Höheres Engagement durch mehr Features</w:t>
            </w:r>
          </w:p>
        </w:tc>
      </w:tr>
      <w:tr>
        <w:tc>
          <w:tcPr>
            <w:tcW w:type="dxa" w:w="18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B2C Business</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88%</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78%</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70%</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62%</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52%</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Multi-Chain-Nutzer: sticky (historische Daten)</w:t>
            </w:r>
          </w:p>
        </w:tc>
      </w:tr>
      <w:tr>
        <w:tc>
          <w:tcPr>
            <w:tcW w:type="dxa" w:w="18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B2B Kanzlei</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95%</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92%</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88%</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85%</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78%</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Sehr sticky – Mandanten-Abhängigkeit</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Gesamt (gewichtet)</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78%</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65%</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57%</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50%</w:t>
            </w:r>
          </w:p>
        </w:tc>
        <w:tc>
          <w:tcPr>
            <w:tcW w:type="dxa" w:w="9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41%</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Ziel-NRR &gt; 100% durch Upselling kompensiert</w:t>
            </w:r>
          </w:p>
        </w:tc>
      </w:tr>
    </w:tbl>
    <w:p>
      <w:pPr>
        <w:spacing w:before="80" w:after="0"/>
      </w:pPr>
      <w:r>
        <w:t xml:space="preserve"/>
      </w:r>
    </w:p>
    <w:p>
      <w:pPr>
        <w:spacing w:before="200" w:after="80"/>
      </w:pPr>
      <w:r>
        <w:rPr>
          <w:rFonts w:ascii="Calibri" w:cs="Calibri" w:eastAsia="Calibri" w:hAnsi="Calibri"/>
          <w:b/>
          <w:bCs/>
          <w:color w:val="006064"/>
          <w:sz w:val="23"/>
          <w:szCs w:val="23"/>
        </w:rPr>
        <w:t xml:space="preserve">GM7.2 Revenue-Wachstumsmodell (Bottom-up)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800"/>
        <w:gridCol w:w="1800"/>
        <w:gridCol w:w="1700"/>
        <w:gridCol w:w="1126"/>
      </w:tblGrid>
      <w:tr>
        <w:trPr>
          <w:tblHeader/>
        </w:trPr>
        <w:tc>
          <w:tcPr>
            <w:tcW w:type="dxa" w:w="19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Periode</w:t>
            </w:r>
          </w:p>
        </w:tc>
        <w:tc>
          <w:tcPr>
            <w:tcW w:type="dxa" w:w="1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Neue Nutzer</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Gesamtnutzer</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MRR (Ende)</w:t>
            </w:r>
          </w:p>
        </w:tc>
        <w:tc>
          <w:tcPr>
            <w:tcW w:type="dxa" w:w="1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MoM-Wachstum</w:t>
            </w:r>
          </w:p>
        </w:tc>
        <w:tc>
          <w:tcPr>
            <w:tcW w:type="dxa" w:w="11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Kumulierter ARR</w:t>
            </w:r>
          </w:p>
        </w:tc>
      </w:tr>
      <w:tr>
        <w:tc>
          <w:tcPr>
            <w:tcW w:type="dxa" w:w="19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Sept 2026 (Launch)</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200–400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200–400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€ 4K–8K</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€ 48K–96K</w:t>
            </w:r>
          </w:p>
        </w:tc>
      </w:tr>
      <w:tr>
        <w:tc>
          <w:tcPr>
            <w:tcW w:type="dxa" w:w="19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Okt–Dez 2026</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600–1.200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800–1.600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€ 16K–32K</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+30–40%/Monat</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€ 192K–384K</w:t>
            </w:r>
          </w:p>
        </w:tc>
      </w:tr>
      <w:tr>
        <w:tc>
          <w:tcPr>
            <w:tcW w:type="dxa" w:w="19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Q1 2027</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1.500–3.000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2.300–4.600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€ 46K–92K</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+15–20%/Monat</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€ 552K–1,1M</w:t>
            </w:r>
          </w:p>
        </w:tc>
      </w:tr>
      <w:tr>
        <w:tc>
          <w:tcPr>
            <w:tcW w:type="dxa" w:w="19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Q2 2027</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2.000–4.000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4.300–8.600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€ 86K–172K</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+10–15%/Monat</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€ 1M–2,1M</w:t>
            </w:r>
          </w:p>
        </w:tc>
      </w:tr>
      <w:tr>
        <w:tc>
          <w:tcPr>
            <w:tcW w:type="dxa" w:w="19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Q3 2027 (incl. API/White-Label)</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2.500–5.000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6.800–13.600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€ 136K–320K</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+8–12%/Monat</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€ 1,6M–3,8M</w:t>
            </w:r>
          </w:p>
        </w:tc>
      </w:tr>
      <w:tr>
        <w:tc>
          <w:tcPr>
            <w:tcW w:type="dxa" w:w="19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Ende 2027</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8.000–15.000 kumuliert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~12.000–25.000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€ 240K–600K</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~8%/Monat</w:t>
            </w:r>
          </w:p>
        </w:tc>
        <w:tc>
          <w:tcPr>
            <w:tcW w:type="dxa" w:w="11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€ 2,9M–7,2M</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GM8. Investitions-Analyse &amp; Exit-Szenarien</w:t>
      </w:r>
    </w:p>
    <w:p>
      <w:pPr>
        <w:spacing w:before="60" w:after="90"/>
      </w:pPr>
      <w:r>
        <w:rPr>
          <w:rFonts w:ascii="Calibri" w:cs="Calibri" w:eastAsia="Calibri" w:hAnsi="Calibri"/>
          <w:color w:val="212121"/>
          <w:sz w:val="21"/>
          <w:szCs w:val="21"/>
        </w:rPr>
        <w:t xml:space="preserve">Das Unternehmen ist als bootstrapped Venture konzipiert (NextGen IT Solutions GmbH als Mutterunternehmen). Externe Investitionen sind optional, aber strategisch vorbereitet. Die Exit-Analyse zeigt potenzielle M&amp;A-Optionen ab Jahr 3.</w:t>
      </w:r>
    </w:p>
    <w:p>
      <w:pPr>
        <w:spacing w:before="80" w:after="0"/>
      </w:pPr>
      <w:r>
        <w:t xml:space="preserve"/>
      </w:r>
    </w:p>
    <w:p>
      <w:pPr>
        <w:spacing w:before="200" w:after="80"/>
      </w:pPr>
      <w:r>
        <w:rPr>
          <w:rFonts w:ascii="Calibri" w:cs="Calibri" w:eastAsia="Calibri" w:hAnsi="Calibri"/>
          <w:b/>
          <w:bCs/>
          <w:color w:val="006064"/>
          <w:sz w:val="23"/>
          <w:szCs w:val="23"/>
        </w:rPr>
        <w:t xml:space="preserve">GM8.1 Investitions-Szenarien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2000"/>
        <w:gridCol w:w="1400"/>
        <w:gridCol w:w="1026"/>
      </w:tblGrid>
      <w:tr>
        <w:trPr>
          <w:tblHeader/>
        </w:trPr>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Szenario</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Kapitalbedarf</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Zeitpunkt</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Investor-Typ</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Dilution (Est.)</w:t>
            </w:r>
          </w:p>
        </w:tc>
        <w:tc>
          <w:tcPr>
            <w:tcW w:type="dxa" w:w="10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Verwendungszweck</w:t>
            </w:r>
          </w:p>
        </w:tc>
      </w:tr>
      <w:tr>
        <w:tc>
          <w:tcPr>
            <w:tcW w:type="dxa" w:w="22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Bootstrapped (Basis-Plan)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€ 62K–87K (MVP)</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Sofort (NextGen IT intern)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Eigenkapital NextGen IT</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0%</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MVP-Entwicklung Phase 1</w:t>
            </w:r>
          </w:p>
        </w:tc>
      </w:tr>
      <w:tr>
        <w:tc>
          <w:tcPr>
            <w:tcW w:type="dxa" w:w="22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Angel-Runde (optional)</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€ 200K–400K</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Q1 2027 (nach Launch-Validierung)</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Business Angels (Krypto/FinTech)</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15–20%</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Phase 4 Beschleunigung: Aave, Stargate, ELSTER</w:t>
            </w:r>
          </w:p>
        </w:tc>
      </w:tr>
      <w:tr>
        <w:tc>
          <w:tcPr>
            <w:tcW w:type="dxa" w:w="22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Seed-Runde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€ 800K–2M</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Q3 2027 (nach Break-Even)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Seed-VCs (FinTech DE: Mango DSM, FinLeap)</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20–25%</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Team-Aufbau (5–7 FTE), Marketing-Skalierung</w:t>
            </w:r>
          </w:p>
        </w:tc>
      </w:tr>
      <w:tr>
        <w:tc>
          <w:tcPr>
            <w:tcW w:type="dxa" w:w="22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Series A</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€ 3–8M</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2028 (bei ARR &gt; €3M)</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FinTech-VCs (Finleap, CommerzVentures)</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20–30%</w:t>
            </w:r>
          </w:p>
        </w:tc>
        <w:tc>
          <w:tcPr>
            <w:tcW w:type="dxa" w:w="10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Internationalisierung (AT/CH), Enterprise-Sales</w:t>
            </w:r>
          </w:p>
        </w:tc>
      </w:tr>
    </w:tbl>
    <w:p>
      <w:pPr>
        <w:spacing w:before="80" w:after="0"/>
      </w:pPr>
      <w:r>
        <w:t xml:space="preserve"/>
      </w:r>
    </w:p>
    <w:p>
      <w:pPr>
        <w:spacing w:before="200" w:after="80"/>
      </w:pPr>
      <w:r>
        <w:rPr>
          <w:rFonts w:ascii="Calibri" w:cs="Calibri" w:eastAsia="Calibri" w:hAnsi="Calibri"/>
          <w:b/>
          <w:bCs/>
          <w:color w:val="006064"/>
          <w:sz w:val="23"/>
          <w:szCs w:val="23"/>
        </w:rPr>
        <w:t xml:space="preserve">GM8.2 Valuation-Schätzung (ARR-Multiples)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800"/>
        <w:gridCol w:w="1226"/>
      </w:tblGrid>
      <w:tr>
        <w:trPr>
          <w:tblHeader/>
        </w:trPr>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Zeitpunkt</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ARR (Schätzung)</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SaaS-Multiple</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Unternehmenswert</w:t>
            </w:r>
          </w:p>
        </w:tc>
        <w:tc>
          <w:tcPr>
            <w:tcW w:type="dxa" w:w="12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Bewertungsgrundlage</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Ende 2027 (Base-Case)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€ 1,5–3M</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8–12× ARR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€ 12–36M</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FinTech SaaS DE: 8–15× ARR (2026-Benchmarks)</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Ende 2028 (Scale)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€ 5–10M</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10–15× ARR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€ 50–150M</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Wachstums-Premium bei &gt;50% YoY-Wachstum</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Strategischer Exit (M&amp;A)</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€ 8–20M</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12–20× ARR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€ 96–400M</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Strategic M&amp;A bezahlt Premium (Technologie + Kundenstamm)</w:t>
            </w:r>
          </w:p>
        </w:tc>
      </w:tr>
    </w:tbl>
    <w:p>
      <w:pPr>
        <w:spacing w:before="80" w:after="0"/>
      </w:pPr>
      <w:r>
        <w:t xml:space="preserve"/>
      </w:r>
    </w:p>
    <w:p>
      <w:pPr>
        <w:spacing w:before="200" w:after="80"/>
      </w:pPr>
      <w:r>
        <w:rPr>
          <w:rFonts w:ascii="Calibri" w:cs="Calibri" w:eastAsia="Calibri" w:hAnsi="Calibri"/>
          <w:b/>
          <w:bCs/>
          <w:color w:val="006064"/>
          <w:sz w:val="23"/>
          <w:szCs w:val="23"/>
        </w:rPr>
        <w:t xml:space="preserve">GM8.3 M&amp;A Exit-Szenarien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00"/>
        <w:gridCol w:w="1400"/>
        <w:gridCol w:w="1226"/>
      </w:tblGrid>
      <w:tr>
        <w:trPr>
          <w:tblHeader/>
        </w:trPr>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Potentieller Käufer</w:t>
            </w:r>
          </w:p>
        </w:tc>
        <w:tc>
          <w:tcPr>
            <w:tcW w:type="dxa" w:w="1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Typ</w:t>
            </w:r>
          </w:p>
        </w:tc>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Strategische Logik</w:t>
            </w:r>
          </w:p>
        </w:tc>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Zeitfenster</w:t>
            </w:r>
          </w:p>
        </w:tc>
        <w:tc>
          <w:tcPr>
            <w:tcW w:type="dxa" w:w="12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Exit-Wahrscheinlichkeit</w:t>
            </w:r>
          </w:p>
        </w:tc>
      </w:tr>
      <w:tr>
        <w:tc>
          <w:tcPr>
            <w:tcW w:type="dxa" w:w="24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CoinTracking</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Strategisch</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Flare-DeFi-Technologie + Kundenstamm ergänzt CoinTracking. Eliminiert Wettbewerb.</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Q4 2027 – Q2 2028</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MITTEL-HOCH (wahrscheinlichstes Szenario)</w:t>
            </w:r>
          </w:p>
        </w:tc>
      </w:tr>
      <w:tr>
        <w:tc>
          <w:tcPr>
            <w:tcW w:type="dxa" w:w="24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Blockpit AG</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Strategisch</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Flare-Expertise + API-Infrastruktur ergänzt Blockpit's DACH-Stärke nach Accointing-Übernahme.</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Q2 2028–2029</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r>
      <w:tr>
        <w:tc>
          <w:tcPr>
            <w:tcW w:type="dxa" w:w="24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DATEV eG</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Strategisch</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Krypto-Kompetenz für 40.000+ Steuerberater-Kanzleien; Ergänzung des DATEV-Ökosystems.</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2028–2029</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NIEDRIG-MITTEL (DATEV bewegt sich langsam)</w:t>
            </w:r>
          </w:p>
        </w:tc>
      </w:tr>
      <w:tr>
        <w:tc>
          <w:tcPr>
            <w:tcW w:type="dxa" w:w="24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FinTech-Konglomerat (Finleap/CommerzVentures)</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Finanziell</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Portfolio-Ergänzung; Exit via IPO oder Secondary Sale in 3–5 Jahren.</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Nach Series A (2028+)</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 (rein finanziell)</w:t>
            </w:r>
          </w:p>
        </w:tc>
      </w:tr>
      <w:tr>
        <w:tc>
          <w:tcPr>
            <w:tcW w:type="dxa" w:w="24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Flare Network Foundation</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Strategisch</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Natives Tracking-Tool für das eigene Ökosystem; Stärkung des Flare-DeFi-Angebots.</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2027–2028 (Protokoll-Level)</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 (Stiftungen kaufen selten Tools)</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GM9. Sensitivitätsanalyse &amp; Key Assumptions</w:t>
      </w:r>
    </w:p>
    <w:p>
      <w:pPr>
        <w:spacing w:before="60" w:after="90"/>
      </w:pPr>
      <w:r>
        <w:rPr>
          <w:rFonts w:ascii="Calibri" w:cs="Calibri" w:eastAsia="Calibri" w:hAnsi="Calibri"/>
          <w:color w:val="212121"/>
          <w:sz w:val="21"/>
          <w:szCs w:val="21"/>
        </w:rPr>
        <w:t xml:space="preserve">Die Sensitivitätsanalyse identifiziert, welche Annahmen den größten Hebel auf die ARR-2027-Prognose haben. Sie hilft dem Management, Ressourcen auf die kritischsten Erfolgsfaktoren zu fokussieren.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500"/>
        <w:gridCol w:w="1500"/>
        <w:gridCol w:w="1500"/>
        <w:gridCol w:w="226"/>
      </w:tblGrid>
      <w:tr>
        <w:trPr>
          <w:tblHeader/>
        </w:trPr>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Annahme</w:t>
            </w:r>
          </w:p>
        </w:tc>
        <w:tc>
          <w:tcPr>
            <w:tcW w:type="dxa" w:w="1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Base-Case-Wert</w:t>
            </w:r>
          </w:p>
        </w:tc>
        <w:tc>
          <w:tcPr>
            <w:tcW w:type="dxa" w:w="1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Pessimistisch</w:t>
            </w:r>
          </w:p>
        </w:tc>
        <w:tc>
          <w:tcPr>
            <w:tcW w:type="dxa" w:w="1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Optimistisch</w:t>
            </w:r>
          </w:p>
        </w:tc>
        <w:tc>
          <w:tcPr>
            <w:tcW w:type="dxa" w:w="1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Impact auf ARR 2027 (+/–)</w:t>
            </w:r>
          </w:p>
        </w:tc>
        <w:tc>
          <w:tcPr>
            <w:tcW w:type="dxa" w:w="2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Priorität</w:t>
            </w:r>
          </w:p>
        </w:tc>
      </w:tr>
      <w:tr>
        <w:tc>
          <w:tcPr>
            <w:tcW w:type="dxa" w:w="26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Monatliche Neukundengewinnung</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250–400/Monat (nach Launch)</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100/Monat</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800+/Monat</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±60–70% ARR</w:t>
            </w:r>
          </w:p>
        </w:tc>
        <w:tc>
          <w:tcPr>
            <w:tcW w:type="dxa" w:w="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SEHR HOCH</w:t>
            </w:r>
          </w:p>
        </w:tc>
      </w:tr>
      <w:tr>
        <w:tc>
          <w:tcPr>
            <w:tcW w:type="dxa" w:w="26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Monatliche Churn-Rate (B2C)</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3–4%</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7–8%</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1–2%</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±30–40% ARR</w:t>
            </w:r>
          </w:p>
        </w:tc>
        <w:tc>
          <w:tcPr>
            <w:tcW w:type="dxa" w:w="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SEHR HOCH</w:t>
            </w:r>
          </w:p>
        </w:tc>
      </w:tr>
      <w:tr>
        <w:tc>
          <w:tcPr>
            <w:tcW w:type="dxa" w:w="26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Conversion Trial → Paid</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35%</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±25–35% ARR</w:t>
            </w:r>
          </w:p>
        </w:tc>
        <w:tc>
          <w:tcPr>
            <w:tcW w:type="dxa" w:w="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HOCH</w:t>
            </w:r>
          </w:p>
        </w:tc>
      </w:tr>
      <w:tr>
        <w:tc>
          <w:tcPr>
            <w:tcW w:type="dxa" w:w="26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ARPU (Ø Monat)</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€ 22</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€ 12</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€ 35</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±20–30% ARR</w:t>
            </w:r>
          </w:p>
        </w:tc>
        <w:tc>
          <w:tcPr>
            <w:tcW w:type="dxa" w:w="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HOCH</w:t>
            </w:r>
          </w:p>
        </w:tc>
      </w:tr>
      <w:tr>
        <w:tc>
          <w:tcPr>
            <w:tcW w:type="dxa" w:w="26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Flare Network TVL-Wachstum</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Moderat (+50%/Jahr)</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Stagnation oder –20%</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Explosion (+200%/Jahr)</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±15–25% ARR</w:t>
            </w:r>
          </w:p>
        </w:tc>
        <w:tc>
          <w:tcPr>
            <w:tcW w:type="dxa" w:w="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MITTEL</w:t>
            </w:r>
          </w:p>
        </w:tc>
      </w:tr>
      <w:tr>
        <w:tc>
          <w:tcPr>
            <w:tcW w:type="dxa" w:w="26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B2B-Kanzlei-Adoptionsrate</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5–10 Kanzleien bis Ende 2026</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1–2 Kanzleien</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25+ Kanzleien</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±10–20% ARR</w:t>
            </w:r>
          </w:p>
        </w:tc>
        <w:tc>
          <w:tcPr>
            <w:tcW w:type="dxa" w:w="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MITTEL</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CoinTracking-Partnerschaft</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Nicht gesichert</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Deal</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Aktive Empfehlung durch CT</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±8–15% ARR</w:t>
            </w:r>
          </w:p>
        </w:tc>
        <w:tc>
          <w:tcPr>
            <w:tcW w:type="dxa" w:w="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MITTEL</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Infrastrukturkosten-Skalierung</w:t>
            </w:r>
          </w:p>
        </w:tc>
        <w:tc>
          <w:tcPr>
            <w:tcW w:type="dxa" w:w="1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Linear mit Nutzern</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Super-linear (+20% je Verdopplung)</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Sub-linear (–10% durch Optimierung)</w:t>
            </w:r>
          </w:p>
        </w:tc>
        <w:tc>
          <w:tcPr>
            <w:tcW w:type="dxa" w:w="1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±3–8% Marge</w:t>
            </w:r>
          </w:p>
        </w:tc>
        <w:tc>
          <w:tcPr>
            <w:tcW w:type="dxa" w:w="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NIEDRIG</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thick" w:color="B71C1C" w:sz="18"/>
              <w:bottom w:val="single" w:color="B71C1C" w:sz="1"/>
              <w:right w:val="single" w:color="B71C1C" w:sz="1"/>
            </w:tcBorders>
            <w:shd w:fill="FFEBEE" w:val="clear"/>
            <w:tcMar>
              <w:top w:type="dxa" w:w="110"/>
              <w:left w:type="dxa" w:w="200"/>
              <w:bottom w:type="dxa" w:w="110"/>
              <w:right w:type="dxa" w:w="140"/>
            </w:tcMar>
          </w:tcPr>
          <w:p>
            <w:pPr>
              <w:spacing w:before="0" w:after="40"/>
            </w:pPr>
            <w:r>
              <w:rPr>
                <w:rFonts w:ascii="Calibri" w:cs="Calibri" w:eastAsia="Calibri" w:hAnsi="Calibri"/>
                <w:b/>
                <w:bCs/>
                <w:color w:val="B71C1C"/>
                <w:sz w:val="21"/>
                <w:szCs w:val="21"/>
              </w:rPr>
              <w:t xml:space="preserve">Kritischste Annahme: Neukundengewinnung</w:t>
            </w:r>
          </w:p>
          <w:p>
            <w:pPr>
              <w:spacing w:before="0" w:after="0"/>
            </w:pPr>
            <w:r>
              <w:rPr>
                <w:rFonts w:ascii="Calibri" w:cs="Calibri" w:eastAsia="Calibri" w:hAnsi="Calibri"/>
                <w:color w:val="212121"/>
                <w:sz w:val="20"/>
                <w:szCs w:val="20"/>
              </w:rPr>
              <w:t xml:space="preserve">Die monatliche Neukundengewinnung ist der dominante Hebel – mehr als ARPU, Churn oder Infrastrukturkosten zusammen. Eine Verdoppelung der Neukundenrate (von 250 auf 500/Monat) erhöht den ARR 2027 um ~60%, während eine Halbierung ihn um 40% reduziert. Konsequenz: Die erste Ressourcenpriorität nach dem MVP-Launch muss der Aufbau eines robusten, skalierbaren Akquisitionskanals (SEO + Community) sein – noch vor Feature-Entwicklung für Phase 4.</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GM10. Strategische Meilensteine &amp; OKRs</w:t>
      </w:r>
    </w:p>
    <w:p>
      <w:pPr>
        <w:spacing w:before="60" w:after="90"/>
      </w:pPr>
      <w:r>
        <w:rPr>
          <w:rFonts w:ascii="Calibri" w:cs="Calibri" w:eastAsia="Calibri" w:hAnsi="Calibri"/>
          <w:color w:val="212121"/>
          <w:sz w:val="21"/>
          <w:szCs w:val="21"/>
        </w:rPr>
        <w:t xml:space="preserve">Die Operational Key Results (OKRs) übersetzen die Finanzprognose in operative Ziele, die quartalsweise gemessen werden. Sie dienen als Management-Framework für die Priorisierung von Ressourcen.</w:t>
      </w:r>
    </w:p>
    <w:p>
      <w:pPr>
        <w:spacing w:before="80" w:after="0"/>
      </w:pPr>
      <w:r>
        <w:t xml:space="preserve"/>
      </w:r>
    </w:p>
    <w:p>
      <w:pPr>
        <w:spacing w:before="200" w:after="80"/>
      </w:pPr>
      <w:r>
        <w:rPr>
          <w:rFonts w:ascii="Calibri" w:cs="Calibri" w:eastAsia="Calibri" w:hAnsi="Calibri"/>
          <w:b/>
          <w:bCs/>
          <w:color w:val="006064"/>
          <w:sz w:val="23"/>
          <w:szCs w:val="23"/>
        </w:rPr>
        <w:t xml:space="preserve">GM10.1 OKRs 2026/2027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500"/>
        <w:gridCol w:w="1300"/>
        <w:gridCol w:w="826"/>
      </w:tblGrid>
      <w:tr>
        <w:trPr>
          <w:tblHeader/>
        </w:trPr>
        <w:tc>
          <w:tcPr>
            <w:tcW w:type="dxa" w:w="1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Periode</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Objective</w:t>
            </w:r>
          </w:p>
        </w:tc>
        <w:tc>
          <w:tcPr>
            <w:tcW w:type="dxa" w:w="35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Key Results</w:t>
            </w:r>
          </w:p>
        </w:tc>
        <w:tc>
          <w:tcPr>
            <w:tcW w:type="dxa" w:w="13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Owner</w:t>
            </w:r>
          </w:p>
        </w:tc>
        <w:tc>
          <w:tcPr>
            <w:tcW w:type="dxa" w:w="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Messung</w:t>
            </w:r>
          </w:p>
        </w:tc>
      </w:tr>
      <w:tr>
        <w:tc>
          <w:tcPr>
            <w:tcW w:type="dxa" w:w="14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Q3 2026
(Pre-Launch)</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Marktreifes MVP starten</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 MVP-Deployment auf Hetzner ✓
(2) CoinTracking-Import E2E-Test: 100% aller TX-Typen ✓
(3) 50 Beta-Nutzer aus Flare-Community mit positivem Feedback ✓</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CTO + Dev-Team</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Beta-Test-Abschlussreport</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Q4 2026
(Launch)</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Erste 500 zahlende Nutzer</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 ≥ 300 zahlende Nutzer bis Dez 2026
(2) MRR ≥ € 6.000
(3) Churn &lt; 5%/Monat
(4) Flare-Foundation-Partnerschaft verhandelt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CEO + Marketing</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Dashboard-Metriken</w:t>
            </w:r>
          </w:p>
        </w:tc>
      </w:tr>
      <w:tr>
        <w:tc>
          <w:tcPr>
            <w:tcW w:type="dxa" w:w="14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Q1 2027</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Break-Even &amp; B2B-Einstieg</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 MRR ≥ € 30.000 (Break-Even mit 2 FTE)
(2) ≥ 3 Steuerberater-Kanzleien als B2B-Kunden
(3) NPS ≥ 50
(4) Stargate-Integration gestartet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CTO + CEO</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P&amp;L-Report</w:t>
            </w:r>
          </w:p>
        </w:tc>
      </w:tr>
      <w:tr>
        <w:tc>
          <w:tcPr>
            <w:tcW w:type="dxa" w:w="14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Q2 2027</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Skalierung &amp; API-Launch</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 ≥ 5.000 zahlende Nutzer
(2) API-Beta mit 3 externen Partnern live
(3) White-Label: 1 Kanzlei-Vertrag signed
(4) ELSTER-Export in Production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CTO + BizDev</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ARR-Dashboard</w:t>
            </w:r>
          </w:p>
        </w:tc>
      </w:tr>
      <w:tr>
        <w:tc>
          <w:tcPr>
            <w:tcW w:type="dxa" w:w="1400"/>
            <w:tcBorders>
              <w:top w:val="single" w:color="CFD8DC" w:sz="1"/>
              <w:left w:val="single" w:color="CFD8DC" w:sz="1"/>
              <w:bottom w:val="single" w:color="CFD8DC" w:sz="1"/>
              <w:right w:val="single" w:color="CFD8DC" w:sz="1"/>
            </w:tcBorders>
            <w:shd w:fill="E0F2F1" w:val="clear"/>
            <w:tcMar>
              <w:top w:type="dxa" w:w="80"/>
              <w:left w:type="dxa" w:w="130"/>
              <w:bottom w:type="dxa" w:w="80"/>
              <w:right w:type="dxa" w:w="80"/>
            </w:tcMar>
          </w:tcPr>
          <w:p>
            <w:pPr>
              <w:jc w:val="left"/>
            </w:pPr>
            <w:r>
              <w:rPr>
                <w:rFonts w:ascii="Calibri" w:cs="Calibri" w:eastAsia="Calibri" w:hAnsi="Calibri"/>
                <w:b/>
                <w:bCs/>
                <w:color w:val="004D40"/>
                <w:sz w:val="20"/>
                <w:szCs w:val="20"/>
              </w:rPr>
              <w:t xml:space="preserve">Q3–Q4 2027</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Series-A-Readiness</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 ARR ≥ € 1,5M
(2) NRR ≥ 110%
(3) LTV:CAC ≥ 5:1 gemessen
(4) ISO-27001-Zertifizierungsprozess gestartet</w:t>
            </w:r>
          </w:p>
        </w:tc>
        <w:tc>
          <w:tcPr>
            <w:tcW w:type="dxa" w:w="13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CEO + CFO</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Investor-Deck-Metriken</w:t>
            </w:r>
          </w:p>
        </w:tc>
      </w:tr>
    </w:tbl>
    <w:p>
      <w:pPr>
        <w:spacing w:before="200" w:after="0"/>
      </w:pPr>
      <w:r>
        <w:t xml:space="preserve"/>
      </w:r>
    </w:p>
    <w:p>
      <w:pPr>
        <w:pBdr>
          <w:top w:val="single" w:color="0D47A1" w:sz="4" w:space="8"/>
        </w:pBdr>
        <w:spacing w:before="200" w:after="0"/>
        <w:jc w:val="center"/>
      </w:pPr>
      <w:r>
        <w:rPr>
          <w:rFonts w:ascii="Calibri" w:cs="Calibri" w:eastAsia="Calibri" w:hAnsi="Calibri"/>
          <w:i/>
          <w:iCs/>
          <w:color w:val="999999"/>
          <w:sz w:val="17"/>
          <w:szCs w:val="17"/>
        </w:rPr>
        <w:t xml:space="preserve">Geschäftsmodell- &amp; Marktanalyse – NextGen IT Solutions GmbH, Stuttgart · März 2026 · Alle Finanzprognosen sind Schätzungen und keine Garantien. Kein Ersatz für professionelle Unternehmensberatung.</w:t>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2"/>
              <w:left w:val="single" w:color="0D47A1" w:sz="1"/>
              <w:bottom w:val="single" w:color="E65100" w:sz="6"/>
              <w:right w:val="single" w:color="0D47A1" w:sz="1"/>
            </w:tcBorders>
            <w:shd w:fill="0A3880" w:val="clear"/>
            <w:tcMar>
              <w:top w:type="dxa" w:w="160"/>
              <w:left w:type="dxa" w:w="280"/>
              <w:bottom w:type="dxa" w:w="160"/>
              <w:right w:type="dxa" w:w="200"/>
            </w:tcMar>
          </w:tcPr>
          <w:p>
            <w:pPr>
              <w:spacing w:before="0" w:after="40"/>
              <w:jc w:val="center"/>
            </w:pPr>
            <w:r>
              <w:rPr>
                <w:rFonts w:ascii="Calibri" w:cs="Calibri" w:eastAsia="Calibri" w:hAnsi="Calibri"/>
                <w:b/>
                <w:bCs/>
                <w:color w:val="FFFFFF"/>
                <w:sz w:val="40"/>
                <w:szCs w:val="40"/>
              </w:rPr>
              <w:t xml:space="preserve">ADMIN DASHBOARD</w:t>
            </w:r>
          </w:p>
          <w:p>
            <w:pPr>
              <w:spacing w:before="0" w:after="0"/>
              <w:jc w:val="center"/>
            </w:pPr>
            <w:r>
              <w:rPr>
                <w:rFonts w:ascii="Calibri" w:cs="Calibri" w:eastAsia="Calibri" w:hAnsi="Calibri"/>
                <w:color w:val="B0C4DE"/>
                <w:sz w:val="22"/>
                <w:szCs w:val="22"/>
              </w:rPr>
              <w:t xml:space="preserve">Vollständige Dokumentation — Konzept · Navigation · Module · Technische Spezifikation · Stand: März 2026</w:t>
            </w:r>
          </w:p>
        </w:tc>
      </w:tr>
    </w:tbl>
    <w:p>
      <w:pPr>
        <w:spacing w:before="200" w:after="0"/>
      </w:pPr>
      <w:r>
        <w:t xml:space="preserve"/>
      </w:r>
    </w:p>
    <w:p>
      <w:pPr>
        <w:pStyle w:val="Heading1"/>
        <w:pBdr>
          <w:bottom w:val="single" w:color="0D47A1" w:sz="4" w:space="6"/>
        </w:pBdr>
        <w:spacing w:before="360" w:after="160"/>
      </w:pPr>
      <w:r>
        <w:rPr>
          <w:rFonts w:ascii="Calibri" w:cs="Calibri" w:eastAsia="Calibri" w:hAnsi="Calibri"/>
          <w:b/>
          <w:bCs/>
          <w:color w:val="0D47A1"/>
          <w:sz w:val="36"/>
          <w:szCs w:val="36"/>
        </w:rPr>
        <w:t xml:space="preserve">AD0. Executive Summary – Admin Dashboard</w:t>
      </w:r>
    </w:p>
    <w:p>
      <w:pPr>
        <w:spacing w:before="60" w:after="90"/>
      </w:pPr>
      <w:r>
        <w:rPr>
          <w:rFonts w:ascii="Calibri" w:cs="Calibri" w:eastAsia="Calibri" w:hAnsi="Calibri"/>
          <w:color w:val="212121"/>
          <w:sz w:val="21"/>
          <w:szCs w:val="21"/>
        </w:rPr>
        <w:t xml:space="preserve">Das Admin Dashboard ist die zentrale Steuerungsebene für den Betrieb des DeFi Tracker SaaS-Tools durch das NextGen IT Solutions GmbH Operations-Team. Es konsolidiert alle administrativen Tätigkeiten in einer einzigen, dunkel gestalteten Web-Oberfläche, die ohne externe Abhängigkeiten (Single HTML-File) ausgeliefert wird und direkt im Browser läuft.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3B7BF8" w:sz="4"/>
              <w:left w:val="single" w:color="2A3655" w:sz="1"/>
              <w:bottom w:val="single" w:color="2A3655" w:sz="1"/>
              <w:right w:val="single" w:color="2A3655" w:sz="1"/>
            </w:tcBorders>
            <w:shd w:fill="0F1629" w:val="clear"/>
            <w:tcMar>
              <w:top w:type="dxa" w:w="100"/>
              <w:left w:type="dxa" w:w="130"/>
              <w:bottom w:type="dxa" w:w="100"/>
              <w:right w:type="dxa" w:w="80"/>
            </w:tcMar>
          </w:tcPr>
          <w:p>
            <w:pPr>
              <w:spacing w:before="0" w:after="30"/>
            </w:pPr>
            <w:r>
              <w:rPr>
                <w:rFonts w:ascii="Courier New" w:cs="Courier New" w:eastAsia="Courier New" w:hAnsi="Courier New"/>
                <w:color w:val="4E6087"/>
                <w:sz w:val="17"/>
                <w:szCs w:val="17"/>
              </w:rPr>
              <w:t xml:space="preserve">Module gesamt</w:t>
            </w:r>
          </w:p>
          <w:p>
            <w:pPr>
              <w:spacing w:before="0" w:after="20"/>
            </w:pPr>
            <w:r>
              <w:rPr>
                <w:rFonts w:ascii="Courier New" w:cs="Courier New" w:eastAsia="Courier New" w:hAnsi="Courier New"/>
                <w:b/>
                <w:bCs/>
                <w:color w:val="3B7BF8"/>
                <w:sz w:val="26"/>
                <w:szCs w:val="26"/>
              </w:rPr>
              <w:t xml:space="preserve">9</w:t>
            </w:r>
          </w:p>
          <w:p>
            <w:pPr>
              <w:spacing w:before="0" w:after="0"/>
            </w:pPr>
            <w:r>
              <w:rPr>
                <w:rFonts w:ascii="Courier New" w:cs="Courier New" w:eastAsia="Courier New" w:hAnsi="Courier New"/>
                <w:color w:val="4E6087"/>
                <w:sz w:val="15"/>
                <w:szCs w:val="15"/>
              </w:rPr>
              <w:t xml:space="preserve">vollst. abgedeckt</w:t>
            </w:r>
          </w:p>
        </w:tc>
        <w:tc>
          <w:tcPr>
            <w:tcW w:type="dxa" w:w="2256"/>
            <w:tcBorders>
              <w:top w:val="single" w:color="06CFCF" w:sz="4"/>
              <w:left w:val="single" w:color="2A3655" w:sz="1"/>
              <w:bottom w:val="single" w:color="2A3655" w:sz="1"/>
              <w:right w:val="single" w:color="2A3655" w:sz="1"/>
            </w:tcBorders>
            <w:shd w:fill="0F1629" w:val="clear"/>
            <w:tcMar>
              <w:top w:type="dxa" w:w="100"/>
              <w:left w:type="dxa" w:w="130"/>
              <w:bottom w:type="dxa" w:w="100"/>
              <w:right w:type="dxa" w:w="80"/>
            </w:tcMar>
          </w:tcPr>
          <w:p>
            <w:pPr>
              <w:spacing w:before="0" w:after="30"/>
            </w:pPr>
            <w:r>
              <w:rPr>
                <w:rFonts w:ascii="Courier New" w:cs="Courier New" w:eastAsia="Courier New" w:hAnsi="Courier New"/>
                <w:color w:val="4E6087"/>
                <w:sz w:val="17"/>
                <w:szCs w:val="17"/>
              </w:rPr>
              <w:t xml:space="preserve">Admin-Bereiche</w:t>
            </w:r>
          </w:p>
          <w:p>
            <w:pPr>
              <w:spacing w:before="0" w:after="20"/>
            </w:pPr>
            <w:r>
              <w:rPr>
                <w:rFonts w:ascii="Courier New" w:cs="Courier New" w:eastAsia="Courier New" w:hAnsi="Courier New"/>
                <w:b/>
                <w:bCs/>
                <w:color w:val="06CFCF"/>
                <w:sz w:val="26"/>
                <w:szCs w:val="26"/>
              </w:rPr>
              <w:t xml:space="preserve">10</w:t>
            </w:r>
          </w:p>
          <w:p>
            <w:pPr>
              <w:spacing w:before="0" w:after="0"/>
            </w:pPr>
            <w:r>
              <w:rPr>
                <w:rFonts w:ascii="Courier New" w:cs="Courier New" w:eastAsia="Courier New" w:hAnsi="Courier New"/>
                <w:color w:val="4E6087"/>
                <w:sz w:val="15"/>
                <w:szCs w:val="15"/>
              </w:rPr>
              <w:t xml:space="preserve">Navigation-Items</w:t>
            </w:r>
          </w:p>
        </w:tc>
        <w:tc>
          <w:tcPr>
            <w:tcW w:type="dxa" w:w="2256"/>
            <w:tcBorders>
              <w:top w:val="single" w:color="22D37A" w:sz="4"/>
              <w:left w:val="single" w:color="2A3655" w:sz="1"/>
              <w:bottom w:val="single" w:color="2A3655" w:sz="1"/>
              <w:right w:val="single" w:color="2A3655" w:sz="1"/>
            </w:tcBorders>
            <w:shd w:fill="0F1629" w:val="clear"/>
            <w:tcMar>
              <w:top w:type="dxa" w:w="100"/>
              <w:left w:type="dxa" w:w="130"/>
              <w:bottom w:type="dxa" w:w="100"/>
              <w:right w:type="dxa" w:w="80"/>
            </w:tcMar>
          </w:tcPr>
          <w:p>
            <w:pPr>
              <w:spacing w:before="0" w:after="30"/>
            </w:pPr>
            <w:r>
              <w:rPr>
                <w:rFonts w:ascii="Courier New" w:cs="Courier New" w:eastAsia="Courier New" w:hAnsi="Courier New"/>
                <w:color w:val="4E6087"/>
                <w:sz w:val="17"/>
                <w:szCs w:val="17"/>
              </w:rPr>
              <w:t xml:space="preserve">Interaktive Elemente</w:t>
            </w:r>
          </w:p>
          <w:p>
            <w:pPr>
              <w:spacing w:before="0" w:after="20"/>
            </w:pPr>
            <w:r>
              <w:rPr>
                <w:rFonts w:ascii="Courier New" w:cs="Courier New" w:eastAsia="Courier New" w:hAnsi="Courier New"/>
                <w:b/>
                <w:bCs/>
                <w:color w:val="22D37A"/>
                <w:sz w:val="26"/>
                <w:szCs w:val="26"/>
              </w:rPr>
              <w:t xml:space="preserve">100+</w:t>
            </w:r>
          </w:p>
          <w:p>
            <w:pPr>
              <w:spacing w:before="0" w:after="0"/>
            </w:pPr>
            <w:r>
              <w:rPr>
                <w:rFonts w:ascii="Courier New" w:cs="Courier New" w:eastAsia="Courier New" w:hAnsi="Courier New"/>
                <w:color w:val="4E6087"/>
                <w:sz w:val="15"/>
                <w:szCs w:val="15"/>
              </w:rPr>
              <w:t xml:space="preserve">Buttons, Filter, Charts</w:t>
            </w:r>
          </w:p>
        </w:tc>
        <w:tc>
          <w:tcPr>
            <w:tcW w:type="dxa" w:w="2258"/>
            <w:tcBorders>
              <w:top w:val="single" w:color="F5A623" w:sz="4"/>
              <w:left w:val="single" w:color="2A3655" w:sz="1"/>
              <w:bottom w:val="single" w:color="2A3655" w:sz="1"/>
              <w:right w:val="single" w:color="2A3655" w:sz="1"/>
            </w:tcBorders>
            <w:shd w:fill="0F1629" w:val="clear"/>
            <w:tcMar>
              <w:top w:type="dxa" w:w="100"/>
              <w:left w:type="dxa" w:w="130"/>
              <w:bottom w:type="dxa" w:w="100"/>
              <w:right w:type="dxa" w:w="80"/>
            </w:tcMar>
          </w:tcPr>
          <w:p>
            <w:pPr>
              <w:spacing w:before="0" w:after="30"/>
            </w:pPr>
            <w:r>
              <w:rPr>
                <w:rFonts w:ascii="Courier New" w:cs="Courier New" w:eastAsia="Courier New" w:hAnsi="Courier New"/>
                <w:color w:val="4E6087"/>
                <w:sz w:val="17"/>
                <w:szCs w:val="17"/>
              </w:rPr>
              <w:t xml:space="preserve">Implementierung</w:t>
            </w:r>
          </w:p>
          <w:p>
            <w:pPr>
              <w:spacing w:before="0" w:after="20"/>
            </w:pPr>
            <w:r>
              <w:rPr>
                <w:rFonts w:ascii="Courier New" w:cs="Courier New" w:eastAsia="Courier New" w:hAnsi="Courier New"/>
                <w:b/>
                <w:bCs/>
                <w:color w:val="F5A623"/>
                <w:sz w:val="26"/>
                <w:szCs w:val="26"/>
              </w:rPr>
              <w:t xml:space="preserve">HTML/JS</w:t>
            </w:r>
          </w:p>
          <w:p>
            <w:pPr>
              <w:spacing w:before="0" w:after="0"/>
            </w:pPr>
            <w:r>
              <w:rPr>
                <w:rFonts w:ascii="Courier New" w:cs="Courier New" w:eastAsia="Courier New" w:hAnsi="Courier New"/>
                <w:color w:val="4E6087"/>
                <w:sz w:val="15"/>
                <w:szCs w:val="15"/>
              </w:rPr>
              <w:t xml:space="preserve">Single-File, kein Framework</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
              <w:left w:val="thick" w:color="0D47A1" w:sz="18"/>
              <w:bottom w:val="single" w:color="0D47A1" w:sz="1"/>
              <w:right w:val="single" w:color="0D47A1" w:sz="1"/>
            </w:tcBorders>
            <w:shd w:fill="E3F2FD" w:val="clear"/>
            <w:tcMar>
              <w:top w:type="dxa" w:w="110"/>
              <w:left w:type="dxa" w:w="200"/>
              <w:bottom w:type="dxa" w:w="110"/>
              <w:right w:type="dxa" w:w="140"/>
            </w:tcMar>
          </w:tcPr>
          <w:p>
            <w:pPr>
              <w:spacing w:before="0" w:after="40"/>
            </w:pPr>
            <w:r>
              <w:rPr>
                <w:rFonts w:ascii="Calibri" w:cs="Calibri" w:eastAsia="Calibri" w:hAnsi="Calibri"/>
                <w:b/>
                <w:bCs/>
                <w:color w:val="0D47A1"/>
                <w:sz w:val="21"/>
                <w:szCs w:val="21"/>
              </w:rPr>
              <w:t xml:space="preserve">Zugang und Deployment</w:t>
            </w:r>
          </w:p>
          <w:p>
            <w:pPr>
              <w:spacing w:before="0" w:after="0"/>
            </w:pPr>
            <w:r>
              <w:rPr>
                <w:rFonts w:ascii="Calibri" w:cs="Calibri" w:eastAsia="Calibri" w:hAnsi="Calibri"/>
                <w:color w:val="212121"/>
                <w:sz w:val="20"/>
                <w:szCs w:val="20"/>
              </w:rPr>
              <w:t xml:space="preserve">Das Admin Dashboard wird als eigenständige Datei DeFiTracker_AdminDashboard.html ausgeliefert. Im Produktionsbetrieb ist die Datei ausschließlich über ein internes VPN oder hinter HTTP Basic Auth erreichbar (Hetzner Nginx-Konfiguration). Kein öffentlicher Zugang. Kein Nutzer-Login über das Admin-Panel selbst. Zugang nur für autorisierte NextGen-IT-Mitarbeiter.</w:t>
            </w:r>
          </w:p>
        </w:tc>
      </w:tr>
    </w:tbl>
    <w:p>
      <w:pPr>
        <w:spacing w:before="60" w:after="0"/>
      </w:pPr>
      <w:r>
        <w:t xml:space="preserve"/>
      </w:r>
    </w:p>
    <w:p>
      <w:pPr>
        <w:spacing w:before="60" w:after="90"/>
      </w:pPr>
      <w:r>
        <w:rPr>
          <w:rFonts w:ascii="Calibri" w:cs="Calibri" w:eastAsia="Calibri" w:hAnsi="Calibri"/>
          <w:color w:val="212121"/>
          <w:sz w:val="21"/>
          <w:szCs w:val="21"/>
        </w:rPr>
        <w:t xml:space="preserve">Das Dashboard ist responsiv gestaltet (ab 900px Bildschirmbreite vollständig nutzbar) und unterstützt ausschließlich Desktop-Verwendung durch das Ops-Team. Es enthält keine personenbezogenen Nutzerdaten im Klartext – alle sensiblen Felder werden maskiert dargestellt.</w:t>
      </w:r>
    </w:p>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AD1. Navigation &amp; Seitenstruktur</w:t>
      </w:r>
    </w:p>
    <w:p>
      <w:pPr>
        <w:spacing w:before="60" w:after="90"/>
      </w:pPr>
      <w:r>
        <w:rPr>
          <w:rFonts w:ascii="Calibri" w:cs="Calibri" w:eastAsia="Calibri" w:hAnsi="Calibri"/>
          <w:color w:val="212121"/>
          <w:sz w:val="21"/>
          <w:szCs w:val="21"/>
        </w:rPr>
        <w:t xml:space="preserve">Das Dashboard ist als Single-Page-Application (SPA) mit einer persistenten Sidebar-Navigation implementiert. Jeder Navigationsbereich wird clientseitig gerendert – kein Seitenreload erforderlich. Die folgende Übersicht zeigt die vollständige Navigationsstruktur inklusive Badge-Zähler für kritische Einträge.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3B7BF8" w:sz="4"/>
              <w:left w:val="single" w:color="3B7BF8" w:sz="4"/>
              <w:bottom w:val="single" w:color="2A3655" w:sz="1"/>
              <w:right w:val="single" w:color="2A3655" w:sz="1"/>
            </w:tcBorders>
            <w:shd w:fill="0F1629" w:val="clear"/>
            <w:tcMar>
              <w:top w:type="dxa" w:w="80"/>
              <w:left w:type="dxa" w:w="120"/>
              <w:bottom w:type="dxa" w:w="80"/>
              <w:right w:type="dxa" w:w="80"/>
            </w:tcMar>
          </w:tcPr>
          <w:p>
            <w:pPr>
              <w:spacing w:before="0" w:after="60"/>
            </w:pPr>
            <w:r>
              <w:rPr>
                <w:rFonts w:ascii="Courier New" w:cs="Courier New" w:eastAsia="Courier New" w:hAnsi="Courier New"/>
                <w:b/>
                <w:bCs/>
                <w:color w:val="3B7BF8"/>
                <w:sz w:val="18"/>
                <w:szCs w:val="18"/>
              </w:rPr>
              <w:t xml:space="preserve">DeFi Tracker</w:t>
            </w:r>
            <w:r>
              <w:rPr>
                <w:rFonts w:ascii="Courier New" w:cs="Courier New" w:eastAsia="Courier New" w:hAnsi="Courier New"/>
                <w:color w:val="4E6087"/>
                <w:sz w:val="15"/>
                <w:szCs w:val="15"/>
              </w:rPr>
              <w:t xml:space="preserve">  Admin Panel</w:t>
            </w:r>
          </w:p>
          <w:p>
            <w:pPr>
              <w:spacing w:before="0" w:after="30"/>
            </w:pPr>
            <w:r>
              <w:rPr>
                <w:rFonts w:ascii="Courier New" w:cs="Courier New" w:eastAsia="Courier New" w:hAnsi="Courier New"/>
                <w:color w:val="3B7BF8"/>
                <w:sz w:val="17"/>
                <w:szCs w:val="17"/>
              </w:rPr>
              <w:t xml:space="preserve">▶ </w:t>
            </w:r>
            <w:r>
              <w:rPr>
                <w:rFonts w:ascii="Courier New" w:cs="Courier New" w:eastAsia="Courier New" w:hAnsi="Courier New"/>
                <w:b/>
                <w:bCs/>
                <w:color w:val="3B7BF8"/>
                <w:sz w:val="17"/>
                <w:szCs w:val="17"/>
              </w:rPr>
              <w:t xml:space="preserve">Dashboard</w:t>
            </w:r>
          </w:p>
          <w:p>
            <w:pPr>
              <w:spacing w:before="0" w:after="30"/>
            </w:pPr>
            <w:r>
              <w:rPr>
                <w:rFonts w:ascii="Courier New" w:cs="Courier New" w:eastAsia="Courier New" w:hAnsi="Courier New"/>
                <w:color w:val="4E6087"/>
                <w:sz w:val="17"/>
                <w:szCs w:val="17"/>
              </w:rPr>
              <w:t xml:space="preserve">  </w:t>
            </w:r>
            <w:r>
              <w:rPr>
                <w:rFonts w:ascii="Courier New" w:cs="Courier New" w:eastAsia="Courier New" w:hAnsi="Courier New"/>
                <w:b w:val="false"/>
                <w:bCs w:val="false"/>
                <w:color w:val="6B7A99"/>
                <w:sz w:val="17"/>
                <w:szCs w:val="17"/>
              </w:rPr>
              <w:t xml:space="preserve">Aufgaben</w:t>
            </w:r>
            <w:r>
              <w:rPr>
                <w:rFonts w:ascii="Courier New" w:cs="Courier New" w:eastAsia="Courier New" w:hAnsi="Courier New"/>
                <w:color w:val="EF4545"/>
                <w:sz w:val="15"/>
                <w:szCs w:val="15"/>
              </w:rPr>
              <w:t xml:space="preserve">  [7]</w:t>
            </w:r>
          </w:p>
          <w:p>
            <w:pPr>
              <w:spacing w:before="0" w:after="30"/>
            </w:pPr>
            <w:r>
              <w:rPr>
                <w:rFonts w:ascii="Courier New" w:cs="Courier New" w:eastAsia="Courier New" w:hAnsi="Courier New"/>
                <w:color w:val="4E6087"/>
                <w:sz w:val="17"/>
                <w:szCs w:val="17"/>
              </w:rPr>
              <w:t xml:space="preserve">  </w:t>
            </w:r>
            <w:r>
              <w:rPr>
                <w:rFonts w:ascii="Courier New" w:cs="Courier New" w:eastAsia="Courier New" w:hAnsi="Courier New"/>
                <w:b w:val="false"/>
                <w:bCs w:val="false"/>
                <w:color w:val="6B7A99"/>
                <w:sz w:val="17"/>
                <w:szCs w:val="17"/>
              </w:rPr>
              <w:t xml:space="preserve">── Revenue ──</w:t>
            </w:r>
          </w:p>
          <w:p>
            <w:pPr>
              <w:spacing w:before="0" w:after="30"/>
            </w:pPr>
            <w:r>
              <w:rPr>
                <w:rFonts w:ascii="Courier New" w:cs="Courier New" w:eastAsia="Courier New" w:hAnsi="Courier New"/>
                <w:color w:val="4E6087"/>
                <w:sz w:val="17"/>
                <w:szCs w:val="17"/>
              </w:rPr>
              <w:t xml:space="preserve">  </w:t>
            </w:r>
            <w:r>
              <w:rPr>
                <w:rFonts w:ascii="Courier New" w:cs="Courier New" w:eastAsia="Courier New" w:hAnsi="Courier New"/>
                <w:b w:val="false"/>
                <w:bCs w:val="false"/>
                <w:color w:val="6B7A99"/>
                <w:sz w:val="17"/>
                <w:szCs w:val="17"/>
              </w:rPr>
              <w:t xml:space="preserve">Nutzerverwaltung</w:t>
            </w:r>
          </w:p>
          <w:p>
            <w:pPr>
              <w:spacing w:before="0" w:after="30"/>
            </w:pPr>
            <w:r>
              <w:rPr>
                <w:rFonts w:ascii="Courier New" w:cs="Courier New" w:eastAsia="Courier New" w:hAnsi="Courier New"/>
                <w:color w:val="4E6087"/>
                <w:sz w:val="17"/>
                <w:szCs w:val="17"/>
              </w:rPr>
              <w:t xml:space="preserve">  </w:t>
            </w:r>
            <w:r>
              <w:rPr>
                <w:rFonts w:ascii="Courier New" w:cs="Courier New" w:eastAsia="Courier New" w:hAnsi="Courier New"/>
                <w:b w:val="false"/>
                <w:bCs w:val="false"/>
                <w:color w:val="6B7A99"/>
                <w:sz w:val="17"/>
                <w:szCs w:val="17"/>
              </w:rPr>
              <w:t xml:space="preserve">Billing &amp; MRR</w:t>
            </w:r>
          </w:p>
          <w:p>
            <w:pPr>
              <w:spacing w:before="0" w:after="30"/>
            </w:pPr>
            <w:r>
              <w:rPr>
                <w:rFonts w:ascii="Courier New" w:cs="Courier New" w:eastAsia="Courier New" w:hAnsi="Courier New"/>
                <w:color w:val="4E6087"/>
                <w:sz w:val="17"/>
                <w:szCs w:val="17"/>
              </w:rPr>
              <w:t xml:space="preserve">  </w:t>
            </w:r>
            <w:r>
              <w:rPr>
                <w:rFonts w:ascii="Courier New" w:cs="Courier New" w:eastAsia="Courier New" w:hAnsi="Courier New"/>
                <w:b w:val="false"/>
                <w:bCs w:val="false"/>
                <w:color w:val="6B7A99"/>
                <w:sz w:val="17"/>
                <w:szCs w:val="17"/>
              </w:rPr>
              <w:t xml:space="preserve">Support-Queue</w:t>
            </w:r>
            <w:r>
              <w:rPr>
                <w:rFonts w:ascii="Courier New" w:cs="Courier New" w:eastAsia="Courier New" w:hAnsi="Courier New"/>
                <w:color w:val="EF4545"/>
                <w:sz w:val="15"/>
                <w:szCs w:val="15"/>
              </w:rPr>
              <w:t xml:space="preserve">  [4]</w:t>
            </w:r>
          </w:p>
          <w:p>
            <w:pPr>
              <w:spacing w:before="0" w:after="30"/>
            </w:pPr>
            <w:r>
              <w:rPr>
                <w:rFonts w:ascii="Courier New" w:cs="Courier New" w:eastAsia="Courier New" w:hAnsi="Courier New"/>
                <w:color w:val="4E6087"/>
                <w:sz w:val="17"/>
                <w:szCs w:val="17"/>
              </w:rPr>
              <w:t xml:space="preserve">  </w:t>
            </w:r>
            <w:r>
              <w:rPr>
                <w:rFonts w:ascii="Courier New" w:cs="Courier New" w:eastAsia="Courier New" w:hAnsi="Courier New"/>
                <w:b w:val="false"/>
                <w:bCs w:val="false"/>
                <w:color w:val="6B7A99"/>
                <w:sz w:val="17"/>
                <w:szCs w:val="17"/>
              </w:rPr>
              <w:t xml:space="preserve">── Infrastruktur</w:t>
            </w:r>
          </w:p>
          <w:p>
            <w:pPr>
              <w:spacing w:before="0" w:after="30"/>
            </w:pPr>
            <w:r>
              <w:rPr>
                <w:rFonts w:ascii="Courier New" w:cs="Courier New" w:eastAsia="Courier New" w:hAnsi="Courier New"/>
                <w:color w:val="4E6087"/>
                <w:sz w:val="17"/>
                <w:szCs w:val="17"/>
              </w:rPr>
              <w:t xml:space="preserve">  </w:t>
            </w:r>
            <w:r>
              <w:rPr>
                <w:rFonts w:ascii="Courier New" w:cs="Courier New" w:eastAsia="Courier New" w:hAnsi="Courier New"/>
                <w:b w:val="false"/>
                <w:bCs w:val="false"/>
                <w:color w:val="6B7A99"/>
                <w:sz w:val="17"/>
                <w:szCs w:val="17"/>
              </w:rPr>
              <w:t xml:space="preserve">Indexer-Monitor</w:t>
            </w:r>
          </w:p>
          <w:p>
            <w:pPr>
              <w:spacing w:before="0" w:after="30"/>
            </w:pPr>
            <w:r>
              <w:rPr>
                <w:rFonts w:ascii="Courier New" w:cs="Courier New" w:eastAsia="Courier New" w:hAnsi="Courier New"/>
                <w:color w:val="4E6087"/>
                <w:sz w:val="17"/>
                <w:szCs w:val="17"/>
              </w:rPr>
              <w:t xml:space="preserve">  </w:t>
            </w:r>
            <w:r>
              <w:rPr>
                <w:rFonts w:ascii="Courier New" w:cs="Courier New" w:eastAsia="Courier New" w:hAnsi="Courier New"/>
                <w:b w:val="false"/>
                <w:bCs w:val="false"/>
                <w:color w:val="6B7A99"/>
                <w:sz w:val="17"/>
                <w:szCs w:val="17"/>
              </w:rPr>
              <w:t xml:space="preserve">Preisfeeds</w:t>
            </w:r>
          </w:p>
          <w:p>
            <w:pPr>
              <w:spacing w:before="0" w:after="30"/>
            </w:pPr>
            <w:r>
              <w:rPr>
                <w:rFonts w:ascii="Courier New" w:cs="Courier New" w:eastAsia="Courier New" w:hAnsi="Courier New"/>
                <w:color w:val="4E6087"/>
                <w:sz w:val="17"/>
                <w:szCs w:val="17"/>
              </w:rPr>
              <w:t xml:space="preserve">  </w:t>
            </w:r>
            <w:r>
              <w:rPr>
                <w:rFonts w:ascii="Courier New" w:cs="Courier New" w:eastAsia="Courier New" w:hAnsi="Courier New"/>
                <w:b w:val="false"/>
                <w:bCs w:val="false"/>
                <w:color w:val="6B7A99"/>
                <w:sz w:val="17"/>
                <w:szCs w:val="17"/>
              </w:rPr>
              <w:t xml:space="preserve">Protokolle/ABIs</w:t>
            </w:r>
          </w:p>
          <w:p>
            <w:pPr>
              <w:spacing w:before="0" w:after="30"/>
            </w:pPr>
            <w:r>
              <w:rPr>
                <w:rFonts w:ascii="Courier New" w:cs="Courier New" w:eastAsia="Courier New" w:hAnsi="Courier New"/>
                <w:color w:val="4E6087"/>
                <w:sz w:val="17"/>
                <w:szCs w:val="17"/>
              </w:rPr>
              <w:t xml:space="preserve">  </w:t>
            </w:r>
            <w:r>
              <w:rPr>
                <w:rFonts w:ascii="Courier New" w:cs="Courier New" w:eastAsia="Courier New" w:hAnsi="Courier New"/>
                <w:b w:val="false"/>
                <w:bCs w:val="false"/>
                <w:color w:val="6B7A99"/>
                <w:sz w:val="17"/>
                <w:szCs w:val="17"/>
              </w:rPr>
              <w:t xml:space="preserve">── Compliance ──</w:t>
            </w:r>
          </w:p>
          <w:p>
            <w:pPr>
              <w:spacing w:before="0" w:after="30"/>
            </w:pPr>
            <w:r>
              <w:rPr>
                <w:rFonts w:ascii="Courier New" w:cs="Courier New" w:eastAsia="Courier New" w:hAnsi="Courier New"/>
                <w:color w:val="4E6087"/>
                <w:sz w:val="17"/>
                <w:szCs w:val="17"/>
              </w:rPr>
              <w:t xml:space="preserve">  </w:t>
            </w:r>
            <w:r>
              <w:rPr>
                <w:rFonts w:ascii="Courier New" w:cs="Courier New" w:eastAsia="Courier New" w:hAnsi="Courier New"/>
                <w:b w:val="false"/>
                <w:bCs w:val="false"/>
                <w:color w:val="6B7A99"/>
                <w:sz w:val="17"/>
                <w:szCs w:val="17"/>
              </w:rPr>
              <w:t xml:space="preserve">Security</w:t>
            </w:r>
            <w:r>
              <w:rPr>
                <w:rFonts w:ascii="Courier New" w:cs="Courier New" w:eastAsia="Courier New" w:hAnsi="Courier New"/>
                <w:color w:val="EF4545"/>
                <w:sz w:val="15"/>
                <w:szCs w:val="15"/>
              </w:rPr>
              <w:t xml:space="preserve">  [2]</w:t>
            </w:r>
          </w:p>
          <w:p>
            <w:pPr>
              <w:spacing w:before="0" w:after="30"/>
            </w:pPr>
            <w:r>
              <w:rPr>
                <w:rFonts w:ascii="Courier New" w:cs="Courier New" w:eastAsia="Courier New" w:hAnsi="Courier New"/>
                <w:color w:val="4E6087"/>
                <w:sz w:val="17"/>
                <w:szCs w:val="17"/>
              </w:rPr>
              <w:t xml:space="preserve">  </w:t>
            </w:r>
            <w:r>
              <w:rPr>
                <w:rFonts w:ascii="Courier New" w:cs="Courier New" w:eastAsia="Courier New" w:hAnsi="Courier New"/>
                <w:b w:val="false"/>
                <w:bCs w:val="false"/>
                <w:color w:val="6B7A99"/>
                <w:sz w:val="17"/>
                <w:szCs w:val="17"/>
              </w:rPr>
              <w:t xml:space="preserve">Compliance/Fristen</w:t>
            </w:r>
          </w:p>
        </w:tc>
        <w:tc>
          <w:tcPr>
            <w:tcW w:type="dxa" w:w="6626"/>
            <w:tcBorders>
              <w:top w:val="single" w:color="3B7BF8" w:sz="4"/>
              <w:left w:val="single" w:color="2A3655" w:sz="1"/>
              <w:bottom w:val="single" w:color="2A3655" w:sz="1"/>
              <w:right w:val="single" w:color="2A3655" w:sz="1"/>
            </w:tcBorders>
            <w:shd w:fill="080D18" w:val="clear"/>
            <w:tcMar>
              <w:top w:type="dxa" w:w="80"/>
              <w:left w:type="dxa" w:w="140"/>
              <w:bottom w:type="dxa" w:w="80"/>
              <w:right w:type="dxa" w:w="100"/>
            </w:tcMar>
          </w:tcPr>
          <w:p>
            <w:pPr>
              <w:spacing w:before="0" w:after="50"/>
            </w:pPr>
            <w:r>
              <w:rPr>
                <w:rFonts w:ascii="Courier New" w:cs="Courier New" w:eastAsia="Courier New" w:hAnsi="Courier New"/>
                <w:b/>
                <w:bCs/>
                <w:color w:val="E2E8F8"/>
                <w:sz w:val="19"/>
                <w:szCs w:val="19"/>
              </w:rPr>
              <w:t xml:space="preserve">● Dashboard — Aktive Ansicht</w:t>
            </w:r>
          </w:p>
          <w:p>
            <w:pPr>
              <w:spacing w:before="0" w:after="0"/>
            </w:pPr>
            <w:r>
              <w:rPr>
                <w:rFonts w:ascii="Courier New" w:cs="Courier New" w:eastAsia="Courier New" w:hAnsi="Courier New"/>
                <w:color w:val="6B7A99"/>
                <w:sz w:val="16"/>
                <w:szCs w:val="16"/>
              </w:rPr>
              <w:t xml:space="preserve">KPIs, Aufgaben, Aktivitätsfeed, Systemstatus</w:t>
            </w:r>
          </w:p>
        </w:tc>
      </w:tr>
    </w:tbl>
    <w:p>
      <w:pPr>
        <w:spacing w:before="80" w:after="0"/>
      </w:pPr>
      <w:r>
        <w:t xml:space="preserve"/>
      </w:r>
    </w:p>
    <w:p>
      <w:pPr>
        <w:spacing w:before="200" w:after="80"/>
      </w:pPr>
      <w:r>
        <w:rPr>
          <w:rFonts w:ascii="Calibri" w:cs="Calibri" w:eastAsia="Calibri" w:hAnsi="Calibri"/>
          <w:b/>
          <w:bCs/>
          <w:color w:val="006064"/>
          <w:sz w:val="23"/>
          <w:szCs w:val="23"/>
        </w:rPr>
        <w:t xml:space="preserve">AD1.1 Navigations-Struktur vollständig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2800"/>
        <w:gridCol w:w="826"/>
      </w:tblGrid>
      <w:tr>
        <w:trPr>
          <w:tblHeader/>
        </w:trPr>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Bereich</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Navigations-Label</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Badge</w:t>
            </w:r>
          </w:p>
        </w:tc>
        <w:tc>
          <w:tcPr>
            <w:tcW w:type="dxa" w:w="2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Beschreibung</w:t>
            </w:r>
          </w:p>
        </w:tc>
        <w:tc>
          <w:tcPr>
            <w:tcW w:type="dxa" w:w="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Shortcut-Taste</w:t>
            </w:r>
          </w:p>
        </w:tc>
      </w:tr>
      <w:tr>
        <w:tc>
          <w:tcPr>
            <w:tcW w:type="dxa" w:w="16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Übersicht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Dashboard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Haupt-KPIs, offene Tasks, Live-Feed, System-Monitoring</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w:t>
            </w:r>
          </w:p>
        </w:tc>
      </w:tr>
      <w:tr>
        <w:tc>
          <w:tcPr>
            <w:tcW w:type="dxa" w:w="16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Übersicht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Aufgaben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7 (offene Tasks)</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Vollständige Task-Liste, Filter, Neue Aufgabe anlegen</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w:t>
            </w:r>
          </w:p>
        </w:tc>
      </w:tr>
      <w:tr>
        <w:tc>
          <w:tcPr>
            <w:tcW w:type="dxa" w:w="16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Revenue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Nutzerverwaltung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Nutzer-Accounts, Abo-Pläne, Churn-Risiko, DSGVO-Anfragen</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w:t>
            </w:r>
          </w:p>
        </w:tc>
      </w:tr>
      <w:tr>
        <w:tc>
          <w:tcPr>
            <w:tcW w:type="dxa" w:w="16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Revenue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Billing &amp; MRR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Transaktionen, fehlgeschlagene Payments, MRR-Chart</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w:t>
            </w:r>
          </w:p>
        </w:tc>
      </w:tr>
      <w:tr>
        <w:tc>
          <w:tcPr>
            <w:tcW w:type="dxa" w:w="1600"/>
            <w:tcBorders>
              <w:top w:val="single" w:color="CFD8DC" w:sz="1"/>
              <w:left w:val="single" w:color="CFD8DC" w:sz="1"/>
              <w:bottom w:val="single" w:color="CFD8DC" w:sz="1"/>
              <w:right w:val="single" w:color="CFD8DC" w:sz="1"/>
            </w:tcBorders>
            <w:shd w:fill="E8F5E9" w:val="clear"/>
            <w:tcMar>
              <w:top w:type="dxa" w:w="80"/>
              <w:left w:type="dxa" w:w="130"/>
              <w:bottom w:type="dxa" w:w="80"/>
              <w:right w:type="dxa" w:w="80"/>
            </w:tcMar>
          </w:tcPr>
          <w:p>
            <w:pPr>
              <w:jc w:val="left"/>
            </w:pPr>
            <w:r>
              <w:rPr>
                <w:rFonts w:ascii="Calibri" w:cs="Calibri" w:eastAsia="Calibri" w:hAnsi="Calibri"/>
                <w:b/>
                <w:bCs/>
                <w:color w:val="1B5E20"/>
                <w:sz w:val="20"/>
                <w:szCs w:val="20"/>
              </w:rPr>
              <w:t xml:space="preserve">Revenue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Support-Queue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4 (offen)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Ticket-Übersicht mit Priorität, Eskalations-Management</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w:t>
            </w:r>
          </w:p>
        </w:tc>
      </w:tr>
      <w:tr>
        <w:tc>
          <w:tcPr>
            <w:tcW w:type="dxa" w:w="16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Infrastruktur</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Indexer-Monitor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Blockchain-Sync-Status, Uptime-Blöcke, Lücken-Warnung</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w:t>
            </w:r>
          </w:p>
        </w:tc>
      </w:tr>
      <w:tr>
        <w:tc>
          <w:tcPr>
            <w:tcW w:type="dxa" w:w="16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Infrastruktur</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Preisfeeds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FTSO/CoinGecko/CMC-Status, Z-Score, Rate-Limit-Monitor</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w:t>
            </w:r>
          </w:p>
        </w:tc>
      </w:tr>
      <w:tr>
        <w:tc>
          <w:tcPr>
            <w:tcW w:type="dxa" w:w="1600"/>
            <w:tcBorders>
              <w:top w:val="single" w:color="CFD8DC" w:sz="1"/>
              <w:left w:val="single" w:color="CFD8DC" w:sz="1"/>
              <w:bottom w:val="single" w:color="CFD8DC" w:sz="1"/>
              <w:right w:val="single" w:color="CFD8DC" w:sz="1"/>
            </w:tcBorders>
            <w:shd w:fill="F3E5F5" w:val="clear"/>
            <w:tcMar>
              <w:top w:type="dxa" w:w="80"/>
              <w:left w:type="dxa" w:w="130"/>
              <w:bottom w:type="dxa" w:w="80"/>
              <w:right w:type="dxa" w:w="80"/>
            </w:tcMar>
          </w:tcPr>
          <w:p>
            <w:pPr>
              <w:jc w:val="left"/>
            </w:pPr>
            <w:r>
              <w:rPr>
                <w:rFonts w:ascii="Calibri" w:cs="Calibri" w:eastAsia="Calibri" w:hAnsi="Calibri"/>
                <w:b/>
                <w:bCs/>
                <w:color w:val="4A148C"/>
                <w:sz w:val="20"/>
                <w:szCs w:val="20"/>
              </w:rPr>
              <w:t xml:space="preserve">Infrastruktur</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Protokolle &amp; ABIs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ABI-Registry-Status, Steuerregeln-Engine</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w:t>
            </w:r>
          </w:p>
        </w:tc>
      </w:tr>
      <w:tr>
        <w:tc>
          <w:tcPr>
            <w:tcW w:type="dxa" w:w="16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Compliance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Security</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2 (CVEs offen)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Vulnerability-Register, Auth-Anomalien, Audit-Log</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w:t>
            </w:r>
          </w:p>
        </w:tc>
      </w:tr>
      <w:tr>
        <w:tc>
          <w:tcPr>
            <w:tcW w:type="dxa" w:w="16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Compliance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Compliance &amp; Fristen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DSGVO-Kalender, Compliance-Fristen, Anfragen-Register</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AD2. Hauptansicht – Dashboard</w:t>
      </w:r>
    </w:p>
    <w:p>
      <w:pPr>
        <w:spacing w:before="60" w:after="90"/>
      </w:pPr>
      <w:r>
        <w:rPr>
          <w:rFonts w:ascii="Calibri" w:cs="Calibri" w:eastAsia="Calibri" w:hAnsi="Calibri"/>
          <w:color w:val="212121"/>
          <w:sz w:val="21"/>
          <w:szCs w:val="21"/>
        </w:rPr>
        <w:t xml:space="preserve">Die Hauptansicht ist die erste Seite nach dem Öffnen des Admin Dashboards. Sie konsolidiert alle kritischen KPIs, offene Aufgaben, den Live-Aktivitätsfeed und den Systemstatus auf einem einzigen Screen.</w:t>
      </w:r>
    </w:p>
    <w:p>
      <w:pPr>
        <w:spacing w:before="80" w:after="0"/>
      </w:pPr>
      <w:r>
        <w:t xml:space="preserve"/>
      </w:r>
    </w:p>
    <w:p>
      <w:pPr>
        <w:spacing w:before="200" w:after="80"/>
      </w:pPr>
      <w:r>
        <w:rPr>
          <w:rFonts w:ascii="Calibri" w:cs="Calibri" w:eastAsia="Calibri" w:hAnsi="Calibri"/>
          <w:b/>
          <w:bCs/>
          <w:color w:val="006064"/>
          <w:sz w:val="23"/>
          <w:szCs w:val="23"/>
        </w:rPr>
        <w:t xml:space="preserve">AD2.1 KPI-Kacheln (obere Leiste)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3B7BF8" w:sz="4"/>
              <w:left w:val="single" w:color="2A3655" w:sz="1"/>
              <w:bottom w:val="single" w:color="2A3655" w:sz="1"/>
              <w:right w:val="single" w:color="2A3655" w:sz="1"/>
            </w:tcBorders>
            <w:shd w:fill="0F1629" w:val="clear"/>
            <w:tcMar>
              <w:top w:type="dxa" w:w="100"/>
              <w:left w:type="dxa" w:w="130"/>
              <w:bottom w:type="dxa" w:w="100"/>
              <w:right w:type="dxa" w:w="80"/>
            </w:tcMar>
          </w:tcPr>
          <w:p>
            <w:pPr>
              <w:spacing w:before="0" w:after="30"/>
            </w:pPr>
            <w:r>
              <w:rPr>
                <w:rFonts w:ascii="Courier New" w:cs="Courier New" w:eastAsia="Courier New" w:hAnsi="Courier New"/>
                <w:color w:val="4E6087"/>
                <w:sz w:val="17"/>
                <w:szCs w:val="17"/>
              </w:rPr>
              <w:t xml:space="preserve">MRR (aktuell)</w:t>
            </w:r>
          </w:p>
          <w:p>
            <w:pPr>
              <w:spacing w:before="0" w:after="20"/>
            </w:pPr>
            <w:r>
              <w:rPr>
                <w:rFonts w:ascii="Courier New" w:cs="Courier New" w:eastAsia="Courier New" w:hAnsi="Courier New"/>
                <w:b/>
                <w:bCs/>
                <w:color w:val="3B7BF8"/>
                <w:sz w:val="26"/>
                <w:szCs w:val="26"/>
              </w:rPr>
              <w:t xml:space="preserve">€ 8.240</w:t>
            </w:r>
          </w:p>
          <w:p>
            <w:pPr>
              <w:spacing w:before="0" w:after="0"/>
            </w:pPr>
            <w:r>
              <w:rPr>
                <w:rFonts w:ascii="Courier New" w:cs="Courier New" w:eastAsia="Courier New" w:hAnsi="Courier New"/>
                <w:color w:val="22D37A"/>
                <w:sz w:val="15"/>
                <w:szCs w:val="15"/>
              </w:rPr>
              <w:t xml:space="preserve">▲ +12,4% ggü. Vormonat</w:t>
            </w:r>
          </w:p>
        </w:tc>
        <w:tc>
          <w:tcPr>
            <w:tcW w:type="dxa" w:w="2256"/>
            <w:tcBorders>
              <w:top w:val="single" w:color="06CFCF" w:sz="4"/>
              <w:left w:val="single" w:color="2A3655" w:sz="1"/>
              <w:bottom w:val="single" w:color="2A3655" w:sz="1"/>
              <w:right w:val="single" w:color="2A3655" w:sz="1"/>
            </w:tcBorders>
            <w:shd w:fill="0F1629" w:val="clear"/>
            <w:tcMar>
              <w:top w:type="dxa" w:w="100"/>
              <w:left w:type="dxa" w:w="130"/>
              <w:bottom w:type="dxa" w:w="100"/>
              <w:right w:type="dxa" w:w="80"/>
            </w:tcMar>
          </w:tcPr>
          <w:p>
            <w:pPr>
              <w:spacing w:before="0" w:after="30"/>
            </w:pPr>
            <w:r>
              <w:rPr>
                <w:rFonts w:ascii="Courier New" w:cs="Courier New" w:eastAsia="Courier New" w:hAnsi="Courier New"/>
                <w:color w:val="4E6087"/>
                <w:sz w:val="17"/>
                <w:szCs w:val="17"/>
              </w:rPr>
              <w:t xml:space="preserve">Zahlende Nutzer</w:t>
            </w:r>
          </w:p>
          <w:p>
            <w:pPr>
              <w:spacing w:before="0" w:after="20"/>
            </w:pPr>
            <w:r>
              <w:rPr>
                <w:rFonts w:ascii="Courier New" w:cs="Courier New" w:eastAsia="Courier New" w:hAnsi="Courier New"/>
                <w:b/>
                <w:bCs/>
                <w:color w:val="06CFCF"/>
                <w:sz w:val="26"/>
                <w:szCs w:val="26"/>
              </w:rPr>
              <w:t xml:space="preserve">412</w:t>
            </w:r>
          </w:p>
          <w:p>
            <w:pPr>
              <w:spacing w:before="0" w:after="0"/>
            </w:pPr>
            <w:r>
              <w:rPr>
                <w:rFonts w:ascii="Courier New" w:cs="Courier New" w:eastAsia="Courier New" w:hAnsi="Courier New"/>
                <w:color w:val="22D37A"/>
                <w:sz w:val="15"/>
                <w:szCs w:val="15"/>
              </w:rPr>
              <w:t xml:space="preserve">▲ +38 diese Woche</w:t>
            </w:r>
          </w:p>
        </w:tc>
        <w:tc>
          <w:tcPr>
            <w:tcW w:type="dxa" w:w="2256"/>
            <w:tcBorders>
              <w:top w:val="single" w:color="22D37A" w:sz="4"/>
              <w:left w:val="single" w:color="2A3655" w:sz="1"/>
              <w:bottom w:val="single" w:color="2A3655" w:sz="1"/>
              <w:right w:val="single" w:color="2A3655" w:sz="1"/>
            </w:tcBorders>
            <w:shd w:fill="0F1629" w:val="clear"/>
            <w:tcMar>
              <w:top w:type="dxa" w:w="100"/>
              <w:left w:type="dxa" w:w="130"/>
              <w:bottom w:type="dxa" w:w="100"/>
              <w:right w:type="dxa" w:w="80"/>
            </w:tcMar>
          </w:tcPr>
          <w:p>
            <w:pPr>
              <w:spacing w:before="0" w:after="30"/>
            </w:pPr>
            <w:r>
              <w:rPr>
                <w:rFonts w:ascii="Courier New" w:cs="Courier New" w:eastAsia="Courier New" w:hAnsi="Courier New"/>
                <w:color w:val="4E6087"/>
                <w:sz w:val="17"/>
                <w:szCs w:val="17"/>
              </w:rPr>
              <w:t xml:space="preserve">Uptime (30 Tage)</w:t>
            </w:r>
          </w:p>
          <w:p>
            <w:pPr>
              <w:spacing w:before="0" w:after="20"/>
            </w:pPr>
            <w:r>
              <w:rPr>
                <w:rFonts w:ascii="Courier New" w:cs="Courier New" w:eastAsia="Courier New" w:hAnsi="Courier New"/>
                <w:b/>
                <w:bCs/>
                <w:color w:val="22D37A"/>
                <w:sz w:val="26"/>
                <w:szCs w:val="26"/>
              </w:rPr>
              <w:t xml:space="preserve">99,7%</w:t>
            </w:r>
          </w:p>
          <w:p>
            <w:pPr>
              <w:spacing w:before="0" w:after="0"/>
            </w:pPr>
            <w:r>
              <w:rPr>
                <w:rFonts w:ascii="Courier New" w:cs="Courier New" w:eastAsia="Courier New" w:hAnsi="Courier New"/>
                <w:color w:val="4E6087"/>
                <w:sz w:val="15"/>
                <w:szCs w:val="15"/>
              </w:rPr>
              <w:t xml:space="preserve">2,4h Downtime</w:t>
            </w:r>
          </w:p>
        </w:tc>
        <w:tc>
          <w:tcPr>
            <w:tcW w:type="dxa" w:w="2258"/>
            <w:tcBorders>
              <w:top w:val="single" w:color="F5A623" w:sz="4"/>
              <w:left w:val="single" w:color="2A3655" w:sz="1"/>
              <w:bottom w:val="single" w:color="2A3655" w:sz="1"/>
              <w:right w:val="single" w:color="2A3655" w:sz="1"/>
            </w:tcBorders>
            <w:shd w:fill="0F1629" w:val="clear"/>
            <w:tcMar>
              <w:top w:type="dxa" w:w="100"/>
              <w:left w:type="dxa" w:w="130"/>
              <w:bottom w:type="dxa" w:w="100"/>
              <w:right w:type="dxa" w:w="80"/>
            </w:tcMar>
          </w:tcPr>
          <w:p>
            <w:pPr>
              <w:spacing w:before="0" w:after="30"/>
            </w:pPr>
            <w:r>
              <w:rPr>
                <w:rFonts w:ascii="Courier New" w:cs="Courier New" w:eastAsia="Courier New" w:hAnsi="Courier New"/>
                <w:color w:val="4E6087"/>
                <w:sz w:val="17"/>
                <w:szCs w:val="17"/>
              </w:rPr>
              <w:t xml:space="preserve">Churn (monatl.)</w:t>
            </w:r>
          </w:p>
          <w:p>
            <w:pPr>
              <w:spacing w:before="0" w:after="20"/>
            </w:pPr>
            <w:r>
              <w:rPr>
                <w:rFonts w:ascii="Courier New" w:cs="Courier New" w:eastAsia="Courier New" w:hAnsi="Courier New"/>
                <w:b/>
                <w:bCs/>
                <w:color w:val="F5A623"/>
                <w:sz w:val="26"/>
                <w:szCs w:val="26"/>
              </w:rPr>
              <w:t xml:space="preserve">3,2%</w:t>
            </w:r>
          </w:p>
          <w:p>
            <w:pPr>
              <w:spacing w:before="0" w:after="0"/>
            </w:pPr>
            <w:r>
              <w:rPr>
                <w:rFonts w:ascii="Courier New" w:cs="Courier New" w:eastAsia="Courier New" w:hAnsi="Courier New"/>
                <w:color w:val="EF4545"/>
                <w:sz w:val="15"/>
                <w:szCs w:val="15"/>
              </w:rPr>
              <w:t xml:space="preserve">▼ Ziel: &lt; 3,0%</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1800"/>
        <w:gridCol w:w="826"/>
      </w:tblGrid>
      <w:tr>
        <w:trPr>
          <w:tblHeader/>
        </w:trPr>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KPI</w:t>
            </w:r>
          </w:p>
        </w:tc>
        <w:tc>
          <w:tcPr>
            <w:tcW w:type="dxa" w:w="1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Aktueller Wert</w:t>
            </w:r>
          </w:p>
        </w:tc>
        <w:tc>
          <w:tcPr>
            <w:tcW w:type="dxa" w:w="3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Datenquelle</w:t>
            </w:r>
          </w:p>
        </w:tc>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Update-Frequenz</w:t>
            </w:r>
          </w:p>
        </w:tc>
        <w:tc>
          <w:tcPr>
            <w:tcW w:type="dxa" w:w="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Zielwert</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MRR</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€ 8.240</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Summe aktive Abonnements × Monatspreis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Echtzeit (bei neuer Zahlung)</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€ 30.000 (Q1 2027)</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Zahlende Nutzer</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412</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PostgreSQL: COUNT(subscriptions WHERE status=active)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Echtzeit</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1.590 (Break-Even)</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Uptime (30 Tage)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99,7%</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Prometheus API-Uptime-Metric</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Stündlich</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99,5% (B2C SLA)</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Churn (monatl.)</w:t>
            </w:r>
          </w:p>
        </w:tc>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3,2%</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Kündigungen/Gesamt-Nutzer × 100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Täglich um 06:00 UTC</w:t>
            </w:r>
          </w:p>
        </w:tc>
        <w:tc>
          <w:tcPr>
            <w:tcW w:type="dxa" w:w="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3,0%</w:t>
            </w:r>
          </w:p>
        </w:tc>
      </w:tr>
    </w:tbl>
    <w:p>
      <w:pPr>
        <w:spacing w:before="80" w:after="0"/>
      </w:pPr>
      <w:r>
        <w:t xml:space="preserve"/>
      </w:r>
    </w:p>
    <w:p>
      <w:pPr>
        <w:spacing w:before="200" w:after="80"/>
      </w:pPr>
      <w:r>
        <w:rPr>
          <w:rFonts w:ascii="Calibri" w:cs="Calibri" w:eastAsia="Calibri" w:hAnsi="Calibri"/>
          <w:b/>
          <w:bCs/>
          <w:color w:val="006064"/>
          <w:sz w:val="23"/>
          <w:szCs w:val="23"/>
        </w:rPr>
        <w:t xml:space="preserve">AD2.2 Offene Aufgaben-Widget</w:t>
      </w:r>
    </w:p>
    <w:p>
      <w:pPr>
        <w:spacing w:before="60" w:after="90"/>
      </w:pPr>
      <w:r>
        <w:rPr>
          <w:rFonts w:ascii="Calibri" w:cs="Calibri" w:eastAsia="Calibri" w:hAnsi="Calibri"/>
          <w:color w:val="212121"/>
          <w:sz w:val="21"/>
          <w:szCs w:val="21"/>
        </w:rPr>
        <w:t xml:space="preserve">Das Aufgaben-Widget auf dem Hauptdashboard zeigt die 5 kritischsten offenen Admin-Aufgaben nach Priorität sortiert. Jede Aufgabe zeigt Titel, Bereich, Fälligkeitsdatum und Farbkodierung. Der 'Alle anzeigen →' Link führt zum vollständigen Aufgaben-Modul.</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7BF8" w:sz="6"/>
              <w:left w:val="single" w:color="3B7BF8" w:sz="6"/>
              <w:bottom w:val="single" w:color="2A3655" w:sz="2"/>
              <w:right w:val="single" w:color="2A3655" w:sz="2"/>
            </w:tcBorders>
            <w:shd w:fill="080D18" w:val="clear"/>
            <w:tcMar>
              <w:top w:type="dxa" w:w="0"/>
              <w:left w:type="dxa" w:w="0"/>
              <w:bottom w:type="dxa" w:w="0"/>
              <w:right w:type="dxa" w:w="0"/>
            </w:tcMar>
          </w:tcPr>
          <w:p>
            <w:pPr>
              <w:spacing w:before="0" w:after="0"/>
            </w:pPr>
            <w:r>
              <w:rPr>
                <w:rFonts w:ascii="Courier New" w:cs="Courier New" w:eastAsia="Courier New" w:hAnsi="Courier New"/>
                <w:color w:val="3A4E72"/>
                <w:sz w:val="16"/>
                <w:szCs w:val="16"/>
              </w:rPr>
              <w:t xml:space="preserve">  ● ● ●   </w:t>
            </w:r>
            <w:r>
              <w:rPr>
                <w:rFonts w:ascii="Courier New" w:cs="Courier New" w:eastAsia="Courier New" w:hAnsi="Courier New"/>
                <w:b/>
                <w:bCs/>
                <w:color w:val="3B7BF8"/>
                <w:sz w:val="17"/>
                <w:szCs w:val="17"/>
              </w:rPr>
              <w:t xml:space="preserve">Offene Admin-Aufgaben — Top 5</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1600"/>
              <w:gridCol w:w="1800"/>
            </w:tblGrid>
            <w:tr>
              <w:trPr>
                <w:tblHeader/>
              </w:trPr>
              <w:tc>
                <w:tcPr>
                  <w:tcW w:type="dxa" w:w="15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PRIO</w:t>
                  </w:r>
                </w:p>
              </w:tc>
              <w:tc>
                <w:tcPr>
                  <w:tcW w:type="dxa" w:w="38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AUFGABE</w:t>
                  </w:r>
                </w:p>
              </w:tc>
              <w:tc>
                <w:tcPr>
                  <w:tcW w:type="dxa" w:w="16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BEREICH</w:t>
                  </w:r>
                </w:p>
              </w:tc>
              <w:tc>
                <w:tcPr>
                  <w:tcW w:type="dxa" w:w="18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FÄLLIG</w:t>
                  </w:r>
                </w:p>
              </w:tc>
            </w:tr>
            <w:tr>
              <w:tc>
                <w:tcPr>
                  <w:tcW w:type="dxa" w:w="15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bCs/>
                      <w:color w:val="EF4545"/>
                      <w:sz w:val="17"/>
                      <w:szCs w:val="17"/>
                    </w:rPr>
                    <w:t xml:space="preserve">■ KRITISCH</w:t>
                  </w:r>
                </w:p>
              </w:tc>
              <w:tc>
                <w:tcPr>
                  <w:tcW w:type="dxa" w:w="38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CVE-2025-38291 ethers.js 5.x — Patch ausstehend</w:t>
                  </w:r>
                </w:p>
              </w:tc>
              <w:tc>
                <w:tcPr>
                  <w:tcW w:type="dxa" w:w="16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Security</w:t>
                  </w:r>
                </w:p>
              </w:tc>
              <w:tc>
                <w:tcPr>
                  <w:tcW w:type="dxa" w:w="18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EF4545"/>
                      <w:sz w:val="17"/>
                      <w:szCs w:val="17"/>
                    </w:rPr>
                    <w:t xml:space="preserve">ÜBERFÄLLIG</w:t>
                  </w:r>
                </w:p>
              </w:tc>
            </w:tr>
            <w:tr>
              <w:tc>
                <w:tcPr>
                  <w:tcW w:type="dxa" w:w="15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bCs/>
                      <w:color w:val="F5A623"/>
                      <w:sz w:val="17"/>
                      <w:szCs w:val="17"/>
                    </w:rPr>
                    <w:t xml:space="preserve">■ HOCH</w:t>
                  </w:r>
                </w:p>
              </w:tc>
              <w:tc>
                <w:tcPr>
                  <w:tcW w:type="dxa" w:w="38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SparkDEX V4 Subgraph — Migration ausstehend</w:t>
                  </w:r>
                </w:p>
              </w:tc>
              <w:tc>
                <w:tcPr>
                  <w:tcW w:type="dxa" w:w="16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Infrastruktur</w:t>
                  </w:r>
                </w:p>
              </w:tc>
              <w:tc>
                <w:tcPr>
                  <w:tcW w:type="dxa" w:w="18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F5A623"/>
                      <w:sz w:val="17"/>
                      <w:szCs w:val="17"/>
                    </w:rPr>
                    <w:t xml:space="preserve">Heute</w:t>
                  </w:r>
                </w:p>
              </w:tc>
            </w:tr>
            <w:tr>
              <w:tc>
                <w:tcPr>
                  <w:tcW w:type="dxa" w:w="15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bCs/>
                      <w:color w:val="F5A623"/>
                      <w:sz w:val="17"/>
                      <w:szCs w:val="17"/>
                    </w:rPr>
                    <w:t xml:space="preserve">■ HOCH</w:t>
                  </w:r>
                </w:p>
              </w:tc>
              <w:tc>
                <w:tcPr>
                  <w:tcW w:type="dxa" w:w="38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DSGVO Löschanfrage UID-07A23F — 30-Tage-Frist</w:t>
                  </w:r>
                </w:p>
              </w:tc>
              <w:tc>
                <w:tcPr>
                  <w:tcW w:type="dxa" w:w="16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Compliance</w:t>
                  </w:r>
                </w:p>
              </w:tc>
              <w:tc>
                <w:tcPr>
                  <w:tcW w:type="dxa" w:w="18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F5A623"/>
                      <w:sz w:val="17"/>
                      <w:szCs w:val="17"/>
                    </w:rPr>
                    <w:t xml:space="preserve">Morgen</w:t>
                  </w:r>
                </w:p>
              </w:tc>
            </w:tr>
            <w:tr>
              <w:tc>
                <w:tcPr>
                  <w:tcW w:type="dxa" w:w="15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3B7BF8"/>
                      <w:sz w:val="17"/>
                      <w:szCs w:val="17"/>
                    </w:rPr>
                    <w:t xml:space="preserve">■ MITTEL</w:t>
                  </w:r>
                </w:p>
              </w:tc>
              <w:tc>
                <w:tcPr>
                  <w:tcW w:type="dxa" w:w="38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Ēnosys Loans ABI v1.3 integrieren</w:t>
                  </w:r>
                </w:p>
              </w:tc>
              <w:tc>
                <w:tcPr>
                  <w:tcW w:type="dxa" w:w="16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Protokoll</w:t>
                  </w:r>
                </w:p>
              </w:tc>
              <w:tc>
                <w:tcPr>
                  <w:tcW w:type="dxa" w:w="18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6B7A99"/>
                      <w:sz w:val="17"/>
                      <w:szCs w:val="17"/>
                    </w:rPr>
                    <w:t xml:space="preserve">28.03.2026</w:t>
                  </w:r>
                </w:p>
              </w:tc>
            </w:tr>
            <w:tr>
              <w:tc>
                <w:tcPr>
                  <w:tcW w:type="dxa" w:w="15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3B7BF8"/>
                      <w:sz w:val="17"/>
                      <w:szCs w:val="17"/>
                    </w:rPr>
                    <w:t xml:space="preserve">■ MITTEL</w:t>
                  </w:r>
                </w:p>
              </w:tc>
              <w:tc>
                <w:tcPr>
                  <w:tcW w:type="dxa" w:w="38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Pentest-Scope-Dokument erstellen</w:t>
                  </w:r>
                </w:p>
              </w:tc>
              <w:tc>
                <w:tcPr>
                  <w:tcW w:type="dxa" w:w="16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Security</w:t>
                  </w:r>
                </w:p>
              </w:tc>
              <w:tc>
                <w:tcPr>
                  <w:tcW w:type="dxa" w:w="18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6B7A99"/>
                      <w:sz w:val="17"/>
                      <w:szCs w:val="17"/>
                    </w:rPr>
                    <w:t xml:space="preserve">15.04.2026</w:t>
                  </w:r>
                </w:p>
              </w:tc>
            </w:tr>
          </w:tbl>
          <w:p>
            <w:pPr>
              <w:spacing w:before="60" w:after="0"/>
            </w:pPr>
            <w:r>
              <w:t xml:space="preserve"/>
            </w:r>
          </w:p>
        </w:tc>
      </w:tr>
    </w:tbl>
    <w:p>
      <w:pPr>
        <w:spacing w:before="80" w:after="0"/>
      </w:pPr>
      <w:r>
        <w:t xml:space="preserve"/>
      </w:r>
    </w:p>
    <w:p>
      <w:pPr>
        <w:spacing w:before="200" w:after="80"/>
      </w:pPr>
      <w:r>
        <w:rPr>
          <w:rFonts w:ascii="Calibri" w:cs="Calibri" w:eastAsia="Calibri" w:hAnsi="Calibri"/>
          <w:b/>
          <w:bCs/>
          <w:color w:val="006064"/>
          <w:sz w:val="23"/>
          <w:szCs w:val="23"/>
        </w:rPr>
        <w:t xml:space="preserve">AD2.3 Live-Aktivitätsfeed</w:t>
      </w:r>
    </w:p>
    <w:p>
      <w:pPr>
        <w:spacing w:before="60" w:after="90"/>
      </w:pPr>
      <w:r>
        <w:rPr>
          <w:rFonts w:ascii="Calibri" w:cs="Calibri" w:eastAsia="Calibri" w:hAnsi="Calibri"/>
          <w:color w:val="212121"/>
          <w:sz w:val="21"/>
          <w:szCs w:val="21"/>
        </w:rPr>
        <w:t xml:space="preserve">Der Aktivitätsfeed zeigt die letzten 10 System-Ereignisse in Echtzeit (WebSocket + Polling alle 30 Sekunden). Er kombiniert Nutzeraktionen, Infrastruktur-Events, Zahlungsvorgänge und Sicherheitsereignisse.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7BF8" w:sz="6"/>
              <w:left w:val="single" w:color="3B7BF8" w:sz="6"/>
              <w:bottom w:val="single" w:color="2A3655" w:sz="2"/>
              <w:right w:val="single" w:color="2A3655" w:sz="2"/>
            </w:tcBorders>
            <w:shd w:fill="080D18" w:val="clear"/>
            <w:tcMar>
              <w:top w:type="dxa" w:w="0"/>
              <w:left w:type="dxa" w:w="0"/>
              <w:bottom w:type="dxa" w:w="0"/>
              <w:right w:type="dxa" w:w="0"/>
            </w:tcMar>
          </w:tcPr>
          <w:p>
            <w:pPr>
              <w:spacing w:before="0" w:after="0"/>
            </w:pPr>
            <w:r>
              <w:rPr>
                <w:rFonts w:ascii="Courier New" w:cs="Courier New" w:eastAsia="Courier New" w:hAnsi="Courier New"/>
                <w:color w:val="3A4E72"/>
                <w:sz w:val="16"/>
                <w:szCs w:val="16"/>
              </w:rPr>
              <w:t xml:space="preserve">  ● ● ●   </w:t>
            </w:r>
            <w:r>
              <w:rPr>
                <w:rFonts w:ascii="Courier New" w:cs="Courier New" w:eastAsia="Courier New" w:hAnsi="Courier New"/>
                <w:b/>
                <w:bCs/>
                <w:color w:val="3B7BF8"/>
                <w:sz w:val="17"/>
                <w:szCs w:val="17"/>
              </w:rPr>
              <w:t xml:space="preserve">Live-Aktivitätsfeed — Letzte Ereignisse</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326"/>
            </w:tblGrid>
            <w:tr>
              <w:trPr>
                <w:tblHeader/>
              </w:trPr>
              <w:tc>
                <w:tcPr>
                  <w:tcW w:type="dxa" w:w="12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ZEIT</w:t>
                  </w:r>
                </w:p>
              </w:tc>
              <w:tc>
                <w:tcPr>
                  <w:tcW w:type="dxa" w:w="12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TYP</w:t>
                  </w:r>
                </w:p>
              </w:tc>
              <w:tc>
                <w:tcPr>
                  <w:tcW w:type="dxa" w:w="6326"/>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EREIGNIS</w:t>
                  </w:r>
                </w:p>
              </w:tc>
            </w:tr>
            <w:tr>
              <w:tc>
                <w:tcPr>
                  <w:tcW w:type="dxa" w:w="1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4E6087"/>
                      <w:sz w:val="17"/>
                      <w:szCs w:val="17"/>
                    </w:rPr>
                    <w:t xml:space="preserve">vor 4 Min.</w:t>
                  </w:r>
                </w:p>
              </w:tc>
              <w:tc>
                <w:tcPr>
                  <w:tcW w:type="dxa" w:w="1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[UPGRADE]</w:t>
                  </w:r>
                </w:p>
              </w:tc>
              <w:tc>
                <w:tcPr>
                  <w:tcW w:type="dxa" w:w="6326"/>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22D37A"/>
                      <w:sz w:val="17"/>
                      <w:szCs w:val="17"/>
                    </w:rPr>
                    <w:t xml:space="preserve">kai.mueller@gmail.com auf Pro-Plan upgraded</w:t>
                  </w:r>
                </w:p>
              </w:tc>
            </w:tr>
            <w:tr>
              <w:tc>
                <w:tcPr>
                  <w:tcW w:type="dxa" w:w="1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4E6087"/>
                      <w:sz w:val="17"/>
                      <w:szCs w:val="17"/>
                    </w:rPr>
                    <w:t xml:space="preserve">vor 12 Min.</w:t>
                  </w:r>
                </w:p>
              </w:tc>
              <w:tc>
                <w:tcPr>
                  <w:tcW w:type="dxa" w:w="1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[SYNC]</w:t>
                  </w:r>
                </w:p>
              </w:tc>
              <w:tc>
                <w:tcPr>
                  <w:tcW w:type="dxa" w:w="6326"/>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3B7BF8"/>
                      <w:sz w:val="17"/>
                      <w:szCs w:val="17"/>
                    </w:rPr>
                    <w:t xml:space="preserve">Indexer Block #8.241.003 abgeschlossen — Flare RPC</w:t>
                  </w:r>
                </w:p>
              </w:tc>
            </w:tr>
            <w:tr>
              <w:tc>
                <w:tcPr>
                  <w:tcW w:type="dxa" w:w="1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4E6087"/>
                      <w:sz w:val="17"/>
                      <w:szCs w:val="17"/>
                    </w:rPr>
                    <w:t xml:space="preserve">vor 28 Min.</w:t>
                  </w:r>
                </w:p>
              </w:tc>
              <w:tc>
                <w:tcPr>
                  <w:tcW w:type="dxa" w:w="1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[WARNUNG]</w:t>
                  </w:r>
                </w:p>
              </w:tc>
              <w:tc>
                <w:tcPr>
                  <w:tcW w:type="dxa" w:w="6326"/>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F5A623"/>
                      <w:sz w:val="17"/>
                      <w:szCs w:val="17"/>
                    </w:rPr>
                    <w:t xml:space="preserve">CoinGecko Rate-Limit 60% erreicht — Fallback aktiv</w:t>
                  </w:r>
                </w:p>
              </w:tc>
            </w:tr>
            <w:tr>
              <w:tc>
                <w:tcPr>
                  <w:tcW w:type="dxa" w:w="1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4E6087"/>
                      <w:sz w:val="17"/>
                      <w:szCs w:val="17"/>
                    </w:rPr>
                    <w:t xml:space="preserve">vor 45 Min.</w:t>
                  </w:r>
                </w:p>
              </w:tc>
              <w:tc>
                <w:tcPr>
                  <w:tcW w:type="dxa" w:w="1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[ESKALATION]</w:t>
                  </w:r>
                </w:p>
              </w:tc>
              <w:tc>
                <w:tcPr>
                  <w:tcW w:type="dxa" w:w="6326"/>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EF4545"/>
                      <w:sz w:val="17"/>
                      <w:szCs w:val="17"/>
                    </w:rPr>
                    <w:t xml:space="preserve">Support-Ticket #0041 eskaliert — LP-Fehler Business</w:t>
                  </w:r>
                </w:p>
              </w:tc>
            </w:tr>
            <w:tr>
              <w:tc>
                <w:tcPr>
                  <w:tcW w:type="dxa" w:w="1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4E6087"/>
                      <w:sz w:val="17"/>
                      <w:szCs w:val="17"/>
                    </w:rPr>
                    <w:t xml:space="preserve">vor 1 Std.</w:t>
                  </w:r>
                </w:p>
              </w:tc>
              <w:tc>
                <w:tcPr>
                  <w:tcW w:type="dxa" w:w="1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[ZAHLUNG]</w:t>
                  </w:r>
                </w:p>
              </w:tc>
              <w:tc>
                <w:tcPr>
                  <w:tcW w:type="dxa" w:w="6326"/>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22D37A"/>
                      <w:sz w:val="17"/>
                      <w:szCs w:val="17"/>
                    </w:rPr>
                    <w:t xml:space="preserve">€ 299,99 eingegangen — Kanzlei Weber &amp; Partner</w:t>
                  </w:r>
                </w:p>
              </w:tc>
            </w:tr>
            <w:tr>
              <w:tc>
                <w:tcPr>
                  <w:tcW w:type="dxa" w:w="1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4E6087"/>
                      <w:sz w:val="17"/>
                      <w:szCs w:val="17"/>
                    </w:rPr>
                    <w:t xml:space="preserve">04:00 UTC</w:t>
                  </w:r>
                </w:p>
              </w:tc>
              <w:tc>
                <w:tcPr>
                  <w:tcW w:type="dxa" w:w="1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[BACKUP]</w:t>
                  </w:r>
                </w:p>
              </w:tc>
              <w:tc>
                <w:tcPr>
                  <w:tcW w:type="dxa" w:w="6326"/>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22D37A"/>
                      <w:sz w:val="17"/>
                      <w:szCs w:val="17"/>
                    </w:rPr>
                    <w:t xml:space="preserve">PostgreSQL-Backup erfolgreich — 4,2 GB gesichert</w:t>
                  </w:r>
                </w:p>
              </w:tc>
            </w:tr>
          </w:tbl>
          <w:p>
            <w:pPr>
              <w:spacing w:before="60" w:after="0"/>
            </w:pPr>
            <w:r>
              <w:t xml:space="preserve"/>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AD3. Aufgabenverwaltung</w:t>
      </w:r>
    </w:p>
    <w:p>
      <w:pPr>
        <w:spacing w:before="60" w:after="90"/>
      </w:pPr>
      <w:r>
        <w:rPr>
          <w:rFonts w:ascii="Calibri" w:cs="Calibri" w:eastAsia="Calibri" w:hAnsi="Calibri"/>
          <w:color w:val="212121"/>
          <w:sz w:val="21"/>
          <w:szCs w:val="21"/>
        </w:rPr>
        <w:t xml:space="preserve">Das Aufgaben-Modul ist das zentrale Werkzeug für das Operations-Team zur Verwaltung aller administrativen To-Dos. Es enthält Filter nach Bereich und Priorität, Fälligkeits-Highlighting und einen direkten 'Erledigt'-Button pro Aufgabe.</w:t>
      </w:r>
    </w:p>
    <w:p>
      <w:pPr>
        <w:spacing w:before="80" w:after="0"/>
      </w:pPr>
      <w:r>
        <w:t xml:space="preserve"/>
      </w:r>
    </w:p>
    <w:p>
      <w:pPr>
        <w:spacing w:before="200" w:after="80"/>
      </w:pPr>
      <w:r>
        <w:rPr>
          <w:rFonts w:ascii="Calibri" w:cs="Calibri" w:eastAsia="Calibri" w:hAnsi="Calibri"/>
          <w:b/>
          <w:bCs/>
          <w:color w:val="006064"/>
          <w:sz w:val="23"/>
          <w:szCs w:val="23"/>
        </w:rPr>
        <w:t xml:space="preserve">AD3.1 Aufgaben-Filter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26"/>
      </w:tblGrid>
      <w:tr>
        <w:trPr>
          <w:tblHeader/>
        </w:trPr>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Filter</w:t>
            </w:r>
          </w:p>
        </w:tc>
        <w:tc>
          <w:tcPr>
            <w:tcW w:type="dxa" w:w="5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Optionen</w:t>
            </w:r>
          </w:p>
        </w:tc>
        <w:tc>
          <w:tcPr>
            <w:tcW w:type="dxa" w:w="1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Standardwert</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Bereich</w:t>
            </w:r>
          </w:p>
        </w:tc>
        <w:tc>
          <w:tcPr>
            <w:tcW w:type="dxa" w:w="5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 Security / Infrastruktur / Compliance / Protokoll / Billing</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Priorität</w:t>
            </w:r>
          </w:p>
        </w:tc>
        <w:tc>
          <w:tcPr>
            <w:tcW w:type="dxa" w:w="5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 Kritisch / Hoch / Mittel / Niedrig</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Status</w:t>
            </w:r>
          </w:p>
        </w:tc>
        <w:tc>
          <w:tcPr>
            <w:tcW w:type="dxa" w:w="5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Offen / In Arbeit / Geplant / Erledigt</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Offen + In Arbeit</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Freitext-Suche</w:t>
            </w:r>
          </w:p>
        </w:tc>
        <w:tc>
          <w:tcPr>
            <w:tcW w:type="dxa" w:w="5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Aufgabentitel-Volltextsuche</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t>
            </w:r>
          </w:p>
        </w:tc>
      </w:tr>
    </w:tbl>
    <w:p>
      <w:pPr>
        <w:spacing w:before="80" w:after="0"/>
      </w:pPr>
      <w:r>
        <w:t xml:space="preserve"/>
      </w:r>
    </w:p>
    <w:p>
      <w:pPr>
        <w:spacing w:before="200" w:after="80"/>
      </w:pPr>
      <w:r>
        <w:rPr>
          <w:rFonts w:ascii="Calibri" w:cs="Calibri" w:eastAsia="Calibri" w:hAnsi="Calibri"/>
          <w:b/>
          <w:bCs/>
          <w:color w:val="006064"/>
          <w:sz w:val="23"/>
          <w:szCs w:val="23"/>
        </w:rPr>
        <w:t xml:space="preserve">AD3.2 Aufgaben-Datenmodell</w:t>
      </w:r>
    </w:p>
    <w:p>
      <w:pPr>
        <w:spacing w:before="60" w:after="90"/>
      </w:pPr>
      <w:r>
        <w:rPr>
          <w:rFonts w:ascii="Calibri" w:cs="Calibri" w:eastAsia="Calibri" w:hAnsi="Calibri"/>
          <w:color w:val="212121"/>
          <w:sz w:val="21"/>
          <w:szCs w:val="21"/>
        </w:rPr>
        <w:t xml:space="preserve">Jede Aufgabe wird im JavaScript-State als Objekt gespeichert. In der Produktionsversion werden Aufgaben in einer einfachen JSON-Datei auf dem Server persistiert und via fetch() geladen.</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7BF8" w:sz="6"/>
              <w:left w:val="single" w:color="3B7BF8" w:sz="6"/>
              <w:bottom w:val="single" w:color="2A3655" w:sz="2"/>
              <w:right w:val="single" w:color="2A3655" w:sz="2"/>
            </w:tcBorders>
            <w:shd w:fill="080D18" w:val="clear"/>
            <w:tcMar>
              <w:top w:type="dxa" w:w="0"/>
              <w:left w:type="dxa" w:w="0"/>
              <w:bottom w:type="dxa" w:w="0"/>
              <w:right w:type="dxa" w:w="0"/>
            </w:tcMar>
          </w:tcPr>
          <w:p>
            <w:pPr>
              <w:spacing w:before="0" w:after="0"/>
            </w:pPr>
            <w:r>
              <w:rPr>
                <w:rFonts w:ascii="Courier New" w:cs="Courier New" w:eastAsia="Courier New" w:hAnsi="Courier New"/>
                <w:color w:val="3A4E72"/>
                <w:sz w:val="16"/>
                <w:szCs w:val="16"/>
              </w:rPr>
              <w:t xml:space="preserve">  ● ● ●   </w:t>
            </w:r>
            <w:r>
              <w:rPr>
                <w:rFonts w:ascii="Courier New" w:cs="Courier New" w:eastAsia="Courier New" w:hAnsi="Courier New"/>
                <w:b/>
                <w:bCs/>
                <w:color w:val="3B7BF8"/>
                <w:sz w:val="17"/>
                <w:szCs w:val="17"/>
              </w:rPr>
              <w:t xml:space="preserve">Aufgaben-Datenmodell — Vollständig</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200"/>
              <w:gridCol w:w="1926"/>
            </w:tblGrid>
            <w:tr>
              <w:trPr>
                <w:tblHeader/>
              </w:trPr>
              <w:tc>
                <w:tcPr>
                  <w:tcW w:type="dxa" w:w="14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FELD</w:t>
                  </w:r>
                </w:p>
              </w:tc>
              <w:tc>
                <w:tcPr>
                  <w:tcW w:type="dxa" w:w="12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TYP</w:t>
                  </w:r>
                </w:p>
              </w:tc>
              <w:tc>
                <w:tcPr>
                  <w:tcW w:type="dxa" w:w="42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WERTE</w:t>
                  </w:r>
                </w:p>
              </w:tc>
              <w:tc>
                <w:tcPr>
                  <w:tcW w:type="dxa" w:w="1926"/>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PFLICHT</w:t>
                  </w:r>
                </w:p>
              </w:tc>
            </w:tr>
            <w:tr>
              <w:tc>
                <w:tcPr>
                  <w:tcW w:type="dxa" w:w="14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id</w:t>
                  </w:r>
                </w:p>
              </w:tc>
              <w:tc>
                <w:tcPr>
                  <w:tcW w:type="dxa" w:w="1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integer</w:t>
                  </w:r>
                </w:p>
              </w:tc>
              <w:tc>
                <w:tcPr>
                  <w:tcW w:type="dxa" w:w="4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Auto-Increment</w:t>
                  </w:r>
                </w:p>
              </w:tc>
              <w:tc>
                <w:tcPr>
                  <w:tcW w:type="dxa" w:w="1926"/>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22D37A"/>
                      <w:sz w:val="17"/>
                      <w:szCs w:val="17"/>
                    </w:rPr>
                    <w:t xml:space="preserve">JA</w:t>
                  </w:r>
                </w:p>
              </w:tc>
            </w:tr>
            <w:tr>
              <w:tc>
                <w:tcPr>
                  <w:tcW w:type="dxa" w:w="14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title</w:t>
                  </w:r>
                </w:p>
              </w:tc>
              <w:tc>
                <w:tcPr>
                  <w:tcW w:type="dxa" w:w="1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string</w:t>
                  </w:r>
                </w:p>
              </w:tc>
              <w:tc>
                <w:tcPr>
                  <w:tcW w:type="dxa" w:w="4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Max. 200 Zeichen</w:t>
                  </w:r>
                </w:p>
              </w:tc>
              <w:tc>
                <w:tcPr>
                  <w:tcW w:type="dxa" w:w="1926"/>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22D37A"/>
                      <w:sz w:val="17"/>
                      <w:szCs w:val="17"/>
                    </w:rPr>
                    <w:t xml:space="preserve">JA</w:t>
                  </w:r>
                </w:p>
              </w:tc>
            </w:tr>
            <w:tr>
              <w:tc>
                <w:tcPr>
                  <w:tcW w:type="dxa" w:w="14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area</w:t>
                  </w:r>
                </w:p>
              </w:tc>
              <w:tc>
                <w:tcPr>
                  <w:tcW w:type="dxa" w:w="1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enum</w:t>
                  </w:r>
                </w:p>
              </w:tc>
              <w:tc>
                <w:tcPr>
                  <w:tcW w:type="dxa" w:w="4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security | infrastruktur | compliance | protokoll | billing</w:t>
                  </w:r>
                </w:p>
              </w:tc>
              <w:tc>
                <w:tcPr>
                  <w:tcW w:type="dxa" w:w="1926"/>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22D37A"/>
                      <w:sz w:val="17"/>
                      <w:szCs w:val="17"/>
                    </w:rPr>
                    <w:t xml:space="preserve">JA</w:t>
                  </w:r>
                </w:p>
              </w:tc>
            </w:tr>
            <w:tr>
              <w:tc>
                <w:tcPr>
                  <w:tcW w:type="dxa" w:w="14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prio</w:t>
                  </w:r>
                </w:p>
              </w:tc>
              <w:tc>
                <w:tcPr>
                  <w:tcW w:type="dxa" w:w="1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enum</w:t>
                  </w:r>
                </w:p>
              </w:tc>
              <w:tc>
                <w:tcPr>
                  <w:tcW w:type="dxa" w:w="4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critical | high | medium | low</w:t>
                  </w:r>
                </w:p>
              </w:tc>
              <w:tc>
                <w:tcPr>
                  <w:tcW w:type="dxa" w:w="1926"/>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22D37A"/>
                      <w:sz w:val="17"/>
                      <w:szCs w:val="17"/>
                    </w:rPr>
                    <w:t xml:space="preserve">JA</w:t>
                  </w:r>
                </w:p>
              </w:tc>
            </w:tr>
            <w:tr>
              <w:tc>
                <w:tcPr>
                  <w:tcW w:type="dxa" w:w="14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assignee</w:t>
                  </w:r>
                </w:p>
              </w:tc>
              <w:tc>
                <w:tcPr>
                  <w:tcW w:type="dxa" w:w="1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string</w:t>
                  </w:r>
                </w:p>
              </w:tc>
              <w:tc>
                <w:tcPr>
                  <w:tcW w:type="dxa" w:w="4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CTO | DevOps | DSB | Steuerrecht | Externer</w:t>
                  </w:r>
                </w:p>
              </w:tc>
              <w:tc>
                <w:tcPr>
                  <w:tcW w:type="dxa" w:w="1926"/>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22D37A"/>
                      <w:sz w:val="17"/>
                      <w:szCs w:val="17"/>
                    </w:rPr>
                    <w:t xml:space="preserve">JA</w:t>
                  </w:r>
                </w:p>
              </w:tc>
            </w:tr>
            <w:tr>
              <w:tc>
                <w:tcPr>
                  <w:tcW w:type="dxa" w:w="14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due</w:t>
                  </w:r>
                </w:p>
              </w:tc>
              <w:tc>
                <w:tcPr>
                  <w:tcW w:type="dxa" w:w="1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date</w:t>
                  </w:r>
                </w:p>
              </w:tc>
              <w:tc>
                <w:tcPr>
                  <w:tcW w:type="dxa" w:w="4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ISO 8601 Format (YYYY-MM-DD)</w:t>
                  </w:r>
                </w:p>
              </w:tc>
              <w:tc>
                <w:tcPr>
                  <w:tcW w:type="dxa" w:w="1926"/>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22D37A"/>
                      <w:sz w:val="17"/>
                      <w:szCs w:val="17"/>
                    </w:rPr>
                    <w:t xml:space="preserve">JA</w:t>
                  </w:r>
                </w:p>
              </w:tc>
            </w:tr>
            <w:tr>
              <w:tc>
                <w:tcPr>
                  <w:tcW w:type="dxa" w:w="14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status</w:t>
                  </w:r>
                </w:p>
              </w:tc>
              <w:tc>
                <w:tcPr>
                  <w:tcW w:type="dxa" w:w="1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enum</w:t>
                  </w:r>
                </w:p>
              </w:tc>
              <w:tc>
                <w:tcPr>
                  <w:tcW w:type="dxa" w:w="4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Offen | In Arbeit | Geplant | Erledigt</w:t>
                  </w:r>
                </w:p>
              </w:tc>
              <w:tc>
                <w:tcPr>
                  <w:tcW w:type="dxa" w:w="1926"/>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22D37A"/>
                      <w:sz w:val="17"/>
                      <w:szCs w:val="17"/>
                    </w:rPr>
                    <w:t xml:space="preserve">JA</w:t>
                  </w:r>
                </w:p>
              </w:tc>
            </w:tr>
            <w:tr>
              <w:tc>
                <w:tcPr>
                  <w:tcW w:type="dxa" w:w="14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notes</w:t>
                  </w:r>
                </w:p>
              </w:tc>
              <w:tc>
                <w:tcPr>
                  <w:tcW w:type="dxa" w:w="1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string</w:t>
                  </w:r>
                </w:p>
              </w:tc>
              <w:tc>
                <w:tcPr>
                  <w:tcW w:type="dxa" w:w="4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Freitext, optional</w:t>
                  </w:r>
                </w:p>
              </w:tc>
              <w:tc>
                <w:tcPr>
                  <w:tcW w:type="dxa" w:w="1926"/>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4E6087"/>
                      <w:sz w:val="17"/>
                      <w:szCs w:val="17"/>
                    </w:rPr>
                    <w:t xml:space="preserve">Nein</w:t>
                  </w:r>
                </w:p>
              </w:tc>
            </w:tr>
          </w:tbl>
          <w:p>
            <w:pPr>
              <w:spacing w:before="60" w:after="0"/>
            </w:pPr>
            <w:r>
              <w:t xml:space="preserve"/>
            </w:r>
          </w:p>
        </w:tc>
      </w:tr>
    </w:tbl>
    <w:p>
      <w:pPr>
        <w:spacing w:before="80" w:after="0"/>
      </w:pPr>
      <w:r>
        <w:t xml:space="preserve"/>
      </w:r>
    </w:p>
    <w:p>
      <w:pPr>
        <w:spacing w:before="200" w:after="80"/>
      </w:pPr>
      <w:r>
        <w:rPr>
          <w:rFonts w:ascii="Calibri" w:cs="Calibri" w:eastAsia="Calibri" w:hAnsi="Calibri"/>
          <w:b/>
          <w:bCs/>
          <w:color w:val="006064"/>
          <w:sz w:val="23"/>
          <w:szCs w:val="23"/>
        </w:rPr>
        <w:t xml:space="preserve">AD3.3 Priorisierungs-Farbkodierung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00"/>
        <w:gridCol w:w="2326"/>
      </w:tblGrid>
      <w:tr>
        <w:trPr>
          <w:tblHeader/>
        </w:trPr>
        <w:tc>
          <w:tcPr>
            <w:tcW w:type="dxa" w:w="18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Priorität</w:t>
            </w:r>
          </w:p>
        </w:tc>
        <w:tc>
          <w:tcPr>
            <w:tcW w:type="dxa" w:w="1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Farbe</w:t>
            </w:r>
          </w:p>
        </w:tc>
        <w:tc>
          <w:tcPr>
            <w:tcW w:type="dxa" w:w="37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Kriterien</w:t>
            </w:r>
          </w:p>
        </w:tc>
        <w:tc>
          <w:tcPr>
            <w:tcW w:type="dxa" w:w="23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SLA (Bearbeitung beginnen)</w:t>
            </w:r>
          </w:p>
        </w:tc>
      </w:tr>
      <w:tr>
        <w:tc>
          <w:tcPr>
            <w:tcW w:type="dxa" w:w="1800"/>
            <w:tcBorders>
              <w:top w:val="single" w:color="CFD8DC" w:sz="1"/>
              <w:left w:val="single" w:color="CFD8DC" w:sz="1"/>
              <w:bottom w:val="single" w:color="CFD8DC" w:sz="1"/>
              <w:right w:val="single" w:color="CFD8DC" w:sz="1"/>
            </w:tcBorders>
            <w:shd w:fill="FFEBEE" w:val="clear"/>
            <w:tcMar>
              <w:top w:type="dxa" w:w="80"/>
              <w:left w:type="dxa" w:w="130"/>
              <w:bottom w:type="dxa" w:w="80"/>
              <w:right w:type="dxa" w:w="80"/>
            </w:tcMar>
          </w:tcPr>
          <w:p>
            <w:pPr>
              <w:jc w:val="left"/>
            </w:pPr>
            <w:r>
              <w:rPr>
                <w:rFonts w:ascii="Calibri" w:cs="Calibri" w:eastAsia="Calibri" w:hAnsi="Calibri"/>
                <w:b/>
                <w:bCs/>
                <w:color w:val="B71C1C"/>
                <w:sz w:val="20"/>
                <w:szCs w:val="20"/>
              </w:rPr>
              <w:t xml:space="preserve">■ KRITISCH</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Rot</w:t>
            </w:r>
          </w:p>
        </w:tc>
        <w:tc>
          <w:tcPr>
            <w:tcW w:type="dxa" w:w="3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CVSS ≥ 9.0; DSGVO-Frist überschritten; Production-Ausfall</w:t>
            </w:r>
          </w:p>
        </w:tc>
        <w:tc>
          <w:tcPr>
            <w:tcW w:type="dxa" w:w="2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1 Stunde</w:t>
            </w:r>
          </w:p>
        </w:tc>
      </w:tr>
      <w:tr>
        <w:tc>
          <w:tcPr>
            <w:tcW w:type="dxa" w:w="1800"/>
            <w:tcBorders>
              <w:top w:val="single" w:color="CFD8DC" w:sz="1"/>
              <w:left w:val="single" w:color="CFD8DC" w:sz="1"/>
              <w:bottom w:val="single" w:color="CFD8DC" w:sz="1"/>
              <w:right w:val="single" w:color="CFD8DC" w:sz="1"/>
            </w:tcBorders>
            <w:shd w:fill="FFF8E1" w:val="clear"/>
            <w:tcMar>
              <w:top w:type="dxa" w:w="80"/>
              <w:left w:type="dxa" w:w="130"/>
              <w:bottom w:type="dxa" w:w="80"/>
              <w:right w:type="dxa" w:w="80"/>
            </w:tcMar>
          </w:tcPr>
          <w:p>
            <w:pPr>
              <w:jc w:val="left"/>
            </w:pPr>
            <w:r>
              <w:rPr>
                <w:rFonts w:ascii="Calibri" w:cs="Calibri" w:eastAsia="Calibri" w:hAnsi="Calibri"/>
                <w:b/>
                <w:bCs/>
                <w:color w:val="E65100"/>
                <w:sz w:val="20"/>
                <w:szCs w:val="20"/>
              </w:rPr>
              <w:t xml:space="preserve">■ HOCH</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Amber</w:t>
            </w:r>
          </w:p>
        </w:tc>
        <w:tc>
          <w:tcPr>
            <w:tcW w:type="dxa" w:w="3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CVSS 7–8.9; Compliance-Frist in &lt; 7 Tagen; Kundendaten betroffen</w:t>
            </w:r>
          </w:p>
        </w:tc>
        <w:tc>
          <w:tcPr>
            <w:tcW w:type="dxa" w:w="2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4 Stunden</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30"/>
              <w:bottom w:type="dxa" w:w="80"/>
              <w:right w:type="dxa" w:w="80"/>
            </w:tcMar>
          </w:tcPr>
          <w:p>
            <w:pPr>
              <w:jc w:val="left"/>
            </w:pPr>
            <w:r>
              <w:rPr>
                <w:rFonts w:ascii="Calibri" w:cs="Calibri" w:eastAsia="Calibri" w:hAnsi="Calibri"/>
                <w:b/>
                <w:bCs/>
                <w:color w:val="0D47A1"/>
                <w:sz w:val="20"/>
                <w:szCs w:val="20"/>
              </w:rPr>
              <w:t xml:space="preserve">■ MITTEL</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Blau</w:t>
            </w:r>
          </w:p>
        </w:tc>
        <w:tc>
          <w:tcPr>
            <w:tcW w:type="dxa" w:w="3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Protokoll-Updates; Performance-Degradation; reguläre Reviews</w:t>
            </w:r>
          </w:p>
        </w:tc>
        <w:tc>
          <w:tcPr>
            <w:tcW w:type="dxa" w:w="2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&lt; 24 Stunden</w:t>
            </w:r>
          </w:p>
        </w:tc>
      </w:tr>
      <w:tr>
        <w:tc>
          <w:tcPr>
            <w:tcW w:type="dxa" w:w="18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bCs/>
                <w:color w:val="212121"/>
                <w:sz w:val="20"/>
                <w:szCs w:val="20"/>
              </w:rPr>
              <w:t xml:space="preserve">■ NIEDRIG</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Grau</w:t>
            </w:r>
          </w:p>
        </w:tc>
        <w:tc>
          <w:tcPr>
            <w:tcW w:type="dxa" w:w="37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Dokumentation; Best-Practice-Updates; optionale Verbesserungen</w:t>
            </w:r>
          </w:p>
        </w:tc>
        <w:tc>
          <w:tcPr>
            <w:tcW w:type="dxa" w:w="23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Nächster Sprint</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AD4. Nutzerverwaltung &amp; Billing</w:t>
      </w:r>
    </w:p>
    <w:p>
      <w:pPr>
        <w:spacing w:before="200" w:after="80"/>
      </w:pPr>
      <w:r>
        <w:rPr>
          <w:rFonts w:ascii="Calibri" w:cs="Calibri" w:eastAsia="Calibri" w:hAnsi="Calibri"/>
          <w:b/>
          <w:bCs/>
          <w:color w:val="006064"/>
          <w:sz w:val="23"/>
          <w:szCs w:val="23"/>
        </w:rPr>
        <w:t xml:space="preserve">AD4.1 Nutzerverwaltungs-Modul</w:t>
      </w:r>
    </w:p>
    <w:p>
      <w:pPr>
        <w:spacing w:before="60" w:after="90"/>
      </w:pPr>
      <w:r>
        <w:rPr>
          <w:rFonts w:ascii="Calibri" w:cs="Calibri" w:eastAsia="Calibri" w:hAnsi="Calibri"/>
          <w:color w:val="212121"/>
          <w:sz w:val="21"/>
          <w:szCs w:val="21"/>
        </w:rPr>
        <w:t xml:space="preserve">Das Nutzerverwaltungs-Modul bietet eine tabellarische Übersicht aller Nutzer-Accounts mit Plan, MRR-Beitrag, letzter Aktivität und Sonderstatus (Churn-Risiko, Löschantrag). Die Suche funktioniert nach E-Mail, Wallet-Adresse und Nutzer-ID.</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7BF8" w:sz="6"/>
              <w:left w:val="single" w:color="3B7BF8" w:sz="6"/>
              <w:bottom w:val="single" w:color="2A3655" w:sz="2"/>
              <w:right w:val="single" w:color="2A3655" w:sz="2"/>
            </w:tcBorders>
            <w:shd w:fill="080D18" w:val="clear"/>
            <w:tcMar>
              <w:top w:type="dxa" w:w="0"/>
              <w:left w:type="dxa" w:w="0"/>
              <w:bottom w:type="dxa" w:w="0"/>
              <w:right w:type="dxa" w:w="0"/>
            </w:tcMar>
          </w:tcPr>
          <w:p>
            <w:pPr>
              <w:spacing w:before="0" w:after="0"/>
            </w:pPr>
            <w:r>
              <w:rPr>
                <w:rFonts w:ascii="Courier New" w:cs="Courier New" w:eastAsia="Courier New" w:hAnsi="Courier New"/>
                <w:color w:val="3A4E72"/>
                <w:sz w:val="16"/>
                <w:szCs w:val="16"/>
              </w:rPr>
              <w:t xml:space="preserve">  ● ● ●   </w:t>
            </w:r>
            <w:r>
              <w:rPr>
                <w:rFonts w:ascii="Courier New" w:cs="Courier New" w:eastAsia="Courier New" w:hAnsi="Courier New"/>
                <w:b/>
                <w:bCs/>
                <w:color w:val="3B7BF8"/>
                <w:sz w:val="17"/>
                <w:szCs w:val="17"/>
              </w:rPr>
              <w:t xml:space="preserve">Nutzerverwaltung — Übersicht</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000"/>
              <w:gridCol w:w="1000"/>
              <w:gridCol w:w="1100"/>
              <w:gridCol w:w="1400"/>
            </w:tblGrid>
            <w:tr>
              <w:trPr>
                <w:tblHeader/>
              </w:trPr>
              <w:tc>
                <w:tcPr>
                  <w:tcW w:type="dxa" w:w="24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NUTZER</w:t>
                  </w:r>
                </w:p>
              </w:tc>
              <w:tc>
                <w:tcPr>
                  <w:tcW w:type="dxa" w:w="9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PLAN</w:t>
                  </w:r>
                </w:p>
              </w:tc>
              <w:tc>
                <w:tcPr>
                  <w:tcW w:type="dxa" w:w="10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MRR</w:t>
                  </w:r>
                </w:p>
              </w:tc>
              <w:tc>
                <w:tcPr>
                  <w:tcW w:type="dxa" w:w="10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TX/MONAT</w:t>
                  </w:r>
                </w:p>
              </w:tc>
              <w:tc>
                <w:tcPr>
                  <w:tcW w:type="dxa" w:w="11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LETZT. AKT.</w:t>
                  </w:r>
                </w:p>
              </w:tc>
              <w:tc>
                <w:tcPr>
                  <w:tcW w:type="dxa" w:w="14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STATUS</w:t>
                  </w:r>
                </w:p>
              </w:tc>
            </w:tr>
            <w:tr>
              <w:tc>
                <w:tcPr>
                  <w:tcW w:type="dxa" w:w="24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kai.mueller@gmail.com</w:t>
                  </w:r>
                </w:p>
              </w:tc>
              <w:tc>
                <w:tcPr>
                  <w:tcW w:type="dxa" w:w="9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3B7BF8"/>
                      <w:sz w:val="17"/>
                      <w:szCs w:val="17"/>
                    </w:rPr>
                    <w:t xml:space="preserve">[PRO]</w:t>
                  </w:r>
                </w:p>
              </w:tc>
              <w:tc>
                <w:tcPr>
                  <w:tcW w:type="dxa" w:w="10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€ 29,99</w:t>
                  </w:r>
                </w:p>
              </w:tc>
              <w:tc>
                <w:tcPr>
                  <w:tcW w:type="dxa" w:w="10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847</w:t>
                  </w:r>
                </w:p>
              </w:tc>
              <w:tc>
                <w:tcPr>
                  <w:tcW w:type="dxa" w:w="11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vor 2 Std.</w:t>
                  </w:r>
                </w:p>
              </w:tc>
              <w:tc>
                <w:tcPr>
                  <w:tcW w:type="dxa" w:w="14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22D37A"/>
                      <w:sz w:val="17"/>
                      <w:szCs w:val="17"/>
                    </w:rPr>
                    <w:t xml:space="preserve">● AKTIV</w:t>
                  </w:r>
                </w:p>
              </w:tc>
            </w:tr>
            <w:tr>
              <w:tc>
                <w:tcPr>
                  <w:tcW w:type="dxa" w:w="24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weber-kanzlei@steuer.de</w:t>
                  </w:r>
                </w:p>
              </w:tc>
              <w:tc>
                <w:tcPr>
                  <w:tcW w:type="dxa" w:w="9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9B6DFF"/>
                      <w:sz w:val="17"/>
                      <w:szCs w:val="17"/>
                    </w:rPr>
                    <w:t xml:space="preserve">[KANZLEI]</w:t>
                  </w:r>
                </w:p>
              </w:tc>
              <w:tc>
                <w:tcPr>
                  <w:tcW w:type="dxa" w:w="10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€ 299,99</w:t>
                  </w:r>
                </w:p>
              </w:tc>
              <w:tc>
                <w:tcPr>
                  <w:tcW w:type="dxa" w:w="10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12.440</w:t>
                  </w:r>
                </w:p>
              </w:tc>
              <w:tc>
                <w:tcPr>
                  <w:tcW w:type="dxa" w:w="11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vor 1 Std.</w:t>
                  </w:r>
                </w:p>
              </w:tc>
              <w:tc>
                <w:tcPr>
                  <w:tcW w:type="dxa" w:w="14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22D37A"/>
                      <w:sz w:val="17"/>
                      <w:szCs w:val="17"/>
                    </w:rPr>
                    <w:t xml:space="preserve">● AKTIV</w:t>
                  </w:r>
                </w:p>
              </w:tc>
            </w:tr>
            <w:tr>
              <w:tc>
                <w:tcPr>
                  <w:tcW w:type="dxa" w:w="24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marcus.heinz@family.de</w:t>
                  </w:r>
                </w:p>
              </w:tc>
              <w:tc>
                <w:tcPr>
                  <w:tcW w:type="dxa" w:w="9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F5A623"/>
                      <w:sz w:val="17"/>
                      <w:szCs w:val="17"/>
                    </w:rPr>
                    <w:t xml:space="preserve">[BUSI.]</w:t>
                  </w:r>
                </w:p>
              </w:tc>
              <w:tc>
                <w:tcPr>
                  <w:tcW w:type="dxa" w:w="10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€ 79,99</w:t>
                  </w:r>
                </w:p>
              </w:tc>
              <w:tc>
                <w:tcPr>
                  <w:tcW w:type="dxa" w:w="10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3.219</w:t>
                  </w:r>
                </w:p>
              </w:tc>
              <w:tc>
                <w:tcPr>
                  <w:tcW w:type="dxa" w:w="11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vor 6 Std.</w:t>
                  </w:r>
                </w:p>
              </w:tc>
              <w:tc>
                <w:tcPr>
                  <w:tcW w:type="dxa" w:w="14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F5A623"/>
                      <w:sz w:val="17"/>
                      <w:szCs w:val="17"/>
                    </w:rPr>
                    <w:t xml:space="preserve">⚠ CHURN-RISIKO</w:t>
                  </w:r>
                </w:p>
              </w:tc>
            </w:tr>
            <w:tr>
              <w:tc>
                <w:tcPr>
                  <w:tcW w:type="dxa" w:w="24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anonym@temp.de</w:t>
                  </w:r>
                </w:p>
              </w:tc>
              <w:tc>
                <w:tcPr>
                  <w:tcW w:type="dxa" w:w="9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4E6087"/>
                      <w:sz w:val="17"/>
                      <w:szCs w:val="17"/>
                    </w:rPr>
                    <w:t xml:space="preserve">[FREE]</w:t>
                  </w:r>
                </w:p>
              </w:tc>
              <w:tc>
                <w:tcPr>
                  <w:tcW w:type="dxa" w:w="10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€ 0</w:t>
                  </w:r>
                </w:p>
              </w:tc>
              <w:tc>
                <w:tcPr>
                  <w:tcW w:type="dxa" w:w="10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0</w:t>
                  </w:r>
                </w:p>
              </w:tc>
              <w:tc>
                <w:tcPr>
                  <w:tcW w:type="dxa" w:w="11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vor 31 Tagen</w:t>
                  </w:r>
                </w:p>
              </w:tc>
              <w:tc>
                <w:tcPr>
                  <w:tcW w:type="dxa" w:w="14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EF4545"/>
                      <w:sz w:val="17"/>
                      <w:szCs w:val="17"/>
                    </w:rPr>
                    <w:t xml:space="preserve">✕ INAKTIV</w:t>
                  </w:r>
                </w:p>
              </w:tc>
            </w:tr>
            <w:tr>
              <w:tc>
                <w:tcPr>
                  <w:tcW w:type="dxa" w:w="24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dsgvo-anfrage@user.de</w:t>
                  </w:r>
                </w:p>
              </w:tc>
              <w:tc>
                <w:tcPr>
                  <w:tcW w:type="dxa" w:w="9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4E6087"/>
                      <w:sz w:val="17"/>
                      <w:szCs w:val="17"/>
                    </w:rPr>
                    <w:t xml:space="preserve">[FREE]</w:t>
                  </w:r>
                </w:p>
              </w:tc>
              <w:tc>
                <w:tcPr>
                  <w:tcW w:type="dxa" w:w="10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w:t>
                  </w:r>
                </w:p>
              </w:tc>
              <w:tc>
                <w:tcPr>
                  <w:tcW w:type="dxa" w:w="10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w:t>
                  </w:r>
                </w:p>
              </w:tc>
              <w:tc>
                <w:tcPr>
                  <w:tcW w:type="dxa" w:w="11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w:t>
                  </w:r>
                </w:p>
              </w:tc>
              <w:tc>
                <w:tcPr>
                  <w:tcW w:type="dxa" w:w="14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bCs/>
                      <w:color w:val="EF4545"/>
                      <w:sz w:val="17"/>
                      <w:szCs w:val="17"/>
                    </w:rPr>
                    <w:t xml:space="preserve">! LÖSCHANTRAG</w:t>
                  </w:r>
                </w:p>
              </w:tc>
            </w:tr>
          </w:tbl>
          <w:p>
            <w:pPr>
              <w:spacing w:before="60" w:after="0"/>
            </w:pPr>
            <w:r>
              <w:t xml:space="preserve"/>
            </w:r>
          </w:p>
        </w:tc>
      </w:tr>
    </w:tbl>
    <w:p>
      <w:pPr>
        <w:spacing w:before="80" w:after="0"/>
      </w:pPr>
      <w:r>
        <w:t xml:space="preserve"/>
      </w:r>
    </w:p>
    <w:p>
      <w:pPr>
        <w:spacing w:before="200" w:after="80"/>
      </w:pPr>
      <w:r>
        <w:rPr>
          <w:rFonts w:ascii="Calibri" w:cs="Calibri" w:eastAsia="Calibri" w:hAnsi="Calibri"/>
          <w:b/>
          <w:bCs/>
          <w:color w:val="006064"/>
          <w:sz w:val="23"/>
          <w:szCs w:val="23"/>
        </w:rPr>
        <w:t xml:space="preserve">AD4.2 Churn-Risiko-Erkennung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426"/>
      </w:tblGrid>
      <w:tr>
        <w:trPr>
          <w:tblHeader/>
        </w:trPr>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Risiko-Signal</w:t>
            </w:r>
          </w:p>
        </w:tc>
        <w:tc>
          <w:tcPr>
            <w:tcW w:type="dxa" w:w="24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Schwellenwert</w:t>
            </w:r>
          </w:p>
        </w:tc>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Status-Markierung</w:t>
            </w:r>
          </w:p>
        </w:tc>
        <w:tc>
          <w:tcPr>
            <w:tcW w:type="dxa" w:w="24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Empfohlene Aktion</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Inaktivität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&gt; 21 Tage keine Login-Aktivität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Inaktiv (Amber)</w:t>
            </w:r>
          </w:p>
        </w:tc>
        <w:tc>
          <w:tcPr>
            <w:tcW w:type="dxa" w:w="2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Reaktivierungs-E-Mail (automatisch)</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Support-Eskalation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Offenes High-Priority-Ticket &gt; 48h</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Churn-Risiko (Amber)</w:t>
            </w:r>
          </w:p>
        </w:tc>
        <w:tc>
          <w:tcPr>
            <w:tcW w:type="dxa" w:w="2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Persönliche Kontaktaufnahme (CTO)</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Kündigungsankündigung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cancel_requested = true in DB</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Kündigung ausstehend (Rot)</w:t>
            </w:r>
          </w:p>
        </w:tc>
        <w:tc>
          <w:tcPr>
            <w:tcW w:type="dxa" w:w="2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Retention-Angebot generieren</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Plan-Downgrade</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Downgrade von Business → Pro</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Downgrade (Amber)</w:t>
            </w:r>
          </w:p>
        </w:tc>
        <w:tc>
          <w:tcPr>
            <w:tcW w:type="dxa" w:w="2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Feedback erfragen; Wert demonstrieren</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Zahlungsfehler</w:t>
            </w:r>
          </w:p>
        </w:tc>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Payment-Retry fehlgeschlagen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 Payment-Fehler (Rot)</w:t>
            </w:r>
          </w:p>
        </w:tc>
        <w:tc>
          <w:tcPr>
            <w:tcW w:type="dxa" w:w="24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E-Mail + manuelle Nachfassung</w:t>
            </w:r>
          </w:p>
        </w:tc>
      </w:tr>
    </w:tbl>
    <w:p>
      <w:pPr>
        <w:spacing w:before="80" w:after="0"/>
      </w:pPr>
      <w:r>
        <w:t xml:space="preserve"/>
      </w:r>
    </w:p>
    <w:p>
      <w:pPr>
        <w:spacing w:before="200" w:after="80"/>
      </w:pPr>
      <w:r>
        <w:rPr>
          <w:rFonts w:ascii="Calibri" w:cs="Calibri" w:eastAsia="Calibri" w:hAnsi="Calibri"/>
          <w:b/>
          <w:bCs/>
          <w:color w:val="006064"/>
          <w:sz w:val="23"/>
          <w:szCs w:val="23"/>
        </w:rPr>
        <w:t xml:space="preserve">AD4.3 Billing &amp; MRR-Modul</w:t>
      </w:r>
    </w:p>
    <w:p>
      <w:pPr>
        <w:spacing w:before="60" w:after="90"/>
      </w:pPr>
      <w:r>
        <w:rPr>
          <w:rFonts w:ascii="Calibri" w:cs="Calibri" w:eastAsia="Calibri" w:hAnsi="Calibri"/>
          <w:color w:val="212121"/>
          <w:sz w:val="21"/>
          <w:szCs w:val="21"/>
        </w:rPr>
        <w:t xml:space="preserve">Das Billing-Modul zeigt alle Zahlungstransaktionen, fehlgeschlagene Payments mit Retry-Status und ein MRR-Entwicklungsdiagramm der letzten 12 Monate (Chart.js Liniendiagramm mit Echtzeit-Datenpunkten aus der PostgreSQL-Datenbank).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3B7BF8" w:sz="4"/>
              <w:left w:val="single" w:color="2A3655" w:sz="1"/>
              <w:bottom w:val="single" w:color="2A3655" w:sz="1"/>
              <w:right w:val="single" w:color="2A3655" w:sz="1"/>
            </w:tcBorders>
            <w:shd w:fill="0F1629" w:val="clear"/>
            <w:tcMar>
              <w:top w:type="dxa" w:w="100"/>
              <w:left w:type="dxa" w:w="130"/>
              <w:bottom w:type="dxa" w:w="100"/>
              <w:right w:type="dxa" w:w="80"/>
            </w:tcMar>
          </w:tcPr>
          <w:p>
            <w:pPr>
              <w:spacing w:before="0" w:after="30"/>
            </w:pPr>
            <w:r>
              <w:rPr>
                <w:rFonts w:ascii="Courier New" w:cs="Courier New" w:eastAsia="Courier New" w:hAnsi="Courier New"/>
                <w:color w:val="4E6087"/>
                <w:sz w:val="17"/>
                <w:szCs w:val="17"/>
              </w:rPr>
              <w:t xml:space="preserve">MRR</w:t>
            </w:r>
          </w:p>
          <w:p>
            <w:pPr>
              <w:spacing w:before="0" w:after="20"/>
            </w:pPr>
            <w:r>
              <w:rPr>
                <w:rFonts w:ascii="Courier New" w:cs="Courier New" w:eastAsia="Courier New" w:hAnsi="Courier New"/>
                <w:b/>
                <w:bCs/>
                <w:color w:val="3B7BF8"/>
                <w:sz w:val="26"/>
                <w:szCs w:val="26"/>
              </w:rPr>
              <w:t xml:space="preserve">€ 8.240</w:t>
            </w:r>
          </w:p>
          <w:p>
            <w:pPr>
              <w:spacing w:before="0" w:after="0"/>
            </w:pPr>
            <w:r>
              <w:rPr>
                <w:rFonts w:ascii="Courier New" w:cs="Courier New" w:eastAsia="Courier New" w:hAnsi="Courier New"/>
                <w:color w:val="4E6087"/>
                <w:sz w:val="15"/>
                <w:szCs w:val="15"/>
              </w:rPr>
              <w:t xml:space="preserve">MRR-Stand aktuell</w:t>
            </w:r>
          </w:p>
        </w:tc>
        <w:tc>
          <w:tcPr>
            <w:tcW w:type="dxa" w:w="2256"/>
            <w:tcBorders>
              <w:top w:val="single" w:color="22D37A" w:sz="4"/>
              <w:left w:val="single" w:color="2A3655" w:sz="1"/>
              <w:bottom w:val="single" w:color="2A3655" w:sz="1"/>
              <w:right w:val="single" w:color="2A3655" w:sz="1"/>
            </w:tcBorders>
            <w:shd w:fill="0F1629" w:val="clear"/>
            <w:tcMar>
              <w:top w:type="dxa" w:w="100"/>
              <w:left w:type="dxa" w:w="130"/>
              <w:bottom w:type="dxa" w:w="100"/>
              <w:right w:type="dxa" w:w="80"/>
            </w:tcMar>
          </w:tcPr>
          <w:p>
            <w:pPr>
              <w:spacing w:before="0" w:after="30"/>
            </w:pPr>
            <w:r>
              <w:rPr>
                <w:rFonts w:ascii="Courier New" w:cs="Courier New" w:eastAsia="Courier New" w:hAnsi="Courier New"/>
                <w:color w:val="4E6087"/>
                <w:sz w:val="17"/>
                <w:szCs w:val="17"/>
              </w:rPr>
              <w:t xml:space="preserve">ARR (Hochr.)</w:t>
            </w:r>
          </w:p>
          <w:p>
            <w:pPr>
              <w:spacing w:before="0" w:after="20"/>
            </w:pPr>
            <w:r>
              <w:rPr>
                <w:rFonts w:ascii="Courier New" w:cs="Courier New" w:eastAsia="Courier New" w:hAnsi="Courier New"/>
                <w:b/>
                <w:bCs/>
                <w:color w:val="22D37A"/>
                <w:sz w:val="26"/>
                <w:szCs w:val="26"/>
              </w:rPr>
              <w:t xml:space="preserve">€ 98.880</w:t>
            </w:r>
          </w:p>
          <w:p>
            <w:pPr>
              <w:spacing w:before="0" w:after="0"/>
            </w:pPr>
            <w:r>
              <w:rPr>
                <w:rFonts w:ascii="Courier New" w:cs="Courier New" w:eastAsia="Courier New" w:hAnsi="Courier New"/>
                <w:color w:val="4E6087"/>
                <w:sz w:val="15"/>
                <w:szCs w:val="15"/>
              </w:rPr>
              <w:t xml:space="preserve">MRR × 12</w:t>
            </w:r>
          </w:p>
        </w:tc>
        <w:tc>
          <w:tcPr>
            <w:tcW w:type="dxa" w:w="2256"/>
            <w:tcBorders>
              <w:top w:val="single" w:color="F5A623" w:sz="4"/>
              <w:left w:val="single" w:color="2A3655" w:sz="1"/>
              <w:bottom w:val="single" w:color="2A3655" w:sz="1"/>
              <w:right w:val="single" w:color="2A3655" w:sz="1"/>
            </w:tcBorders>
            <w:shd w:fill="0F1629" w:val="clear"/>
            <w:tcMar>
              <w:top w:type="dxa" w:w="100"/>
              <w:left w:type="dxa" w:w="130"/>
              <w:bottom w:type="dxa" w:w="100"/>
              <w:right w:type="dxa" w:w="80"/>
            </w:tcMar>
          </w:tcPr>
          <w:p>
            <w:pPr>
              <w:spacing w:before="0" w:after="30"/>
            </w:pPr>
            <w:r>
              <w:rPr>
                <w:rFonts w:ascii="Courier New" w:cs="Courier New" w:eastAsia="Courier New" w:hAnsi="Courier New"/>
                <w:color w:val="4E6087"/>
                <w:sz w:val="17"/>
                <w:szCs w:val="17"/>
              </w:rPr>
              <w:t xml:space="preserve">Offen (Inv.)</w:t>
            </w:r>
          </w:p>
          <w:p>
            <w:pPr>
              <w:spacing w:before="0" w:after="20"/>
            </w:pPr>
            <w:r>
              <w:rPr>
                <w:rFonts w:ascii="Courier New" w:cs="Courier New" w:eastAsia="Courier New" w:hAnsi="Courier New"/>
                <w:b/>
                <w:bCs/>
                <w:color w:val="F5A623"/>
                <w:sz w:val="26"/>
                <w:szCs w:val="26"/>
              </w:rPr>
              <w:t xml:space="preserve">3</w:t>
            </w:r>
          </w:p>
          <w:p>
            <w:pPr>
              <w:spacing w:before="0" w:after="0"/>
            </w:pPr>
            <w:r>
              <w:rPr>
                <w:rFonts w:ascii="Courier New" w:cs="Courier New" w:eastAsia="Courier New" w:hAnsi="Courier New"/>
                <w:color w:val="4E6087"/>
                <w:sz w:val="15"/>
                <w:szCs w:val="15"/>
              </w:rPr>
              <w:t xml:space="preserve">€ 389,97 ausstehend</w:t>
            </w:r>
          </w:p>
        </w:tc>
        <w:tc>
          <w:tcPr>
            <w:tcW w:type="dxa" w:w="2258"/>
            <w:tcBorders>
              <w:top w:val="single" w:color="EF4545" w:sz="4"/>
              <w:left w:val="single" w:color="2A3655" w:sz="1"/>
              <w:bottom w:val="single" w:color="2A3655" w:sz="1"/>
              <w:right w:val="single" w:color="2A3655" w:sz="1"/>
            </w:tcBorders>
            <w:shd w:fill="0F1629" w:val="clear"/>
            <w:tcMar>
              <w:top w:type="dxa" w:w="100"/>
              <w:left w:type="dxa" w:w="130"/>
              <w:bottom w:type="dxa" w:w="100"/>
              <w:right w:type="dxa" w:w="80"/>
            </w:tcMar>
          </w:tcPr>
          <w:p>
            <w:pPr>
              <w:spacing w:before="0" w:after="30"/>
            </w:pPr>
            <w:r>
              <w:rPr>
                <w:rFonts w:ascii="Courier New" w:cs="Courier New" w:eastAsia="Courier New" w:hAnsi="Courier New"/>
                <w:color w:val="4E6087"/>
                <w:sz w:val="17"/>
                <w:szCs w:val="17"/>
              </w:rPr>
              <w:t xml:space="preserve">Fehlgeschl.</w:t>
            </w:r>
          </w:p>
          <w:p>
            <w:pPr>
              <w:spacing w:before="0" w:after="20"/>
            </w:pPr>
            <w:r>
              <w:rPr>
                <w:rFonts w:ascii="Courier New" w:cs="Courier New" w:eastAsia="Courier New" w:hAnsi="Courier New"/>
                <w:b/>
                <w:bCs/>
                <w:color w:val="EF4545"/>
                <w:sz w:val="26"/>
                <w:szCs w:val="26"/>
              </w:rPr>
              <w:t xml:space="preserve">2</w:t>
            </w:r>
          </w:p>
          <w:p>
            <w:pPr>
              <w:spacing w:before="0" w:after="0"/>
            </w:pPr>
            <w:r>
              <w:rPr>
                <w:rFonts w:ascii="Courier New" w:cs="Courier New" w:eastAsia="Courier New" w:hAnsi="Courier New"/>
                <w:color w:val="4E6087"/>
                <w:sz w:val="15"/>
                <w:szCs w:val="15"/>
              </w:rPr>
              <w:t xml:space="preserve">Retry ausstehend</w:t>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AD5. Support-Queue &amp; Infrastruktur-Module</w:t>
      </w:r>
    </w:p>
    <w:p>
      <w:pPr>
        <w:spacing w:before="200" w:after="80"/>
      </w:pPr>
      <w:r>
        <w:rPr>
          <w:rFonts w:ascii="Calibri" w:cs="Calibri" w:eastAsia="Calibri" w:hAnsi="Calibri"/>
          <w:b/>
          <w:bCs/>
          <w:color w:val="006064"/>
          <w:sz w:val="23"/>
          <w:szCs w:val="23"/>
        </w:rPr>
        <w:t xml:space="preserve">AD5.1 Support-Queue-Modul</w:t>
      </w:r>
    </w:p>
    <w:p>
      <w:pPr>
        <w:spacing w:before="60" w:after="90"/>
      </w:pPr>
      <w:r>
        <w:rPr>
          <w:rFonts w:ascii="Calibri" w:cs="Calibri" w:eastAsia="Calibri" w:hAnsi="Calibri"/>
          <w:color w:val="212121"/>
          <w:sz w:val="21"/>
          <w:szCs w:val="21"/>
        </w:rPr>
        <w:t xml:space="preserve">Das Support-Queue-Modul zeigt alle offenen und in Bearbeitung befindlichen Tickets mit Betreff, Nutzer, Plan, Priorität, Erstellungsdatum und Status. Ein klickbarer 'Öffnen'-Button leitet zu einer detaillierten Ticket-Ansicht weiter. Tickets mit Priorität 'Eskaliert' werden rot hervorgehoben.</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7BF8" w:sz="6"/>
              <w:left w:val="single" w:color="3B7BF8" w:sz="6"/>
              <w:bottom w:val="single" w:color="2A3655" w:sz="2"/>
              <w:right w:val="single" w:color="2A3655" w:sz="2"/>
            </w:tcBorders>
            <w:shd w:fill="080D18" w:val="clear"/>
            <w:tcMar>
              <w:top w:type="dxa" w:w="0"/>
              <w:left w:type="dxa" w:w="0"/>
              <w:bottom w:type="dxa" w:w="0"/>
              <w:right w:type="dxa" w:w="0"/>
            </w:tcMar>
          </w:tcPr>
          <w:p>
            <w:pPr>
              <w:spacing w:before="0" w:after="0"/>
            </w:pPr>
            <w:r>
              <w:rPr>
                <w:rFonts w:ascii="Courier New" w:cs="Courier New" w:eastAsia="Courier New" w:hAnsi="Courier New"/>
                <w:color w:val="3A4E72"/>
                <w:sz w:val="16"/>
                <w:szCs w:val="16"/>
              </w:rPr>
              <w:t xml:space="preserve">  ● ● ●   </w:t>
            </w:r>
            <w:r>
              <w:rPr>
                <w:rFonts w:ascii="Courier New" w:cs="Courier New" w:eastAsia="Courier New" w:hAnsi="Courier New"/>
                <w:b/>
                <w:bCs/>
                <w:color w:val="3B7BF8"/>
                <w:sz w:val="17"/>
                <w:szCs w:val="17"/>
              </w:rPr>
              <w:t xml:space="preserve">Support-Queue — Offene Tickets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500"/>
              <w:gridCol w:w="900"/>
              <w:gridCol w:w="1100"/>
              <w:gridCol w:w="1200"/>
            </w:tblGrid>
            <w:tr>
              <w:trPr>
                <w:tblHeader/>
              </w:trPr>
              <w:tc>
                <w:tcPr>
                  <w:tcW w:type="dxa" w:w="6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w:t>
                  </w:r>
                </w:p>
              </w:tc>
              <w:tc>
                <w:tcPr>
                  <w:tcW w:type="dxa" w:w="25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BETREFF</w:t>
                  </w:r>
                </w:p>
              </w:tc>
              <w:tc>
                <w:tcPr>
                  <w:tcW w:type="dxa" w:w="15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NUTZER</w:t>
                  </w:r>
                </w:p>
              </w:tc>
              <w:tc>
                <w:tcPr>
                  <w:tcW w:type="dxa" w:w="9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PLAN</w:t>
                  </w:r>
                </w:p>
              </w:tc>
              <w:tc>
                <w:tcPr>
                  <w:tcW w:type="dxa" w:w="11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PRIO</w:t>
                  </w:r>
                </w:p>
              </w:tc>
              <w:tc>
                <w:tcPr>
                  <w:tcW w:type="dxa" w:w="12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STATUS</w:t>
                  </w:r>
                </w:p>
              </w:tc>
            </w:tr>
            <w:tr>
              <w:tc>
                <w:tcPr>
                  <w:tcW w:type="dxa" w:w="6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3B7BF8"/>
                      <w:sz w:val="17"/>
                      <w:szCs w:val="17"/>
                    </w:rPr>
                    <w:t xml:space="preserve">#0041</w:t>
                  </w:r>
                </w:p>
              </w:tc>
              <w:tc>
                <w:tcPr>
                  <w:tcW w:type="dxa" w:w="25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LP-TX falsch als Trade klassifiziert</w:t>
                  </w:r>
                </w:p>
              </w:tc>
              <w:tc>
                <w:tcPr>
                  <w:tcW w:type="dxa" w:w="15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marcus.heinz@...</w:t>
                  </w:r>
                </w:p>
              </w:tc>
              <w:tc>
                <w:tcPr>
                  <w:tcW w:type="dxa" w:w="9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F5A623"/>
                      <w:sz w:val="17"/>
                      <w:szCs w:val="17"/>
                    </w:rPr>
                    <w:t xml:space="preserve">[BUSI]</w:t>
                  </w:r>
                </w:p>
              </w:tc>
              <w:tc>
                <w:tcPr>
                  <w:tcW w:type="dxa" w:w="11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bCs/>
                      <w:color w:val="EF4545"/>
                      <w:sz w:val="17"/>
                      <w:szCs w:val="17"/>
                    </w:rPr>
                    <w:t xml:space="preserve">■ ESKALIERT</w:t>
                  </w:r>
                </w:p>
              </w:tc>
              <w:tc>
                <w:tcPr>
                  <w:tcW w:type="dxa" w:w="1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EF4545"/>
                      <w:sz w:val="17"/>
                      <w:szCs w:val="17"/>
                    </w:rPr>
                    <w:t xml:space="preserve">● OFFEN</w:t>
                  </w:r>
                </w:p>
              </w:tc>
            </w:tr>
            <w:tr>
              <w:tc>
                <w:tcPr>
                  <w:tcW w:type="dxa" w:w="6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3B7BF8"/>
                      <w:sz w:val="17"/>
                      <w:szCs w:val="17"/>
                    </w:rPr>
                    <w:t xml:space="preserve">#0038</w:t>
                  </w:r>
                </w:p>
              </w:tc>
              <w:tc>
                <w:tcPr>
                  <w:tcW w:type="dxa" w:w="25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CoinTracking CSV-Import fehlerhaft</w:t>
                  </w:r>
                </w:p>
              </w:tc>
              <w:tc>
                <w:tcPr>
                  <w:tcW w:type="dxa" w:w="15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anna.vogel@...</w:t>
                  </w:r>
                </w:p>
              </w:tc>
              <w:tc>
                <w:tcPr>
                  <w:tcW w:type="dxa" w:w="9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4E6087"/>
                      <w:sz w:val="17"/>
                      <w:szCs w:val="17"/>
                    </w:rPr>
                    <w:t xml:space="preserve">[STARTER]</w:t>
                  </w:r>
                </w:p>
              </w:tc>
              <w:tc>
                <w:tcPr>
                  <w:tcW w:type="dxa" w:w="11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F5A623"/>
                      <w:sz w:val="17"/>
                      <w:szCs w:val="17"/>
                    </w:rPr>
                    <w:t xml:space="preserve">■ HOCH</w:t>
                  </w:r>
                </w:p>
              </w:tc>
              <w:tc>
                <w:tcPr>
                  <w:tcW w:type="dxa" w:w="1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EF4545"/>
                      <w:sz w:val="17"/>
                      <w:szCs w:val="17"/>
                    </w:rPr>
                    <w:t xml:space="preserve">● OFFEN</w:t>
                  </w:r>
                </w:p>
              </w:tc>
            </w:tr>
            <w:tr>
              <w:tc>
                <w:tcPr>
                  <w:tcW w:type="dxa" w:w="6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3B7BF8"/>
                      <w:sz w:val="17"/>
                      <w:szCs w:val="17"/>
                    </w:rPr>
                    <w:t xml:space="preserve">#0035</w:t>
                  </w:r>
                </w:p>
              </w:tc>
              <w:tc>
                <w:tcPr>
                  <w:tcW w:type="dxa" w:w="25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FlareDrops nicht erkannt</w:t>
                  </w:r>
                </w:p>
              </w:tc>
              <w:tc>
                <w:tcPr>
                  <w:tcW w:type="dxa" w:w="15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peter.jung@...</w:t>
                  </w:r>
                </w:p>
              </w:tc>
              <w:tc>
                <w:tcPr>
                  <w:tcW w:type="dxa" w:w="9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3B7BF8"/>
                      <w:sz w:val="17"/>
                      <w:szCs w:val="17"/>
                    </w:rPr>
                    <w:t xml:space="preserve">[PRO]</w:t>
                  </w:r>
                </w:p>
              </w:tc>
              <w:tc>
                <w:tcPr>
                  <w:tcW w:type="dxa" w:w="11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3B7BF8"/>
                      <w:sz w:val="17"/>
                      <w:szCs w:val="17"/>
                    </w:rPr>
                    <w:t xml:space="preserve">■ MITTEL</w:t>
                  </w:r>
                </w:p>
              </w:tc>
              <w:tc>
                <w:tcPr>
                  <w:tcW w:type="dxa" w:w="1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F5A623"/>
                      <w:sz w:val="17"/>
                      <w:szCs w:val="17"/>
                    </w:rPr>
                    <w:t xml:space="preserve">◑ IN BEARB.</w:t>
                  </w:r>
                </w:p>
              </w:tc>
            </w:tr>
            <w:tr>
              <w:tc>
                <w:tcPr>
                  <w:tcW w:type="dxa" w:w="6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3B7BF8"/>
                      <w:sz w:val="17"/>
                      <w:szCs w:val="17"/>
                    </w:rPr>
                    <w:t xml:space="preserve">#0033</w:t>
                  </w:r>
                </w:p>
              </w:tc>
              <w:tc>
                <w:tcPr>
                  <w:tcW w:type="dxa" w:w="25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DSGVO-Auskunft Datenkategorien</w:t>
                  </w:r>
                </w:p>
              </w:tc>
              <w:tc>
                <w:tcPr>
                  <w:tcW w:type="dxa" w:w="15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anonym@...</w:t>
                  </w:r>
                </w:p>
              </w:tc>
              <w:tc>
                <w:tcPr>
                  <w:tcW w:type="dxa" w:w="9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4E6087"/>
                      <w:sz w:val="17"/>
                      <w:szCs w:val="17"/>
                    </w:rPr>
                    <w:t xml:space="preserve">[FREE]</w:t>
                  </w:r>
                </w:p>
              </w:tc>
              <w:tc>
                <w:tcPr>
                  <w:tcW w:type="dxa" w:w="11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4E6087"/>
                      <w:sz w:val="17"/>
                      <w:szCs w:val="17"/>
                    </w:rPr>
                    <w:t xml:space="preserve">■ NIEDRIG</w:t>
                  </w:r>
                </w:p>
              </w:tc>
              <w:tc>
                <w:tcPr>
                  <w:tcW w:type="dxa" w:w="1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F5A623"/>
                      <w:sz w:val="17"/>
                      <w:szCs w:val="17"/>
                    </w:rPr>
                    <w:t xml:space="preserve">◑ IN BEARB.</w:t>
                  </w:r>
                </w:p>
              </w:tc>
            </w:tr>
          </w:tbl>
          <w:p>
            <w:pPr>
              <w:spacing w:before="60" w:after="0"/>
            </w:pPr>
            <w:r>
              <w:t xml:space="preserve"/>
            </w:r>
          </w:p>
        </w:tc>
      </w:tr>
    </w:tbl>
    <w:p>
      <w:pPr>
        <w:spacing w:before="80" w:after="0"/>
      </w:pPr>
      <w:r>
        <w:t xml:space="preserve"/>
      </w:r>
    </w:p>
    <w:p>
      <w:pPr>
        <w:spacing w:before="200" w:after="80"/>
      </w:pPr>
      <w:r>
        <w:rPr>
          <w:rFonts w:ascii="Calibri" w:cs="Calibri" w:eastAsia="Calibri" w:hAnsi="Calibri"/>
          <w:b/>
          <w:bCs/>
          <w:color w:val="006064"/>
          <w:sz w:val="23"/>
          <w:szCs w:val="23"/>
        </w:rPr>
        <w:t xml:space="preserve">AD5.2 Indexer-Monitor-Modul</w:t>
      </w:r>
    </w:p>
    <w:p>
      <w:pPr>
        <w:spacing w:before="60" w:after="90"/>
      </w:pPr>
      <w:r>
        <w:rPr>
          <w:rFonts w:ascii="Calibri" w:cs="Calibri" w:eastAsia="Calibri" w:hAnsi="Calibri"/>
          <w:color w:val="212121"/>
          <w:sz w:val="21"/>
          <w:szCs w:val="21"/>
        </w:rPr>
        <w:t xml:space="preserve">Das Indexer-Monitor-Modul zeigt für jedes der integrierten Protokolle den Sync-Status, die Latenzmessung und eine visuelle Uptime-Leiste der letzten 30 Tage (jeder Block = 1 Tag). Grün = 100% Sync, Amber = Lücken, Rot = Ausfall, Grau = noch nicht aktiv (Phase 4).</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7BF8" w:sz="6"/>
              <w:left w:val="single" w:color="3B7BF8" w:sz="6"/>
              <w:bottom w:val="single" w:color="2A3655" w:sz="2"/>
              <w:right w:val="single" w:color="2A3655" w:sz="2"/>
            </w:tcBorders>
            <w:shd w:fill="080D18" w:val="clear"/>
            <w:tcMar>
              <w:top w:type="dxa" w:w="0"/>
              <w:left w:type="dxa" w:w="0"/>
              <w:bottom w:type="dxa" w:w="0"/>
              <w:right w:type="dxa" w:w="0"/>
            </w:tcMar>
          </w:tcPr>
          <w:p>
            <w:pPr>
              <w:spacing w:before="0" w:after="0"/>
            </w:pPr>
            <w:r>
              <w:rPr>
                <w:rFonts w:ascii="Courier New" w:cs="Courier New" w:eastAsia="Courier New" w:hAnsi="Courier New"/>
                <w:color w:val="3A4E72"/>
                <w:sz w:val="16"/>
                <w:szCs w:val="16"/>
              </w:rPr>
              <w:t xml:space="preserve">  ● ● ●   </w:t>
            </w:r>
            <w:r>
              <w:rPr>
                <w:rFonts w:ascii="Courier New" w:cs="Courier New" w:eastAsia="Courier New" w:hAnsi="Courier New"/>
                <w:b/>
                <w:bCs/>
                <w:color w:val="3B7BF8"/>
                <w:sz w:val="17"/>
                <w:szCs w:val="17"/>
              </w:rPr>
              <w:t xml:space="preserve">Indexer-Monitor — Protokoll-Sync-Status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200"/>
            </w:tblGrid>
            <w:tr>
              <w:trPr>
                <w:tblHeader/>
              </w:trPr>
              <w:tc>
                <w:tcPr>
                  <w:tcW w:type="dxa" w:w="22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PROTOKOLL</w:t>
                  </w:r>
                </w:p>
              </w:tc>
              <w:tc>
                <w:tcPr>
                  <w:tcW w:type="dxa" w:w="14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STATUS</w:t>
                  </w:r>
                </w:p>
              </w:tc>
              <w:tc>
                <w:tcPr>
                  <w:tcW w:type="dxa" w:w="10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LATENZ</w:t>
                  </w:r>
                </w:p>
              </w:tc>
              <w:tc>
                <w:tcPr>
                  <w:tcW w:type="dxa" w:w="42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UPTIME (30 TAGE)</w:t>
                  </w:r>
                </w:p>
              </w:tc>
            </w:tr>
            <w:tr>
              <w:tc>
                <w:tcPr>
                  <w:tcW w:type="dxa" w:w="2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Flare JSON-RPC</w:t>
                  </w:r>
                </w:p>
              </w:tc>
              <w:tc>
                <w:tcPr>
                  <w:tcW w:type="dxa" w:w="14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22D37A"/>
                      <w:sz w:val="17"/>
                      <w:szCs w:val="17"/>
                    </w:rPr>
                    <w:t xml:space="preserve">● ONLINE</w:t>
                  </w:r>
                </w:p>
              </w:tc>
              <w:tc>
                <w:tcPr>
                  <w:tcW w:type="dxa" w:w="10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14ms</w:t>
                  </w:r>
                </w:p>
              </w:tc>
              <w:tc>
                <w:tcPr>
                  <w:tcW w:type="dxa" w:w="4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w:t>
                  </w:r>
                </w:p>
              </w:tc>
            </w:tr>
            <w:tr>
              <w:tc>
                <w:tcPr>
                  <w:tcW w:type="dxa" w:w="2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SparkDEX V3 Subgraph</w:t>
                  </w:r>
                </w:p>
              </w:tc>
              <w:tc>
                <w:tcPr>
                  <w:tcW w:type="dxa" w:w="14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22D37A"/>
                      <w:sz w:val="17"/>
                      <w:szCs w:val="17"/>
                    </w:rPr>
                    <w:t xml:space="preserve">● ONLINE</w:t>
                  </w:r>
                </w:p>
              </w:tc>
              <w:tc>
                <w:tcPr>
                  <w:tcW w:type="dxa" w:w="10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127ms</w:t>
                  </w:r>
                </w:p>
              </w:tc>
              <w:tc>
                <w:tcPr>
                  <w:tcW w:type="dxa" w:w="4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w:t>
                  </w:r>
                </w:p>
              </w:tc>
            </w:tr>
            <w:tr>
              <w:tc>
                <w:tcPr>
                  <w:tcW w:type="dxa" w:w="2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SparkDEX V4 Subgraph</w:t>
                  </w:r>
                </w:p>
              </w:tc>
              <w:tc>
                <w:tcPr>
                  <w:tcW w:type="dxa" w:w="14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bCs/>
                      <w:color w:val="F5A623"/>
                      <w:sz w:val="17"/>
                      <w:szCs w:val="17"/>
                    </w:rPr>
                    <w:t xml:space="preserve">⚠ LÜCKE</w:t>
                  </w:r>
                </w:p>
              </w:tc>
              <w:tc>
                <w:tcPr>
                  <w:tcW w:type="dxa" w:w="10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w:t>
                  </w:r>
                </w:p>
              </w:tc>
              <w:tc>
                <w:tcPr>
                  <w:tcW w:type="dxa" w:w="4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F5A623"/>
                      <w:sz w:val="17"/>
                      <w:szCs w:val="17"/>
                    </w:rPr>
                    <w:t xml:space="preserve">██████████████████░░░░░░░░░░░░ Lücke ab Block 8.219.440</w:t>
                  </w:r>
                </w:p>
              </w:tc>
            </w:tr>
            <w:tr>
              <w:tc>
                <w:tcPr>
                  <w:tcW w:type="dxa" w:w="2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Ēnosys DEX Subgraph</w:t>
                  </w:r>
                </w:p>
              </w:tc>
              <w:tc>
                <w:tcPr>
                  <w:tcW w:type="dxa" w:w="14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22D37A"/>
                      <w:sz w:val="17"/>
                      <w:szCs w:val="17"/>
                    </w:rPr>
                    <w:t xml:space="preserve">● ONLINE</w:t>
                  </w:r>
                </w:p>
              </w:tc>
              <w:tc>
                <w:tcPr>
                  <w:tcW w:type="dxa" w:w="10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89ms</w:t>
                  </w:r>
                </w:p>
              </w:tc>
              <w:tc>
                <w:tcPr>
                  <w:tcW w:type="dxa" w:w="4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w:t>
                  </w:r>
                </w:p>
              </w:tc>
            </w:tr>
            <w:tr>
              <w:tc>
                <w:tcPr>
                  <w:tcW w:type="dxa" w:w="2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Kinetic Market RPC</w:t>
                  </w:r>
                </w:p>
              </w:tc>
              <w:tc>
                <w:tcPr>
                  <w:tcW w:type="dxa" w:w="14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22D37A"/>
                      <w:sz w:val="17"/>
                      <w:szCs w:val="17"/>
                    </w:rPr>
                    <w:t xml:space="preserve">● ONLINE</w:t>
                  </w:r>
                </w:p>
              </w:tc>
              <w:tc>
                <w:tcPr>
                  <w:tcW w:type="dxa" w:w="10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203ms</w:t>
                  </w:r>
                </w:p>
              </w:tc>
              <w:tc>
                <w:tcPr>
                  <w:tcW w:type="dxa" w:w="4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w:t>
                  </w:r>
                </w:p>
              </w:tc>
            </w:tr>
            <w:tr>
              <w:tc>
                <w:tcPr>
                  <w:tcW w:type="dxa" w:w="2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Stargate LayerZero API</w:t>
                  </w:r>
                </w:p>
              </w:tc>
              <w:tc>
                <w:tcPr>
                  <w:tcW w:type="dxa" w:w="14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4E6087"/>
                      <w:sz w:val="17"/>
                      <w:szCs w:val="17"/>
                    </w:rPr>
                    <w:t xml:space="preserve">○ PHASE 4</w:t>
                  </w:r>
                </w:p>
              </w:tc>
              <w:tc>
                <w:tcPr>
                  <w:tcW w:type="dxa" w:w="10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w:t>
                  </w:r>
                </w:p>
              </w:tc>
              <w:tc>
                <w:tcPr>
                  <w:tcW w:type="dxa" w:w="4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w:t>
                  </w:r>
                </w:p>
              </w:tc>
            </w:tr>
            <w:tr>
              <w:tc>
                <w:tcPr>
                  <w:tcW w:type="dxa" w:w="2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Aave V3 Subgraph</w:t>
                  </w:r>
                </w:p>
              </w:tc>
              <w:tc>
                <w:tcPr>
                  <w:tcW w:type="dxa" w:w="14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4E6087"/>
                      <w:sz w:val="17"/>
                      <w:szCs w:val="17"/>
                    </w:rPr>
                    <w:t xml:space="preserve">○ PHASE 4</w:t>
                  </w:r>
                </w:p>
              </w:tc>
              <w:tc>
                <w:tcPr>
                  <w:tcW w:type="dxa" w:w="10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w:t>
                  </w:r>
                </w:p>
              </w:tc>
              <w:tc>
                <w:tcPr>
                  <w:tcW w:type="dxa" w:w="4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w:t>
                  </w:r>
                </w:p>
              </w:tc>
            </w:tr>
          </w:tbl>
          <w:p>
            <w:pPr>
              <w:spacing w:before="60" w:after="0"/>
            </w:pPr>
            <w:r>
              <w:t xml:space="preserve"/>
            </w:r>
          </w:p>
        </w:tc>
      </w:tr>
    </w:tbl>
    <w:p>
      <w:pPr>
        <w:spacing w:before="80" w:after="0"/>
      </w:pPr>
      <w:r>
        <w:t xml:space="preserve"/>
      </w:r>
    </w:p>
    <w:p>
      <w:pPr>
        <w:spacing w:before="200" w:after="80"/>
      </w:pPr>
      <w:r>
        <w:rPr>
          <w:rFonts w:ascii="Calibri" w:cs="Calibri" w:eastAsia="Calibri" w:hAnsi="Calibri"/>
          <w:b/>
          <w:bCs/>
          <w:color w:val="006064"/>
          <w:sz w:val="23"/>
          <w:szCs w:val="23"/>
        </w:rPr>
        <w:t xml:space="preserve">AD5.3 Preis-Feed-Monitor-Modul</w:t>
      </w:r>
    </w:p>
    <w:p>
      <w:pPr>
        <w:spacing w:before="60" w:after="90"/>
      </w:pPr>
      <w:r>
        <w:rPr>
          <w:rFonts w:ascii="Calibri" w:cs="Calibri" w:eastAsia="Calibri" w:hAnsi="Calibri"/>
          <w:color w:val="212121"/>
          <w:sz w:val="21"/>
          <w:szCs w:val="21"/>
        </w:rPr>
        <w:t xml:space="preserve">Das Preis-Feed-Modul überwacht alle Token-Preisquellen in Echtzeit. Jeder Eintrag zeigt den aktuellen EUR-Kurs, die Quelle (FTSO/CoinGecko/CMC), das Daten-Alter und den Z-Score als Anomalie-Indikator. Rate-Limit-Warnungen für externe APIs werden prominent angezeigt.</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7BF8" w:sz="6"/>
              <w:left w:val="single" w:color="3B7BF8" w:sz="6"/>
              <w:bottom w:val="single" w:color="2A3655" w:sz="2"/>
              <w:right w:val="single" w:color="2A3655" w:sz="2"/>
            </w:tcBorders>
            <w:shd w:fill="080D18" w:val="clear"/>
            <w:tcMar>
              <w:top w:type="dxa" w:w="0"/>
              <w:left w:type="dxa" w:w="0"/>
              <w:bottom w:type="dxa" w:w="0"/>
              <w:right w:type="dxa" w:w="0"/>
            </w:tcMar>
          </w:tcPr>
          <w:p>
            <w:pPr>
              <w:spacing w:before="0" w:after="0"/>
            </w:pPr>
            <w:r>
              <w:rPr>
                <w:rFonts w:ascii="Courier New" w:cs="Courier New" w:eastAsia="Courier New" w:hAnsi="Courier New"/>
                <w:color w:val="3A4E72"/>
                <w:sz w:val="16"/>
                <w:szCs w:val="16"/>
              </w:rPr>
              <w:t xml:space="preserve">  ● ● ●   </w:t>
            </w:r>
            <w:r>
              <w:rPr>
                <w:rFonts w:ascii="Courier New" w:cs="Courier New" w:eastAsia="Courier New" w:hAnsi="Courier New"/>
                <w:b/>
                <w:bCs/>
                <w:color w:val="3B7BF8"/>
                <w:sz w:val="17"/>
                <w:szCs w:val="17"/>
              </w:rPr>
              <w:t xml:space="preserve">Preis-Feed-Monitor — Token-Übersicht</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800"/>
              <w:gridCol w:w="700"/>
              <w:gridCol w:w="1000"/>
              <w:gridCol w:w="1300"/>
            </w:tblGrid>
            <w:tr>
              <w:trPr>
                <w:tblHeader/>
              </w:trPr>
              <w:tc>
                <w:tcPr>
                  <w:tcW w:type="dxa" w:w="8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TOKEN</w:t>
                  </w:r>
                </w:p>
              </w:tc>
              <w:tc>
                <w:tcPr>
                  <w:tcW w:type="dxa" w:w="12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EUR-KURS</w:t>
                  </w:r>
                </w:p>
              </w:tc>
              <w:tc>
                <w:tcPr>
                  <w:tcW w:type="dxa" w:w="18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QUELLE</w:t>
                  </w:r>
                </w:p>
              </w:tc>
              <w:tc>
                <w:tcPr>
                  <w:tcW w:type="dxa" w:w="7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ALTER</w:t>
                  </w:r>
                </w:p>
              </w:tc>
              <w:tc>
                <w:tcPr>
                  <w:tcW w:type="dxa" w:w="10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Z-SCORE</w:t>
                  </w:r>
                </w:p>
              </w:tc>
              <w:tc>
                <w:tcPr>
                  <w:tcW w:type="dxa" w:w="13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STATUS</w:t>
                  </w:r>
                </w:p>
              </w:tc>
            </w:tr>
            <w:tr>
              <w:tc>
                <w:tcPr>
                  <w:tcW w:type="dxa" w:w="8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3B7BF8"/>
                      <w:sz w:val="17"/>
                      <w:szCs w:val="17"/>
                    </w:rPr>
                    <w:t xml:space="preserve">FLR</w:t>
                  </w:r>
                </w:p>
              </w:tc>
              <w:tc>
                <w:tcPr>
                  <w:tcW w:type="dxa" w:w="1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€ 0.01142</w:t>
                  </w:r>
                </w:p>
              </w:tc>
              <w:tc>
                <w:tcPr>
                  <w:tcW w:type="dxa" w:w="18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22D37A"/>
                      <w:sz w:val="17"/>
                      <w:szCs w:val="17"/>
                    </w:rPr>
                    <w:t xml:space="preserve">FTSO (On-Chain)</w:t>
                  </w:r>
                </w:p>
              </w:tc>
              <w:tc>
                <w:tcPr>
                  <w:tcW w:type="dxa" w:w="7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2s</w:t>
                  </w:r>
                </w:p>
              </w:tc>
              <w:tc>
                <w:tcPr>
                  <w:tcW w:type="dxa" w:w="10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0.31</w:t>
                  </w:r>
                </w:p>
              </w:tc>
              <w:tc>
                <w:tcPr>
                  <w:tcW w:type="dxa" w:w="13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22D37A"/>
                      <w:sz w:val="17"/>
                      <w:szCs w:val="17"/>
                    </w:rPr>
                    <w:t xml:space="preserve">● OK</w:t>
                  </w:r>
                </w:p>
              </w:tc>
            </w:tr>
            <w:tr>
              <w:tc>
                <w:tcPr>
                  <w:tcW w:type="dxa" w:w="8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3B7BF8"/>
                      <w:sz w:val="17"/>
                      <w:szCs w:val="17"/>
                    </w:rPr>
                    <w:t xml:space="preserve">FXRP</w:t>
                  </w:r>
                </w:p>
              </w:tc>
              <w:tc>
                <w:tcPr>
                  <w:tcW w:type="dxa" w:w="1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€ 2.1847</w:t>
                  </w:r>
                </w:p>
              </w:tc>
              <w:tc>
                <w:tcPr>
                  <w:tcW w:type="dxa" w:w="18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22D37A"/>
                      <w:sz w:val="17"/>
                      <w:szCs w:val="17"/>
                    </w:rPr>
                    <w:t xml:space="preserve">FTSO (On-Chain)</w:t>
                  </w:r>
                </w:p>
              </w:tc>
              <w:tc>
                <w:tcPr>
                  <w:tcW w:type="dxa" w:w="7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2s</w:t>
                  </w:r>
                </w:p>
              </w:tc>
              <w:tc>
                <w:tcPr>
                  <w:tcW w:type="dxa" w:w="10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0.44</w:t>
                  </w:r>
                </w:p>
              </w:tc>
              <w:tc>
                <w:tcPr>
                  <w:tcW w:type="dxa" w:w="13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22D37A"/>
                      <w:sz w:val="17"/>
                      <w:szCs w:val="17"/>
                    </w:rPr>
                    <w:t xml:space="preserve">● OK</w:t>
                  </w:r>
                </w:p>
              </w:tc>
            </w:tr>
            <w:tr>
              <w:tc>
                <w:tcPr>
                  <w:tcW w:type="dxa" w:w="8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3B7BF8"/>
                      <w:sz w:val="17"/>
                      <w:szCs w:val="17"/>
                    </w:rPr>
                    <w:t xml:space="preserve">USDT0</w:t>
                  </w:r>
                </w:p>
              </w:tc>
              <w:tc>
                <w:tcPr>
                  <w:tcW w:type="dxa" w:w="1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€ 0.9231</w:t>
                  </w:r>
                </w:p>
              </w:tc>
              <w:tc>
                <w:tcPr>
                  <w:tcW w:type="dxa" w:w="18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22D37A"/>
                      <w:sz w:val="17"/>
                      <w:szCs w:val="17"/>
                    </w:rPr>
                    <w:t xml:space="preserve">FTSO (On-Chain)</w:t>
                  </w:r>
                </w:p>
              </w:tc>
              <w:tc>
                <w:tcPr>
                  <w:tcW w:type="dxa" w:w="7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5s</w:t>
                  </w:r>
                </w:p>
              </w:tc>
              <w:tc>
                <w:tcPr>
                  <w:tcW w:type="dxa" w:w="10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0.08</w:t>
                  </w:r>
                </w:p>
              </w:tc>
              <w:tc>
                <w:tcPr>
                  <w:tcW w:type="dxa" w:w="13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22D37A"/>
                      <w:sz w:val="17"/>
                      <w:szCs w:val="17"/>
                    </w:rPr>
                    <w:t xml:space="preserve">● OK</w:t>
                  </w:r>
                </w:p>
              </w:tc>
            </w:tr>
            <w:tr>
              <w:tc>
                <w:tcPr>
                  <w:tcW w:type="dxa" w:w="8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3B7BF8"/>
                      <w:sz w:val="17"/>
                      <w:szCs w:val="17"/>
                    </w:rPr>
                    <w:t xml:space="preserve">SPRK</w:t>
                  </w:r>
                </w:p>
              </w:tc>
              <w:tc>
                <w:tcPr>
                  <w:tcW w:type="dxa" w:w="1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€ 0.0341</w:t>
                  </w:r>
                </w:p>
              </w:tc>
              <w:tc>
                <w:tcPr>
                  <w:tcW w:type="dxa" w:w="18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F5A623"/>
                      <w:sz w:val="17"/>
                      <w:szCs w:val="17"/>
                    </w:rPr>
                    <w:t xml:space="preserve">CoinGecko</w:t>
                  </w:r>
                </w:p>
              </w:tc>
              <w:tc>
                <w:tcPr>
                  <w:tcW w:type="dxa" w:w="7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38s</w:t>
                  </w:r>
                </w:p>
              </w:tc>
              <w:tc>
                <w:tcPr>
                  <w:tcW w:type="dxa" w:w="10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1.24</w:t>
                  </w:r>
                </w:p>
              </w:tc>
              <w:tc>
                <w:tcPr>
                  <w:tcW w:type="dxa" w:w="13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F5A623"/>
                      <w:sz w:val="17"/>
                      <w:szCs w:val="17"/>
                    </w:rPr>
                    <w:t xml:space="preserve">⚠ VERZÖGERT</w:t>
                  </w:r>
                </w:p>
              </w:tc>
            </w:tr>
            <w:tr>
              <w:tc>
                <w:tcPr>
                  <w:tcW w:type="dxa" w:w="8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3B7BF8"/>
                      <w:sz w:val="17"/>
                      <w:szCs w:val="17"/>
                    </w:rPr>
                    <w:t xml:space="preserve">wETH</w:t>
                  </w:r>
                </w:p>
              </w:tc>
              <w:tc>
                <w:tcPr>
                  <w:tcW w:type="dxa" w:w="1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€ 1.842</w:t>
                  </w:r>
                </w:p>
              </w:tc>
              <w:tc>
                <w:tcPr>
                  <w:tcW w:type="dxa" w:w="18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F5A623"/>
                      <w:sz w:val="17"/>
                      <w:szCs w:val="17"/>
                    </w:rPr>
                    <w:t xml:space="preserve">CMC (Fallback)</w:t>
                  </w:r>
                </w:p>
              </w:tc>
              <w:tc>
                <w:tcPr>
                  <w:tcW w:type="dxa" w:w="7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62s</w:t>
                  </w:r>
                </w:p>
              </w:tc>
              <w:tc>
                <w:tcPr>
                  <w:tcW w:type="dxa" w:w="10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0.77</w:t>
                  </w:r>
                </w:p>
              </w:tc>
              <w:tc>
                <w:tcPr>
                  <w:tcW w:type="dxa" w:w="13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F5A623"/>
                      <w:sz w:val="17"/>
                      <w:szCs w:val="17"/>
                    </w:rPr>
                    <w:t xml:space="preserve">⚠ FALLBACK</w:t>
                  </w:r>
                </w:p>
              </w:tc>
            </w:tr>
          </w:tbl>
          <w:p>
            <w:pPr>
              <w:spacing w:before="60" w:after="0"/>
            </w:pPr>
            <w:r>
              <w:t xml:space="preserve"/>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AD6. Security- &amp; Compliance-Module</w:t>
      </w:r>
    </w:p>
    <w:p>
      <w:pPr>
        <w:spacing w:before="200" w:after="80"/>
      </w:pPr>
      <w:r>
        <w:rPr>
          <w:rFonts w:ascii="Calibri" w:cs="Calibri" w:eastAsia="Calibri" w:hAnsi="Calibri"/>
          <w:b/>
          <w:bCs/>
          <w:color w:val="006064"/>
          <w:sz w:val="23"/>
          <w:szCs w:val="23"/>
        </w:rPr>
        <w:t xml:space="preserve">AD6.1 Security-Dashboard-Modul</w:t>
      </w:r>
    </w:p>
    <w:p>
      <w:pPr>
        <w:spacing w:before="60" w:after="90"/>
      </w:pPr>
      <w:r>
        <w:rPr>
          <w:rFonts w:ascii="Calibri" w:cs="Calibri" w:eastAsia="Calibri" w:hAnsi="Calibri"/>
          <w:color w:val="212121"/>
          <w:sz w:val="21"/>
          <w:szCs w:val="21"/>
        </w:rPr>
        <w:t xml:space="preserve">Das Security-Modul ist in vier Bereiche gegliedert: (1) Vulnerability-Register mit CVSS-Scores und Patch-SLA, (2) Auth-Anomalie-Monitor mit gesperrten IPs, (3) Audit-Log-Integrität und (4) Security-Reifegrad-Anzeige (L1–L5 je Domäne).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7BF8" w:sz="6"/>
              <w:left w:val="single" w:color="3B7BF8" w:sz="6"/>
              <w:bottom w:val="single" w:color="2A3655" w:sz="2"/>
              <w:right w:val="single" w:color="2A3655" w:sz="2"/>
            </w:tcBorders>
            <w:shd w:fill="080D18" w:val="clear"/>
            <w:tcMar>
              <w:top w:type="dxa" w:w="0"/>
              <w:left w:type="dxa" w:w="0"/>
              <w:bottom w:type="dxa" w:w="0"/>
              <w:right w:type="dxa" w:w="0"/>
            </w:tcMar>
          </w:tcPr>
          <w:p>
            <w:pPr>
              <w:spacing w:before="0" w:after="0"/>
            </w:pPr>
            <w:r>
              <w:rPr>
                <w:rFonts w:ascii="Courier New" w:cs="Courier New" w:eastAsia="Courier New" w:hAnsi="Courier New"/>
                <w:color w:val="3A4E72"/>
                <w:sz w:val="16"/>
                <w:szCs w:val="16"/>
              </w:rPr>
              <w:t xml:space="preserve">  ● ● ●   </w:t>
            </w:r>
            <w:r>
              <w:rPr>
                <w:rFonts w:ascii="Courier New" w:cs="Courier New" w:eastAsia="Courier New" w:hAnsi="Courier New"/>
                <w:b/>
                <w:bCs/>
                <w:color w:val="3B7BF8"/>
                <w:sz w:val="17"/>
                <w:szCs w:val="17"/>
              </w:rPr>
              <w:t xml:space="preserve">Vulnerability-Register — Offene CVEs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100"/>
              <w:gridCol w:w="1400"/>
              <w:gridCol w:w="1000"/>
              <w:gridCol w:w="2900"/>
            </w:tblGrid>
            <w:tr>
              <w:trPr>
                <w:tblHeader/>
              </w:trPr>
              <w:tc>
                <w:tcPr>
                  <w:tcW w:type="dxa" w:w="16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CVE-ID</w:t>
                  </w:r>
                </w:p>
              </w:tc>
              <w:tc>
                <w:tcPr>
                  <w:tcW w:type="dxa" w:w="8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CVSS</w:t>
                  </w:r>
                </w:p>
              </w:tc>
              <w:tc>
                <w:tcPr>
                  <w:tcW w:type="dxa" w:w="11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SEVERITY</w:t>
                  </w:r>
                </w:p>
              </w:tc>
              <w:tc>
                <w:tcPr>
                  <w:tcW w:type="dxa" w:w="14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KOMPONENTE</w:t>
                  </w:r>
                </w:p>
              </w:tc>
              <w:tc>
                <w:tcPr>
                  <w:tcW w:type="dxa" w:w="10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SLA</w:t>
                  </w:r>
                </w:p>
              </w:tc>
              <w:tc>
                <w:tcPr>
                  <w:tcW w:type="dxa" w:w="29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STATUS</w:t>
                  </w:r>
                </w:p>
              </w:tc>
            </w:tr>
            <w:tr>
              <w:tc>
                <w:tcPr>
                  <w:tcW w:type="dxa" w:w="16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bCs/>
                      <w:color w:val="EF4545"/>
                      <w:sz w:val="17"/>
                      <w:szCs w:val="17"/>
                    </w:rPr>
                    <w:t xml:space="preserve">CVE-2025-38291</w:t>
                  </w:r>
                </w:p>
              </w:tc>
              <w:tc>
                <w:tcPr>
                  <w:tcW w:type="dxa" w:w="8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7.8</w:t>
                  </w:r>
                </w:p>
              </w:tc>
              <w:tc>
                <w:tcPr>
                  <w:tcW w:type="dxa" w:w="11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bCs/>
                      <w:color w:val="EF4545"/>
                      <w:sz w:val="17"/>
                      <w:szCs w:val="17"/>
                    </w:rPr>
                    <w:t xml:space="preserve">HIGH</w:t>
                  </w:r>
                </w:p>
              </w:tc>
              <w:tc>
                <w:tcPr>
                  <w:tcW w:type="dxa" w:w="14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ethers@5.7.2</w:t>
                  </w:r>
                </w:p>
              </w:tc>
              <w:tc>
                <w:tcPr>
                  <w:tcW w:type="dxa" w:w="10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EF4545"/>
                      <w:sz w:val="17"/>
                      <w:szCs w:val="17"/>
                    </w:rPr>
                    <w:t xml:space="preserve">7 Tage</w:t>
                  </w:r>
                </w:p>
              </w:tc>
              <w:tc>
                <w:tcPr>
                  <w:tcW w:type="dxa" w:w="29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bCs/>
                      <w:color w:val="EF4545"/>
                      <w:sz w:val="17"/>
                      <w:szCs w:val="17"/>
                    </w:rPr>
                    <w:t xml:space="preserve">■ OFFEN — ÜBERFÄLLIG</w:t>
                  </w:r>
                </w:p>
              </w:tc>
            </w:tr>
            <w:tr>
              <w:tc>
                <w:tcPr>
                  <w:tcW w:type="dxa" w:w="16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4E6087"/>
                      <w:sz w:val="17"/>
                      <w:szCs w:val="17"/>
                    </w:rPr>
                    <w:t xml:space="preserve">CVE-2025-21044</w:t>
                  </w:r>
                </w:p>
              </w:tc>
              <w:tc>
                <w:tcPr>
                  <w:tcW w:type="dxa" w:w="8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4.2</w:t>
                  </w:r>
                </w:p>
              </w:tc>
              <w:tc>
                <w:tcPr>
                  <w:tcW w:type="dxa" w:w="11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MEDIUM</w:t>
                  </w:r>
                </w:p>
              </w:tc>
              <w:tc>
                <w:tcPr>
                  <w:tcW w:type="dxa" w:w="14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next@14.2.1</w:t>
                  </w:r>
                </w:p>
              </w:tc>
              <w:tc>
                <w:tcPr>
                  <w:tcW w:type="dxa" w:w="10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30 Tage</w:t>
                  </w:r>
                </w:p>
              </w:tc>
              <w:tc>
                <w:tcPr>
                  <w:tcW w:type="dxa" w:w="29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22D37A"/>
                      <w:sz w:val="17"/>
                      <w:szCs w:val="17"/>
                    </w:rPr>
                    <w:t xml:space="preserve">✓ GEPATCHT 08.03.</w:t>
                  </w:r>
                </w:p>
              </w:tc>
            </w:tr>
            <w:tr>
              <w:tc>
                <w:tcPr>
                  <w:tcW w:type="dxa" w:w="16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4E6087"/>
                      <w:sz w:val="17"/>
                      <w:szCs w:val="17"/>
                    </w:rPr>
                    <w:t xml:space="preserve">CVE-2024-99187</w:t>
                  </w:r>
                </w:p>
              </w:tc>
              <w:tc>
                <w:tcPr>
                  <w:tcW w:type="dxa" w:w="8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2.1</w:t>
                  </w:r>
                </w:p>
              </w:tc>
              <w:tc>
                <w:tcPr>
                  <w:tcW w:type="dxa" w:w="11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LOW</w:t>
                  </w:r>
                </w:p>
              </w:tc>
              <w:tc>
                <w:tcPr>
                  <w:tcW w:type="dxa" w:w="14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lodash@4.17.21</w:t>
                  </w:r>
                </w:p>
              </w:tc>
              <w:tc>
                <w:tcPr>
                  <w:tcW w:type="dxa" w:w="10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90 Tage</w:t>
                  </w:r>
                </w:p>
              </w:tc>
              <w:tc>
                <w:tcPr>
                  <w:tcW w:type="dxa" w:w="29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22D37A"/>
                      <w:sz w:val="17"/>
                      <w:szCs w:val="17"/>
                    </w:rPr>
                    <w:t xml:space="preserve">✓ GEPATCHT 15.01.</w:t>
                  </w:r>
                </w:p>
              </w:tc>
            </w:tr>
          </w:tbl>
          <w:p>
            <w:pPr>
              <w:spacing w:before="60" w:after="0"/>
            </w:pPr>
            <w:r>
              <w:t xml:space="preserve"/>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22D37A" w:sz="4"/>
              <w:left w:val="single" w:color="2A3655" w:sz="1"/>
              <w:bottom w:val="single" w:color="2A3655" w:sz="1"/>
              <w:right w:val="single" w:color="2A3655" w:sz="1"/>
            </w:tcBorders>
            <w:shd w:fill="0F1629" w:val="clear"/>
            <w:tcMar>
              <w:top w:type="dxa" w:w="100"/>
              <w:left w:type="dxa" w:w="130"/>
              <w:bottom w:type="dxa" w:w="100"/>
              <w:right w:type="dxa" w:w="80"/>
            </w:tcMar>
          </w:tcPr>
          <w:p>
            <w:pPr>
              <w:spacing w:before="0" w:after="30"/>
            </w:pPr>
            <w:r>
              <w:rPr>
                <w:rFonts w:ascii="Courier New" w:cs="Courier New" w:eastAsia="Courier New" w:hAnsi="Courier New"/>
                <w:color w:val="4E6087"/>
                <w:sz w:val="17"/>
                <w:szCs w:val="17"/>
              </w:rPr>
              <w:t xml:space="preserve">Reifegrad Auth</w:t>
            </w:r>
          </w:p>
          <w:p>
            <w:pPr>
              <w:spacing w:before="0" w:after="20"/>
            </w:pPr>
            <w:r>
              <w:rPr>
                <w:rFonts w:ascii="Courier New" w:cs="Courier New" w:eastAsia="Courier New" w:hAnsi="Courier New"/>
                <w:b/>
                <w:bCs/>
                <w:color w:val="22D37A"/>
                <w:sz w:val="26"/>
                <w:szCs w:val="26"/>
              </w:rPr>
              <w:t xml:space="preserve">L3</w:t>
            </w:r>
          </w:p>
          <w:p>
            <w:pPr>
              <w:spacing w:before="0" w:after="0"/>
            </w:pPr>
            <w:r>
              <w:rPr>
                <w:rFonts w:ascii="Courier New" w:cs="Courier New" w:eastAsia="Courier New" w:hAnsi="Courier New"/>
                <w:color w:val="4E6087"/>
                <w:sz w:val="15"/>
                <w:szCs w:val="15"/>
              </w:rPr>
              <w:t xml:space="preserve">Proaktiv</w:t>
            </w:r>
          </w:p>
        </w:tc>
        <w:tc>
          <w:tcPr>
            <w:tcW w:type="dxa" w:w="2256"/>
            <w:tcBorders>
              <w:top w:val="single" w:color="F5A623" w:sz="4"/>
              <w:left w:val="single" w:color="2A3655" w:sz="1"/>
              <w:bottom w:val="single" w:color="2A3655" w:sz="1"/>
              <w:right w:val="single" w:color="2A3655" w:sz="1"/>
            </w:tcBorders>
            <w:shd w:fill="0F1629" w:val="clear"/>
            <w:tcMar>
              <w:top w:type="dxa" w:w="100"/>
              <w:left w:type="dxa" w:w="130"/>
              <w:bottom w:type="dxa" w:w="100"/>
              <w:right w:type="dxa" w:w="80"/>
            </w:tcMar>
          </w:tcPr>
          <w:p>
            <w:pPr>
              <w:spacing w:before="0" w:after="30"/>
            </w:pPr>
            <w:r>
              <w:rPr>
                <w:rFonts w:ascii="Courier New" w:cs="Courier New" w:eastAsia="Courier New" w:hAnsi="Courier New"/>
                <w:color w:val="4E6087"/>
                <w:sz w:val="17"/>
                <w:szCs w:val="17"/>
              </w:rPr>
              <w:t xml:space="preserve">Reifegrad Vuln-Mgmt</w:t>
            </w:r>
          </w:p>
          <w:p>
            <w:pPr>
              <w:spacing w:before="0" w:after="20"/>
            </w:pPr>
            <w:r>
              <w:rPr>
                <w:rFonts w:ascii="Courier New" w:cs="Courier New" w:eastAsia="Courier New" w:hAnsi="Courier New"/>
                <w:b/>
                <w:bCs/>
                <w:color w:val="F5A623"/>
                <w:sz w:val="26"/>
                <w:szCs w:val="26"/>
              </w:rPr>
              <w:t xml:space="preserve">L2</w:t>
            </w:r>
          </w:p>
          <w:p>
            <w:pPr>
              <w:spacing w:before="0" w:after="0"/>
            </w:pPr>
            <w:r>
              <w:rPr>
                <w:rFonts w:ascii="Courier New" w:cs="Courier New" w:eastAsia="Courier New" w:hAnsi="Courier New"/>
                <w:color w:val="4E6087"/>
                <w:sz w:val="15"/>
                <w:szCs w:val="15"/>
              </w:rPr>
              <w:t xml:space="preserve">Reaktiv</w:t>
            </w:r>
          </w:p>
        </w:tc>
        <w:tc>
          <w:tcPr>
            <w:tcW w:type="dxa" w:w="2256"/>
            <w:tcBorders>
              <w:top w:val="single" w:color="F5A623" w:sz="4"/>
              <w:left w:val="single" w:color="2A3655" w:sz="1"/>
              <w:bottom w:val="single" w:color="2A3655" w:sz="1"/>
              <w:right w:val="single" w:color="2A3655" w:sz="1"/>
            </w:tcBorders>
            <w:shd w:fill="0F1629" w:val="clear"/>
            <w:tcMar>
              <w:top w:type="dxa" w:w="100"/>
              <w:left w:type="dxa" w:w="130"/>
              <w:bottom w:type="dxa" w:w="100"/>
              <w:right w:type="dxa" w:w="80"/>
            </w:tcMar>
          </w:tcPr>
          <w:p>
            <w:pPr>
              <w:spacing w:before="0" w:after="30"/>
            </w:pPr>
            <w:r>
              <w:rPr>
                <w:rFonts w:ascii="Courier New" w:cs="Courier New" w:eastAsia="Courier New" w:hAnsi="Courier New"/>
                <w:color w:val="4E6087"/>
                <w:sz w:val="17"/>
                <w:szCs w:val="17"/>
              </w:rPr>
              <w:t xml:space="preserve">Reifegrad IRP</w:t>
            </w:r>
          </w:p>
          <w:p>
            <w:pPr>
              <w:spacing w:before="0" w:after="20"/>
            </w:pPr>
            <w:r>
              <w:rPr>
                <w:rFonts w:ascii="Courier New" w:cs="Courier New" w:eastAsia="Courier New" w:hAnsi="Courier New"/>
                <w:b/>
                <w:bCs/>
                <w:color w:val="F5A623"/>
                <w:sz w:val="26"/>
                <w:szCs w:val="26"/>
              </w:rPr>
              <w:t xml:space="preserve">L2</w:t>
            </w:r>
          </w:p>
          <w:p>
            <w:pPr>
              <w:spacing w:before="0" w:after="0"/>
            </w:pPr>
            <w:r>
              <w:rPr>
                <w:rFonts w:ascii="Courier New" w:cs="Courier New" w:eastAsia="Courier New" w:hAnsi="Courier New"/>
                <w:color w:val="4E6087"/>
                <w:sz w:val="15"/>
                <w:szCs w:val="15"/>
              </w:rPr>
              <w:t xml:space="preserve">Reaktiv</w:t>
            </w:r>
          </w:p>
        </w:tc>
        <w:tc>
          <w:tcPr>
            <w:tcW w:type="dxa" w:w="2258"/>
            <w:tcBorders>
              <w:top w:val="single" w:color="EF4545" w:sz="4"/>
              <w:left w:val="single" w:color="2A3655" w:sz="1"/>
              <w:bottom w:val="single" w:color="2A3655" w:sz="1"/>
              <w:right w:val="single" w:color="2A3655" w:sz="1"/>
            </w:tcBorders>
            <w:shd w:fill="0F1629" w:val="clear"/>
            <w:tcMar>
              <w:top w:type="dxa" w:w="100"/>
              <w:left w:type="dxa" w:w="130"/>
              <w:bottom w:type="dxa" w:w="100"/>
              <w:right w:type="dxa" w:w="80"/>
            </w:tcMar>
          </w:tcPr>
          <w:p>
            <w:pPr>
              <w:spacing w:before="0" w:after="30"/>
            </w:pPr>
            <w:r>
              <w:rPr>
                <w:rFonts w:ascii="Courier New" w:cs="Courier New" w:eastAsia="Courier New" w:hAnsi="Courier New"/>
                <w:color w:val="4E6087"/>
                <w:sz w:val="17"/>
                <w:szCs w:val="17"/>
              </w:rPr>
              <w:t xml:space="preserve">Reifegrad Zertif.</w:t>
            </w:r>
          </w:p>
          <w:p>
            <w:pPr>
              <w:spacing w:before="0" w:after="20"/>
            </w:pPr>
            <w:r>
              <w:rPr>
                <w:rFonts w:ascii="Courier New" w:cs="Courier New" w:eastAsia="Courier New" w:hAnsi="Courier New"/>
                <w:b/>
                <w:bCs/>
                <w:color w:val="EF4545"/>
                <w:sz w:val="26"/>
                <w:szCs w:val="26"/>
              </w:rPr>
              <w:t xml:space="preserve">L1</w:t>
            </w:r>
          </w:p>
          <w:p>
            <w:pPr>
              <w:spacing w:before="0" w:after="0"/>
            </w:pPr>
            <w:r>
              <w:rPr>
                <w:rFonts w:ascii="Courier New" w:cs="Courier New" w:eastAsia="Courier New" w:hAnsi="Courier New"/>
                <w:color w:val="4E6087"/>
                <w:sz w:val="15"/>
                <w:szCs w:val="15"/>
              </w:rPr>
              <w:t xml:space="preserve">Ad-hoc</w:t>
            </w:r>
          </w:p>
        </w:tc>
      </w:tr>
    </w:tbl>
    <w:p>
      <w:pPr>
        <w:spacing w:before="80" w:after="0"/>
      </w:pPr>
      <w:r>
        <w:t xml:space="preserve"/>
      </w:r>
    </w:p>
    <w:p>
      <w:pPr>
        <w:spacing w:before="200" w:after="80"/>
      </w:pPr>
      <w:r>
        <w:rPr>
          <w:rFonts w:ascii="Calibri" w:cs="Calibri" w:eastAsia="Calibri" w:hAnsi="Calibri"/>
          <w:b/>
          <w:bCs/>
          <w:color w:val="006064"/>
          <w:sz w:val="23"/>
          <w:szCs w:val="23"/>
        </w:rPr>
        <w:t xml:space="preserve">AD6.2 Compliance &amp; Fristen-Modul</w:t>
      </w:r>
    </w:p>
    <w:p>
      <w:pPr>
        <w:spacing w:before="60" w:after="90"/>
      </w:pPr>
      <w:r>
        <w:rPr>
          <w:rFonts w:ascii="Calibri" w:cs="Calibri" w:eastAsia="Calibri" w:hAnsi="Calibri"/>
          <w:color w:val="212121"/>
          <w:sz w:val="21"/>
          <w:szCs w:val="21"/>
        </w:rPr>
        <w:t xml:space="preserve">Das Compliance-Modul zeigt alle regulatorischen Fristen in chronologischer Reihenfolge. Farbkodierung: Rot = überfällig oder &lt; 3 Tage, Amber = &lt; 14 Tage, Grau = geplant. Das DSGVO-Anfragen-Register (Art. 15, 17, 20) wird separat als Sub-Tabelle dargestellt.</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7BF8" w:sz="6"/>
              <w:left w:val="single" w:color="3B7BF8" w:sz="6"/>
              <w:bottom w:val="single" w:color="2A3655" w:sz="2"/>
              <w:right w:val="single" w:color="2A3655" w:sz="2"/>
            </w:tcBorders>
            <w:shd w:fill="080D18" w:val="clear"/>
            <w:tcMar>
              <w:top w:type="dxa" w:w="0"/>
              <w:left w:type="dxa" w:w="0"/>
              <w:bottom w:type="dxa" w:w="0"/>
              <w:right w:type="dxa" w:w="0"/>
            </w:tcMar>
          </w:tcPr>
          <w:p>
            <w:pPr>
              <w:spacing w:before="0" w:after="0"/>
            </w:pPr>
            <w:r>
              <w:rPr>
                <w:rFonts w:ascii="Courier New" w:cs="Courier New" w:eastAsia="Courier New" w:hAnsi="Courier New"/>
                <w:color w:val="3A4E72"/>
                <w:sz w:val="16"/>
                <w:szCs w:val="16"/>
              </w:rPr>
              <w:t xml:space="preserve">  ● ● ●   </w:t>
            </w:r>
            <w:r>
              <w:rPr>
                <w:rFonts w:ascii="Courier New" w:cs="Courier New" w:eastAsia="Courier New" w:hAnsi="Courier New"/>
                <w:b/>
                <w:bCs/>
                <w:color w:val="3B7BF8"/>
                <w:sz w:val="17"/>
                <w:szCs w:val="17"/>
              </w:rPr>
              <w:t xml:space="preserve">Compliance-Kalender — Offene Fristen</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500"/>
              <w:gridCol w:w="1600"/>
              <w:gridCol w:w="2000"/>
            </w:tblGrid>
            <w:tr>
              <w:trPr>
                <w:tblHeader/>
              </w:trPr>
              <w:tc>
                <w:tcPr>
                  <w:tcW w:type="dxa" w:w="12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DATUM</w:t>
                  </w:r>
                </w:p>
              </w:tc>
              <w:tc>
                <w:tcPr>
                  <w:tcW w:type="dxa" w:w="25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PFLICHT</w:t>
                  </w:r>
                </w:p>
              </w:tc>
              <w:tc>
                <w:tcPr>
                  <w:tcW w:type="dxa" w:w="15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RECHTSGRUNDLAGE</w:t>
                  </w:r>
                </w:p>
              </w:tc>
              <w:tc>
                <w:tcPr>
                  <w:tcW w:type="dxa" w:w="16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ZUSTÄNDIG</w:t>
                  </w:r>
                </w:p>
              </w:tc>
              <w:tc>
                <w:tcPr>
                  <w:tcW w:type="dxa" w:w="2000"/>
                  <w:tcBorders>
                    <w:top w:val="single" w:color="2A3655" w:sz="1"/>
                    <w:left w:val="single" w:color="2A3655" w:sz="1"/>
                    <w:bottom w:val="single" w:color="2A3655" w:sz="1"/>
                    <w:right w:val="single" w:color="2A3655" w:sz="1"/>
                  </w:tcBorders>
                  <w:shd w:fill="0F1629" w:val="clear"/>
                  <w:tcMar>
                    <w:top w:type="dxa" w:w="70"/>
                    <w:left w:type="dxa" w:w="110"/>
                    <w:bottom w:type="dxa" w:w="70"/>
                    <w:right w:type="dxa" w:w="60"/>
                  </w:tcMar>
                </w:tcPr>
                <w:p>
                  <w:r>
                    <w:rPr>
                      <w:rFonts w:ascii="Courier New" w:cs="Courier New" w:eastAsia="Courier New" w:hAnsi="Courier New"/>
                      <w:b/>
                      <w:bCs/>
                      <w:color w:val="4E6087"/>
                      <w:sz w:val="17"/>
                      <w:szCs w:val="17"/>
                    </w:rPr>
                    <w:t xml:space="preserve">STATUS</w:t>
                  </w:r>
                </w:p>
              </w:tc>
            </w:tr>
            <w:tr>
              <w:tc>
                <w:tcPr>
                  <w:tcW w:type="dxa" w:w="1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bCs/>
                      <w:color w:val="EF4545"/>
                      <w:sz w:val="17"/>
                      <w:szCs w:val="17"/>
                    </w:rPr>
                    <w:t xml:space="preserve">27.03.2026</w:t>
                  </w:r>
                </w:p>
              </w:tc>
              <w:tc>
                <w:tcPr>
                  <w:tcW w:type="dxa" w:w="25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DSGVO Löschantrag UID-07A23F</w:t>
                  </w:r>
                </w:p>
              </w:tc>
              <w:tc>
                <w:tcPr>
                  <w:tcW w:type="dxa" w:w="15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EF4545"/>
                      <w:sz w:val="17"/>
                      <w:szCs w:val="17"/>
                    </w:rPr>
                    <w:t xml:space="preserve">Art. 17 DSGVO</w:t>
                  </w:r>
                </w:p>
              </w:tc>
              <w:tc>
                <w:tcPr>
                  <w:tcW w:type="dxa" w:w="16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DevOps</w:t>
                  </w:r>
                </w:p>
              </w:tc>
              <w:tc>
                <w:tcPr>
                  <w:tcW w:type="dxa" w:w="20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bCs/>
                      <w:color w:val="EF4545"/>
                      <w:sz w:val="17"/>
                      <w:szCs w:val="17"/>
                    </w:rPr>
                    <w:t xml:space="preserve">■ KRITISCH — ÜBERFÄLLIG</w:t>
                  </w:r>
                </w:p>
              </w:tc>
            </w:tr>
            <w:tr>
              <w:tc>
                <w:tcPr>
                  <w:tcW w:type="dxa" w:w="1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F5A623"/>
                      <w:sz w:val="17"/>
                      <w:szCs w:val="17"/>
                    </w:rPr>
                    <w:t xml:space="preserve">31.03.2026</w:t>
                  </w:r>
                </w:p>
              </w:tc>
              <w:tc>
                <w:tcPr>
                  <w:tcW w:type="dxa" w:w="25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BMF-Regelwerk Q1/2026 Review</w:t>
                  </w:r>
                </w:p>
              </w:tc>
              <w:tc>
                <w:tcPr>
                  <w:tcW w:type="dxa" w:w="15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BMF 06.03.2025</w:t>
                  </w:r>
                </w:p>
              </w:tc>
              <w:tc>
                <w:tcPr>
                  <w:tcW w:type="dxa" w:w="16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CTO + Steuer</w:t>
                  </w:r>
                </w:p>
              </w:tc>
              <w:tc>
                <w:tcPr>
                  <w:tcW w:type="dxa" w:w="20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F5A623"/>
                      <w:sz w:val="17"/>
                      <w:szCs w:val="17"/>
                    </w:rPr>
                    <w:t xml:space="preserve">◑ IN ARBEIT</w:t>
                  </w:r>
                </w:p>
              </w:tc>
            </w:tr>
            <w:tr>
              <w:tc>
                <w:tcPr>
                  <w:tcW w:type="dxa" w:w="1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6B7A99"/>
                      <w:sz w:val="17"/>
                      <w:szCs w:val="17"/>
                    </w:rPr>
                    <w:t xml:space="preserve">30.04.2026</w:t>
                  </w:r>
                </w:p>
              </w:tc>
              <w:tc>
                <w:tcPr>
                  <w:tcW w:type="dxa" w:w="25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DSGVO-Datenschutzbericht H1</w:t>
                  </w:r>
                </w:p>
              </w:tc>
              <w:tc>
                <w:tcPr>
                  <w:tcW w:type="dxa" w:w="15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Art. 5 DSGVO</w:t>
                  </w:r>
                </w:p>
              </w:tc>
              <w:tc>
                <w:tcPr>
                  <w:tcW w:type="dxa" w:w="16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DSB</w:t>
                  </w:r>
                </w:p>
              </w:tc>
              <w:tc>
                <w:tcPr>
                  <w:tcW w:type="dxa" w:w="20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4E6087"/>
                      <w:sz w:val="17"/>
                      <w:szCs w:val="17"/>
                    </w:rPr>
                    <w:t xml:space="preserve">○ GEPLANT</w:t>
                  </w:r>
                </w:p>
              </w:tc>
            </w:tr>
            <w:tr>
              <w:tc>
                <w:tcPr>
                  <w:tcW w:type="dxa" w:w="12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6B7A99"/>
                      <w:sz w:val="17"/>
                      <w:szCs w:val="17"/>
                    </w:rPr>
                    <w:t xml:space="preserve">31.07.2026</w:t>
                  </w:r>
                </w:p>
              </w:tc>
              <w:tc>
                <w:tcPr>
                  <w:tcW w:type="dxa" w:w="25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Hochverfügbarkeit (Steuerfrist)</w:t>
                  </w:r>
                </w:p>
              </w:tc>
              <w:tc>
                <w:tcPr>
                  <w:tcW w:type="dxa" w:w="15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SLA B2C</w:t>
                  </w:r>
                </w:p>
              </w:tc>
              <w:tc>
                <w:tcPr>
                  <w:tcW w:type="dxa" w:w="16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DevOps</w:t>
                  </w:r>
                </w:p>
              </w:tc>
              <w:tc>
                <w:tcPr>
                  <w:tcW w:type="dxa" w:w="2000"/>
                  <w:tcBorders>
                    <w:top w:val="single" w:color="2A3655" w:sz="1"/>
                    <w:left w:val="single" w:color="2A3655" w:sz="1"/>
                    <w:bottom w:val="single" w:color="2A3655" w:sz="1"/>
                    <w:right w:val="single" w:color="2A3655" w:sz="1"/>
                  </w:tcBorders>
                  <w:shd w:fill="0F1629" w:val="clear"/>
                  <w:tcMar>
                    <w:top w:type="dxa" w:w="60"/>
                    <w:left w:type="dxa" w:w="110"/>
                    <w:bottom w:type="dxa" w:w="60"/>
                    <w:right w:type="dxa" w:w="60"/>
                  </w:tcMar>
                </w:tcPr>
                <w:p>
                  <w:r>
                    <w:rPr>
                      <w:rFonts w:ascii="Courier New" w:cs="Courier New" w:eastAsia="Courier New" w:hAnsi="Courier New"/>
                      <w:color w:val="4E6087"/>
                      <w:sz w:val="17"/>
                      <w:szCs w:val="17"/>
                    </w:rPr>
                    <w:t xml:space="preserve">○ GEPLANT</w:t>
                  </w:r>
                </w:p>
              </w:tc>
            </w:tr>
            <w:tr>
              <w:tc>
                <w:tcPr>
                  <w:tcW w:type="dxa" w:w="12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6B7A99"/>
                      <w:sz w:val="17"/>
                      <w:szCs w:val="17"/>
                    </w:rPr>
                    <w:t xml:space="preserve">31.01.2027</w:t>
                  </w:r>
                </w:p>
              </w:tc>
              <w:tc>
                <w:tcPr>
                  <w:tcW w:type="dxa" w:w="25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DAC8 Erstmeldung BZSt</w:t>
                  </w:r>
                </w:p>
              </w:tc>
              <w:tc>
                <w:tcPr>
                  <w:tcW w:type="dxa" w:w="15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DAC8 / UStG</w:t>
                  </w:r>
                </w:p>
              </w:tc>
              <w:tc>
                <w:tcPr>
                  <w:tcW w:type="dxa" w:w="16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b w:val="false"/>
                      <w:bCs w:val="false"/>
                      <w:color w:val="8A9FC8"/>
                      <w:sz w:val="17"/>
                      <w:szCs w:val="17"/>
                    </w:rPr>
                    <w:t xml:space="preserve">CEO + Rechtsberatung</w:t>
                  </w:r>
                </w:p>
              </w:tc>
              <w:tc>
                <w:tcPr>
                  <w:tcW w:type="dxa" w:w="2000"/>
                  <w:tcBorders>
                    <w:top w:val="single" w:color="2A3655" w:sz="1"/>
                    <w:left w:val="single" w:color="2A3655" w:sz="1"/>
                    <w:bottom w:val="single" w:color="2A3655" w:sz="1"/>
                    <w:right w:val="single" w:color="2A3655" w:sz="1"/>
                  </w:tcBorders>
                  <w:shd w:fill="111827" w:val="clear"/>
                  <w:tcMar>
                    <w:top w:type="dxa" w:w="60"/>
                    <w:left w:type="dxa" w:w="110"/>
                    <w:bottom w:type="dxa" w:w="60"/>
                    <w:right w:type="dxa" w:w="60"/>
                  </w:tcMar>
                </w:tcPr>
                <w:p>
                  <w:r>
                    <w:rPr>
                      <w:rFonts w:ascii="Courier New" w:cs="Courier New" w:eastAsia="Courier New" w:hAnsi="Courier New"/>
                      <w:color w:val="4E6087"/>
                      <w:sz w:val="17"/>
                      <w:szCs w:val="17"/>
                    </w:rPr>
                    <w:t xml:space="preserve">○ GEPLANT</w:t>
                  </w:r>
                </w:p>
              </w:tc>
            </w:tr>
          </w:tbl>
          <w:p>
            <w:pPr>
              <w:spacing w:before="60" w:after="0"/>
            </w:pPr>
            <w:r>
              <w:t xml:space="preserve"/>
            </w:r>
          </w:p>
        </w:tc>
      </w:tr>
    </w:tbl>
    <w:p>
      <w:r>
        <w:br/>
      </w:r>
    </w:p>
    <w:p>
      <w:pPr>
        <w:pStyle w:val="Heading1"/>
        <w:pBdr>
          <w:bottom w:val="single" w:color="0D47A1" w:sz="4" w:space="6"/>
        </w:pBdr>
        <w:spacing w:before="360" w:after="160"/>
      </w:pPr>
      <w:r>
        <w:rPr>
          <w:rFonts w:ascii="Calibri" w:cs="Calibri" w:eastAsia="Calibri" w:hAnsi="Calibri"/>
          <w:b/>
          <w:bCs/>
          <w:color w:val="0D47A1"/>
          <w:sz w:val="36"/>
          <w:szCs w:val="36"/>
        </w:rPr>
        <w:t xml:space="preserve">AD7. Technische Spezifikation – Admin Dashboard</w:t>
      </w:r>
    </w:p>
    <w:p>
      <w:pPr>
        <w:spacing w:before="60" w:after="90"/>
      </w:pPr>
      <w:r>
        <w:rPr>
          <w:rFonts w:ascii="Calibri" w:cs="Calibri" w:eastAsia="Calibri" w:hAnsi="Calibri"/>
          <w:color w:val="212121"/>
          <w:sz w:val="21"/>
          <w:szCs w:val="21"/>
        </w:rPr>
        <w:t xml:space="preserve">Die folgende Spezifikation beschreibt die technische Implementierung des Admin Dashboards in allen relevanten Dimensionen.</w:t>
      </w:r>
    </w:p>
    <w:p>
      <w:pPr>
        <w:spacing w:before="80" w:after="0"/>
      </w:pPr>
      <w:r>
        <w:t xml:space="preserve"/>
      </w:r>
    </w:p>
    <w:p>
      <w:pPr>
        <w:spacing w:before="200" w:after="80"/>
      </w:pPr>
      <w:r>
        <w:rPr>
          <w:rFonts w:ascii="Calibri" w:cs="Calibri" w:eastAsia="Calibri" w:hAnsi="Calibri"/>
          <w:b/>
          <w:bCs/>
          <w:color w:val="006064"/>
          <w:sz w:val="23"/>
          <w:szCs w:val="23"/>
        </w:rPr>
        <w:t xml:space="preserve">AD7.1 Implementierungs-Architektur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200"/>
        <w:gridCol w:w="1226"/>
      </w:tblGrid>
      <w:tr>
        <w:trPr>
          <w:tblHeader/>
        </w:trPr>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Komponente</w:t>
            </w:r>
          </w:p>
        </w:tc>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Technologie</w:t>
            </w:r>
          </w:p>
        </w:tc>
        <w:tc>
          <w:tcPr>
            <w:tcW w:type="dxa" w:w="3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Begründung</w:t>
            </w:r>
          </w:p>
        </w:tc>
        <w:tc>
          <w:tcPr>
            <w:tcW w:type="dxa" w:w="12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Version</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Markup</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HTML5 (semantisch)</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 Framework nötig; maximale Kompatibilität</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HTML 5.0</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Styling</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CSS3 (Custom Properties / Variables)</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Dark-Mode-Konsistenz via :root-Variablen; kein Build-Step</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CSS 3</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Interaktivität</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Vanilla JavaScript (ES2022)</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Keine Bundler-Abhängigkeit; direkt ausführbar</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ES2022</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Diagramme</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Chart.js 4.4.1 (CDN: cdnjs.cloudflare.com)</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Einzige externe Abhängigkeit; via &lt;script src&gt;</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4.4.1</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Monospace-Font</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JetBrains Mono (System-Fallback: Cascadia Code)</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Dashboard-Ästhetik; Code-Lesbarkeit bei IDs, Hashes</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System</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Deployment</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Einzelne HTML-Datei (Self-Contained)</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Keine serverseitige Ausführung nötig; portable</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State-Management</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In-Memory JavaScript-Arrays</w:t>
            </w:r>
          </w:p>
        </w:tc>
        <w:tc>
          <w:tcPr>
            <w:tcW w:type="dxa" w:w="3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Tasks, Filter-State; kein localStorage</w:t>
            </w:r>
          </w:p>
        </w:tc>
        <w:tc>
          <w:tcPr>
            <w:tcW w:type="dxa" w:w="12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w:t>
            </w:r>
          </w:p>
        </w:tc>
      </w:tr>
    </w:tbl>
    <w:p>
      <w:pPr>
        <w:spacing w:before="80" w:after="0"/>
      </w:pPr>
      <w:r>
        <w:t xml:space="preserve"/>
      </w:r>
    </w:p>
    <w:p>
      <w:pPr>
        <w:spacing w:before="200" w:after="80"/>
      </w:pPr>
      <w:r>
        <w:rPr>
          <w:rFonts w:ascii="Calibri" w:cs="Calibri" w:eastAsia="Calibri" w:hAnsi="Calibri"/>
          <w:b/>
          <w:bCs/>
          <w:color w:val="006064"/>
          <w:sz w:val="23"/>
          <w:szCs w:val="23"/>
        </w:rPr>
        <w:t xml:space="preserve">AD7.2 Produktions-Erweiterungen (Phase 4)</w:t>
      </w:r>
    </w:p>
    <w:p>
      <w:pPr>
        <w:spacing w:before="60" w:after="90"/>
      </w:pPr>
      <w:r>
        <w:rPr>
          <w:rFonts w:ascii="Calibri" w:cs="Calibri" w:eastAsia="Calibri" w:hAnsi="Calibri"/>
          <w:color w:val="212121"/>
          <w:sz w:val="21"/>
          <w:szCs w:val="21"/>
        </w:rPr>
        <w:t xml:space="preserve">Das aktuelle Dashboard ist eine voll funktionsfähige Standalone-Version mit Mock-Daten. Für den Produktionsbetrieb sind folgende Backend-Integrationen geplant:</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1826"/>
      </w:tblGrid>
      <w:tr>
        <w:trPr>
          <w:tblHeader/>
        </w:trPr>
        <w:tc>
          <w:tcPr>
            <w:tcW w:type="dxa" w:w="2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Feature</w:t>
            </w:r>
          </w:p>
        </w:tc>
        <w:tc>
          <w:tcPr>
            <w:tcW w:type="dxa" w:w="22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Mock-Status (aktuell)</w:t>
            </w:r>
          </w:p>
        </w:tc>
        <w:tc>
          <w:tcPr>
            <w:tcW w:type="dxa" w:w="30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Produktions-Integration (Phase 4)</w:t>
            </w:r>
          </w:p>
        </w:tc>
        <w:tc>
          <w:tcPr>
            <w:tcW w:type="dxa" w:w="1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API-Endpoint</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KPI-Daten (MRR, Nutzer)</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Statisch / Math.random() Simulation</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PostgreSQL via Admin-REST-API</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GET /admin/api/kpis</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Aufgaben-Persistenz</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JavaScript In-Memory-Array</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JSON-File auf Hetzner S3 oder Admin-DB-Tabelle</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GET/POST /admin/api/tasks</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Nutzertabelle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Statische Demo-Daten</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PostgreSQL: users + subscriptions JOIN</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GET /admin/api/users</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MRR-Chart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Hardcodierte Array-Werte</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TimescaleDB: mrr_daily Aggregationstabelle</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GET /admin/api/mrr/history</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Indexer-Status</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Random-Uptime-Simulation</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Prometheus API: up{job=\'indexer\'}</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GET /admin/api/indexer/status</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Preis-Feed-Status</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Statische Token-Liste</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Redis: price_cache:{token_address}</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GET /admin/api/prices</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Aktivitätsfeed</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Statische Ereignisliste</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PostgreSQL audit_log + admin_events</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GET /admin/api/feed?limit=20</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Ticket-Queue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Demo-Tickets</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Zendesk API oder internes Ticket-System</w:t>
            </w:r>
          </w:p>
        </w:tc>
        <w:tc>
          <w:tcPr>
            <w:tcW w:type="dxa" w:w="1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GET /admin/api/tickets</w:t>
            </w:r>
          </w:p>
        </w:tc>
      </w:tr>
    </w:tbl>
    <w:p>
      <w:pPr>
        <w:spacing w:before="80" w:after="0"/>
      </w:pPr>
      <w:r>
        <w:t xml:space="preserve"/>
      </w:r>
    </w:p>
    <w:p>
      <w:pPr>
        <w:spacing w:before="200" w:after="80"/>
      </w:pPr>
      <w:r>
        <w:rPr>
          <w:rFonts w:ascii="Calibri" w:cs="Calibri" w:eastAsia="Calibri" w:hAnsi="Calibri"/>
          <w:b/>
          <w:bCs/>
          <w:color w:val="006064"/>
          <w:sz w:val="23"/>
          <w:szCs w:val="23"/>
        </w:rPr>
        <w:t xml:space="preserve">AD7.3 Sicherheits-Konfiguration (Produktionsbetrieb)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Sicherheitsmaßnahme</w:t>
            </w:r>
          </w:p>
        </w:tc>
        <w:tc>
          <w:tcPr>
            <w:tcW w:type="dxa" w:w="3600"/>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Konfiguration</w:t>
            </w:r>
          </w:p>
        </w:tc>
        <w:tc>
          <w:tcPr>
            <w:tcW w:type="dxa" w:w="2826"/>
            <w:tcBorders>
              <w:top w:val="single" w:color="CFD8DC" w:sz="1"/>
              <w:left w:val="single" w:color="CFD8DC" w:sz="1"/>
              <w:bottom w:val="single" w:color="CFD8DC" w:sz="1"/>
              <w:right w:val="single" w:color="CFD8DC" w:sz="1"/>
            </w:tcBorders>
            <w:shd w:fill="0D47A1" w:val="clear"/>
            <w:tcMar>
              <w:top w:type="dxa" w:w="80"/>
              <w:left w:type="dxa" w:w="130"/>
              <w:bottom w:type="dxa" w:w="80"/>
              <w:right w:type="dxa" w:w="80"/>
            </w:tcMar>
          </w:tcPr>
          <w:p>
            <w:r>
              <w:rPr>
                <w:rFonts w:ascii="Calibri" w:cs="Calibri" w:eastAsia="Calibri" w:hAnsi="Calibri"/>
                <w:b/>
                <w:bCs/>
                <w:color w:val="FFFFFF"/>
                <w:sz w:val="19"/>
                <w:szCs w:val="19"/>
              </w:rPr>
              <w:t xml:space="preserve">Hetzner/Nginx-Umsetzung</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HTTP Basic Auth</w:t>
            </w:r>
          </w:p>
        </w:tc>
        <w:tc>
          <w:tcPr>
            <w:tcW w:type="dxa" w:w="3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Benutzername + starkes Passwort (Argon2-generiert)</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Nginx: auth_basic 'Admin'; auth_basic_user_file /etc/nginx/.htpasswd</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VPN-Only-Zugang</w:t>
            </w:r>
          </w:p>
        </w:tc>
        <w:tc>
          <w:tcPr>
            <w:tcW w:type="dxa" w:w="3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Admin-Dashboard nur über Hetzner Private Network erreichbar</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Nginx: allow 10.0.0.0/8; deny all;</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TLS/HTTPS</w:t>
            </w:r>
          </w:p>
        </w:tc>
        <w:tc>
          <w:tcPr>
            <w:tcW w:type="dxa" w:w="3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TLS 1.3; Let's Encrypt-Zertifikat für admin.defi-tracker.de</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certbot + Nginx SSL-Konfiguration</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Content Security Policy</w:t>
            </w:r>
          </w:p>
        </w:tc>
        <w:tc>
          <w:tcPr>
            <w:tcW w:type="dxa" w:w="3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script-src 'self' cdnjs.cloudflare.com; no inline scripts</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Nginx add_header Content-Security-Policy</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Session-Timeout</w:t>
            </w:r>
          </w:p>
        </w:tc>
        <w:tc>
          <w:tcPr>
            <w:tcW w:type="dxa" w:w="3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Keine persistenten Sessions; HTTP Basic Auth Stateless</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Browser-Session-Ende = Logout</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Audit-Logging</w:t>
            </w:r>
          </w:p>
        </w:tc>
        <w:tc>
          <w:tcPr>
            <w:tcW w:type="dxa" w:w="3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Alle Admin-Aktionen werden in admin_audit_log PostgreSQL-Tabelle geschrieben</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Middleware-Layer in Admin-REST-API</w:t>
            </w:r>
          </w:p>
        </w:tc>
      </w:tr>
      <w:tr>
        <w:tc>
          <w:tcPr>
            <w:tcW w:type="dxa" w:w="2600"/>
            <w:tcBorders>
              <w:top w:val="single" w:color="CFD8DC" w:sz="1"/>
              <w:left w:val="single" w:color="CFD8DC" w:sz="1"/>
              <w:bottom w:val="single" w:color="CFD8DC" w:sz="1"/>
              <w:right w:val="single" w:color="CFD8DC" w:sz="1"/>
            </w:tcBorders>
            <w:shd w:fill="F5F5F5"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Rate Limiting</w:t>
            </w:r>
          </w:p>
        </w:tc>
        <w:tc>
          <w:tcPr>
            <w:tcW w:type="dxa" w:w="3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Max. 100 Requests/Minute pro IP auf /admin/*</w:t>
            </w:r>
          </w:p>
        </w:tc>
        <w:tc>
          <w:tcPr>
            <w:tcW w:type="dxa" w:w="2826"/>
            <w:tcBorders>
              <w:top w:val="single" w:color="CFD8DC" w:sz="1"/>
              <w:left w:val="single" w:color="CFD8DC" w:sz="1"/>
              <w:bottom w:val="single" w:color="CFD8DC" w:sz="1"/>
              <w:right w:val="single" w:color="CFD8DC" w:sz="1"/>
            </w:tcBorders>
            <w:shd w:fill="FFFFFF" w:val="clear"/>
            <w:tcMar>
              <w:top w:type="dxa" w:w="80"/>
              <w:left w:type="dxa" w:w="130"/>
              <w:bottom w:type="dxa" w:w="80"/>
              <w:right w:type="dxa" w:w="80"/>
            </w:tcMar>
          </w:tcPr>
          <w:p>
            <w:pPr>
              <w:jc w:val="left"/>
            </w:pPr>
            <w:r>
              <w:rPr>
                <w:rFonts w:ascii="Calibri" w:cs="Calibri" w:eastAsia="Calibri" w:hAnsi="Calibri"/>
                <w:b w:val="false"/>
                <w:bCs w:val="false"/>
                <w:color w:val="212121"/>
                <w:sz w:val="20"/>
                <w:szCs w:val="20"/>
              </w:rPr>
              <w:t xml:space="preserve">Nginx limit_req_zone</w:t>
            </w:r>
          </w:p>
        </w:tc>
      </w:tr>
    </w:tbl>
    <w:p>
      <w:pPr>
        <w:spacing w:before="200" w:after="0"/>
      </w:pPr>
      <w:r>
        <w:t xml:space="preserve"/>
      </w:r>
    </w:p>
    <w:p>
      <w:pPr>
        <w:pBdr>
          <w:top w:val="single" w:color="0D47A1" w:sz="4" w:space="8"/>
        </w:pBdr>
        <w:spacing w:before="200" w:after="0"/>
        <w:jc w:val="center"/>
      </w:pPr>
      <w:r>
        <w:rPr>
          <w:rFonts w:ascii="Calibri" w:cs="Calibri" w:eastAsia="Calibri" w:hAnsi="Calibri"/>
          <w:i/>
          <w:iCs/>
          <w:color w:val="999999"/>
          <w:sz w:val="17"/>
          <w:szCs w:val="17"/>
        </w:rPr>
        <w:t xml:space="preserve">Admin Dashboard Dokumentation – NextGen IT Solutions GmbH, Stuttgart · März 2026 · Interaktive Version: DeFiTracker_AdminDashboard.html</w:t>
      </w:r>
    </w:p>
    <w:sectPr>
      <w:headerReference w:type="default" r:id="rId6"/>
      <w:footerReference w:type="default" r:id="rId7"/>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47A1" w:sz="4" w:space="6"/>
      </w:pBdr>
      <w:tabs>
        <w:tab w:val="right" w:pos="8840"/>
      </w:tabs>
      <w:spacing w:before="80" w:after="0"/>
    </w:pPr>
    <w:r>
      <w:rPr>
        <w:rFonts w:ascii="Arial" w:cs="Arial" w:eastAsia="Arial" w:hAnsi="Arial"/>
        <w:color w:val="888888"/>
        <w:sz w:val="16"/>
        <w:szCs w:val="16"/>
      </w:rPr>
      <w:t xml:space="preserve">Vertraulich – © 2026 NextGen IT Solutions GmbH, Stuttgart</w:t>
    </w:r>
    <w:r>
      <w:rPr>
        <w:rFonts w:ascii="Arial" w:cs="Arial" w:eastAsia="Arial" w:hAnsi="Arial"/>
        <w:color w:val="888888"/>
        <w:sz w:val="16"/>
        <w:szCs w:val="16"/>
      </w:rPr>
      <w:t xml:space="preserve">	Seite </w:t>
    </w:r>
    <w:r>
      <w:rPr>
        <w:rFonts w:ascii="Arial" w:cs="Arial" w:eastAsia="Arial" w:hAnsi="Arial"/>
        <w:color w:val="888888"/>
        <w:sz w:val="16"/>
        <w:szCs w:val="16"/>
      </w:rPr>
      <w:fldChar w:fldCharType="begin"/>
    </w:r>
    <w:r>
      <w:rPr>
        <w:rFonts w:ascii="Arial" w:cs="Arial" w:eastAsia="Arial" w:hAnsi="Arial"/>
        <w:color w:val="888888"/>
        <w:sz w:val="16"/>
        <w:szCs w:val="16"/>
      </w:rPr>
      <w:instrText xml:space="preserve"> PAGE </w:instrText>
    </w:r>
    <w:r>
      <w:rPr>
        <w:rFonts w:ascii="Arial" w:cs="Arial" w:eastAsia="Arial" w:hAnsi="Arial"/>
        <w:color w:val="888888"/>
        <w:sz w:val="16"/>
        <w:szCs w:val="16"/>
      </w:rPr>
      <w:fldChar w:fldCharType="separate"/>
    </w:r>
    <w:r>
      <w:rPr>
        <w:rFonts w:ascii="Arial" w:cs="Arial" w:eastAsia="Arial" w:hAnsi="Arial"/>
        <w:color w:val="888888"/>
        <w:sz w:val="16"/>
        <w:szCs w:val="16"/>
      </w:rPr>
      <w:t>1</w:t>
    </w:r>
    <w:r>
      <w:rPr>
        <w:rFonts w:ascii="Arial" w:cs="Arial" w:eastAsia="Arial" w:hAnsi="Arial"/>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7A1" w:sz="4" w:space="6"/>
      </w:pBdr>
      <w:spacing w:before="0" w:after="80"/>
    </w:pPr>
    <w:r>
      <w:rPr>
        <w:rFonts w:ascii="Arial" w:cs="Arial" w:eastAsia="Arial" w:hAnsi="Arial"/>
        <w:b/>
        <w:bCs/>
        <w:color w:val="0D47A1"/>
        <w:sz w:val="18"/>
        <w:szCs w:val="18"/>
      </w:rPr>
      <w:t xml:space="preserve">NextGen IT Solutions GmbH</w:t>
    </w:r>
    <w:r>
      <w:rPr>
        <w:rFonts w:ascii="Arial" w:cs="Arial" w:eastAsia="Arial" w:hAnsi="Arial"/>
        <w:color w:val="666666"/>
        <w:sz w:val="18"/>
        <w:szCs w:val="18"/>
      </w:rPr>
      <w:t xml:space="preserve">  |  DeFi Investment Tracker – Markt- &amp; Feasibility-Analyse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8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 w15:restartNumberingAfterBreak="0">
    <w:multiLevelType w:val="hybridMultilevel"/>
    <w:lvl w:ilvl="0" w15:tentative="1">
      <w:start w:val="1"/>
      <w:numFmt w:val="bullet"/>
      <w:lvlText w:val="▸"/>
      <w:lvlJc w:val="left"/>
      <w:pPr>
        <w:ind w:left="500" w:hanging="260"/>
      </w:pPr>
    </w:lvl>
  </w:abstractNum>
  <w:abstractNum w:abstractNumId="7" w15:restartNumberingAfterBreak="0">
    <w:multiLevelType w:val="hybridMultilevel"/>
    <w:lvl w:ilvl="0" w15:tentative="1">
      <w:start w:val="1"/>
      <w:numFmt w:val="bullet"/>
      <w:lvlText w:val="–"/>
      <w:lvlJc w:val="left"/>
      <w:pPr>
        <w:ind w:left="760" w:hanging="240"/>
      </w:pPr>
    </w:lvl>
  </w:abstractNum>
  <w:abstractNum w:abstractNumId="8" w15:restartNumberingAfterBreak="0">
    <w:multiLevelType w:val="hybridMultilevel"/>
    <w:lvl w:ilvl="0" w15:tentative="1">
      <w:start w:val="1"/>
      <w:numFmt w:val="decimal"/>
      <w:lvlText w:val="%1."/>
      <w:lvlJc w:val="left"/>
      <w:pPr>
        <w:ind w:left="500" w:hanging="2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0" w15:restartNumberingAfterBreak="0">
    <w:multiLevelType w:val="hybridMultilevel"/>
    <w:lvl w:ilvl="0" w15:tentative="1">
      <w:start w:val="1"/>
      <w:numFmt w:val="bullet"/>
      <w:lvlText w:val="▸"/>
      <w:lvlJc w:val="left"/>
      <w:pPr>
        <w:ind w:left="500" w:hanging="260"/>
      </w:pPr>
    </w:lvl>
  </w:abstractNum>
  <w:abstractNum w:abstractNumId="11" w15:restartNumberingAfterBreak="0">
    <w:multiLevelType w:val="hybridMultilevel"/>
    <w:lvl w:ilvl="0" w15:tentative="1">
      <w:start w:val="1"/>
      <w:numFmt w:val="decimal"/>
      <w:lvlText w:val="%1."/>
      <w:lvlJc w:val="left"/>
      <w:pPr>
        <w:ind w:left="500" w:hanging="2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3" w15:restartNumberingAfterBreak="0">
    <w:multiLevelType w:val="hybridMultilevel"/>
    <w:lvl w:ilvl="0" w15:tentative="1">
      <w:start w:val="1"/>
      <w:numFmt w:val="bullet"/>
      <w:lvlText w:val="▸"/>
      <w:lvlJc w:val="left"/>
      <w:pPr>
        <w:ind w:left="500" w:hanging="260"/>
      </w:pPr>
    </w:lvl>
  </w:abstractNum>
  <w:abstractNum w:abstractNumId="14" w15:restartNumberingAfterBreak="0">
    <w:multiLevelType w:val="hybridMultilevel"/>
    <w:lvl w:ilvl="0" w15:tentative="1">
      <w:start w:val="1"/>
      <w:numFmt w:val="bullet"/>
      <w:lvlText w:val="–"/>
      <w:lvlJc w:val="left"/>
      <w:pPr>
        <w:ind w:left="760" w:hanging="240"/>
      </w:pPr>
    </w:lvl>
  </w:abstractNum>
  <w:abstractNum w:abstractNumId="15" w15:restartNumberingAfterBreak="0">
    <w:multiLevelType w:val="hybridMultilevel"/>
    <w:lvl w:ilvl="0" w15:tentative="1">
      <w:start w:val="1"/>
      <w:numFmt w:val="decimal"/>
      <w:lvlText w:val="%1."/>
      <w:lvlJc w:val="left"/>
      <w:pPr>
        <w:ind w:left="500" w:hanging="2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7" w15:restartNumberingAfterBreak="0">
    <w:multiLevelType w:val="hybridMultilevel"/>
    <w:lvl w:ilvl="0" w15:tentative="1">
      <w:start w:val="1"/>
      <w:numFmt w:val="bullet"/>
      <w:lvlText w:val="▸"/>
      <w:lvlJc w:val="left"/>
      <w:pPr>
        <w:ind w:left="500" w:hanging="260"/>
      </w:pPr>
    </w:lvl>
  </w:abstractNum>
  <w:abstractNum w:abstractNumId="18" w15:restartNumberingAfterBreak="0">
    <w:multiLevelType w:val="hybridMultilevel"/>
    <w:lvl w:ilvl="0" w15:tentative="1">
      <w:start w:val="1"/>
      <w:numFmt w:val="bullet"/>
      <w:lvlText w:val="–"/>
      <w:lvlJc w:val="left"/>
      <w:pPr>
        <w:ind w:left="760" w:hanging="240"/>
      </w:pPr>
    </w:lvl>
  </w:abstractNum>
  <w:abstractNum w:abstractNumId="19" w15:restartNumberingAfterBreak="0">
    <w:multiLevelType w:val="hybridMultilevel"/>
    <w:lvl w:ilvl="0" w15:tentative="1">
      <w:start w:val="1"/>
      <w:numFmt w:val="decimal"/>
      <w:lvlText w:val="%1."/>
      <w:lvlJc w:val="left"/>
      <w:pPr>
        <w:ind w:left="500" w:hanging="2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1" w15:restartNumberingAfterBreak="0">
    <w:multiLevelType w:val="hybridMultilevel"/>
    <w:lvl w:ilvl="0" w15:tentative="1">
      <w:start w:val="1"/>
      <w:numFmt w:val="bullet"/>
      <w:lvlText w:val="▸"/>
      <w:lvlJc w:val="left"/>
      <w:pPr>
        <w:ind w:left="500" w:hanging="260"/>
      </w:pPr>
    </w:lvl>
  </w:abstractNum>
  <w:abstractNum w:abstractNumId="22" w15:restartNumberingAfterBreak="0">
    <w:multiLevelType w:val="hybridMultilevel"/>
    <w:lvl w:ilvl="0" w15:tentative="1">
      <w:start w:val="1"/>
      <w:numFmt w:val="bullet"/>
      <w:lvlText w:val="–"/>
      <w:lvlJc w:val="left"/>
      <w:pPr>
        <w:ind w:left="760" w:hanging="240"/>
      </w:pPr>
    </w:lvl>
  </w:abstractNum>
  <w:abstractNum w:abstractNumId="23" w15:restartNumberingAfterBreak="0">
    <w:multiLevelType w:val="hybridMultilevel"/>
    <w:lvl w:ilvl="0" w15:tentative="1">
      <w:start w:val="1"/>
      <w:numFmt w:val="decimal"/>
      <w:lvlText w:val="%1."/>
      <w:lvlJc w:val="left"/>
      <w:pPr>
        <w:ind w:left="500" w:hanging="2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5" w15:restartNumberingAfterBreak="0">
    <w:multiLevelType w:val="hybridMultilevel"/>
    <w:lvl w:ilvl="0" w15:tentative="1">
      <w:start w:val="1"/>
      <w:numFmt w:val="bullet"/>
      <w:lvlText w:val="▸"/>
      <w:lvlJc w:val="left"/>
      <w:pPr>
        <w:ind w:left="500" w:hanging="260"/>
      </w:pPr>
    </w:lvl>
  </w:abstractNum>
  <w:abstractNum w:abstractNumId="26" w15:restartNumberingAfterBreak="0">
    <w:multiLevelType w:val="hybridMultilevel"/>
    <w:lvl w:ilvl="0" w15:tentative="1">
      <w:start w:val="1"/>
      <w:numFmt w:val="bullet"/>
      <w:lvlText w:val="–"/>
      <w:lvlJc w:val="left"/>
      <w:pPr>
        <w:ind w:left="760" w:hanging="240"/>
      </w:pPr>
    </w:lvl>
  </w:abstractNum>
  <w:abstractNum w:abstractNumId="27" w15:restartNumberingAfterBreak="0">
    <w:multiLevelType w:val="hybridMultilevel"/>
    <w:lvl w:ilvl="0" w15:tentative="1">
      <w:start w:val="1"/>
      <w:numFmt w:val="decimal"/>
      <w:lvlText w:val="%1."/>
      <w:lvlJc w:val="left"/>
      <w:pPr>
        <w:ind w:left="500" w:hanging="2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9" w15:restartNumberingAfterBreak="0">
    <w:multiLevelType w:val="hybridMultilevel"/>
    <w:lvl w:ilvl="0" w15:tentative="1">
      <w:start w:val="1"/>
      <w:numFmt w:val="bullet"/>
      <w:lvlText w:val="▸"/>
      <w:lvlJc w:val="left"/>
      <w:pPr>
        <w:ind w:left="500" w:hanging="260"/>
      </w:pPr>
    </w:lvl>
  </w:abstractNum>
  <w:abstractNum w:abstractNumId="30" w15:restartNumberingAfterBreak="0">
    <w:multiLevelType w:val="hybridMultilevel"/>
    <w:lvl w:ilvl="0" w15:tentative="1">
      <w:start w:val="1"/>
      <w:numFmt w:val="bullet"/>
      <w:lvlText w:val="–"/>
      <w:lvlJc w:val="left"/>
      <w:pPr>
        <w:ind w:left="760" w:hanging="240"/>
      </w:pPr>
    </w:lvl>
  </w:abstractNum>
  <w:abstractNum w:abstractNumId="31" w15:restartNumberingAfterBreak="0">
    <w:multiLevelType w:val="hybridMultilevel"/>
    <w:lvl w:ilvl="0" w15:tentative="1">
      <w:start w:val="1"/>
      <w:numFmt w:val="decimal"/>
      <w:lvlText w:val="%1."/>
      <w:lvlJc w:val="left"/>
      <w:pPr>
        <w:ind w:left="500" w:hanging="2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3" w15:restartNumberingAfterBreak="0">
    <w:multiLevelType w:val="hybridMultilevel"/>
    <w:lvl w:ilvl="0" w15:tentative="1">
      <w:start w:val="1"/>
      <w:numFmt w:val="bullet"/>
      <w:lvlText w:val="▸"/>
      <w:lvlJc w:val="left"/>
      <w:pPr>
        <w:ind w:left="500" w:hanging="260"/>
      </w:pPr>
    </w:lvl>
  </w:abstractNum>
  <w:abstractNum w:abstractNumId="34" w15:restartNumberingAfterBreak="0">
    <w:multiLevelType w:val="hybridMultilevel"/>
    <w:lvl w:ilvl="0" w15:tentative="1">
      <w:start w:val="1"/>
      <w:numFmt w:val="bullet"/>
      <w:lvlText w:val="–"/>
      <w:lvlJc w:val="left"/>
      <w:pPr>
        <w:ind w:left="760" w:hanging="240"/>
      </w:pPr>
    </w:lvl>
  </w:abstractNum>
  <w:abstractNum w:abstractNumId="35" w15:restartNumberingAfterBreak="0">
    <w:multiLevelType w:val="hybridMultilevel"/>
    <w:lvl w:ilvl="0" w15:tentative="1">
      <w:start w:val="1"/>
      <w:numFmt w:val="decimal"/>
      <w:lvlText w:val="%1."/>
      <w:lvlJc w:val="left"/>
      <w:pPr>
        <w:ind w:left="500" w:hanging="2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7" w15:restartNumberingAfterBreak="0">
    <w:multiLevelType w:val="hybridMultilevel"/>
    <w:lvl w:ilvl="0" w15:tentative="1">
      <w:start w:val="1"/>
      <w:numFmt w:val="bullet"/>
      <w:lvlText w:val="▸"/>
      <w:lvlJc w:val="left"/>
      <w:pPr>
        <w:ind w:left="500" w:hanging="260"/>
      </w:pPr>
    </w:lvl>
  </w:abstractNum>
  <w:abstractNum w:abstractNumId="38" w15:restartNumberingAfterBreak="0">
    <w:multiLevelType w:val="hybridMultilevel"/>
    <w:lvl w:ilvl="0" w15:tentative="1">
      <w:start w:val="1"/>
      <w:numFmt w:val="bullet"/>
      <w:lvlText w:val="–"/>
      <w:lvlJc w:val="left"/>
      <w:pPr>
        <w:ind w:left="760" w:hanging="240"/>
      </w:pPr>
    </w:lvl>
  </w:abstractNum>
  <w:abstractNum w:abstractNumId="39"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1"/>
    <w:lvlOverride w:ilvl="0">
      <w:startOverride w:val="1"/>
    </w:lvlOverride>
  </w:num>
  <w:num w:numId="5">
    <w:abstractNumId w:val="5"/>
    <w:lvlOverride w:ilvl="0">
      <w:startOverride w:val="1"/>
    </w:lvlOverride>
  </w:num>
  <w:num w:numId="6">
    <w:abstractNumId w:val="9"/>
    <w:lvlOverride w:ilvl="0">
      <w:startOverride w:val="1"/>
    </w:lvlOverride>
  </w:num>
  <w:num w:numId="7">
    <w:abstractNumId w:val="10"/>
    <w:lvlOverride w:ilvl="0">
      <w:startOverride w:val="1"/>
    </w:lvlOverride>
  </w:num>
  <w:num w:numId="8">
    <w:abstractNumId w:val="12"/>
    <w:lvlOverride w:ilvl="0">
      <w:startOverride w:val="1"/>
    </w:lvlOverride>
  </w:num>
  <w:num w:numId="9">
    <w:abstractNumId w:val="14"/>
    <w:lvlOverride w:ilvl="0">
      <w:startOverride w:val="1"/>
    </w:lvlOverride>
  </w:num>
  <w:num w:numId="10">
    <w:abstractNumId w:val="13"/>
    <w:lvlOverride w:ilvl="0">
      <w:startOverride w:val="1"/>
    </w:lvlOverride>
  </w:num>
  <w:num w:numId="11">
    <w:abstractNumId w:val="16"/>
    <w:lvlOverride w:ilvl="0">
      <w:startOverride w:val="1"/>
    </w:lvlOverride>
  </w:num>
  <w:num w:numId="12">
    <w:abstractNumId w:val="18"/>
    <w:lvlOverride w:ilvl="0">
      <w:startOverride w:val="1"/>
    </w:lvlOverride>
  </w:num>
  <w:num w:numId="13">
    <w:abstractNumId w:val="17"/>
    <w:lvlOverride w:ilvl="0">
      <w:startOverride w:val="1"/>
    </w:lvlOverride>
  </w:num>
  <w:num w:numId="14">
    <w:abstractNumId w:val="20"/>
    <w:lvlOverride w:ilvl="0">
      <w:startOverride w:val="1"/>
    </w:lvlOverride>
  </w:num>
  <w:num w:numId="15">
    <w:abstractNumId w:val="24"/>
    <w:lvlOverride w:ilvl="0">
      <w:startOverride w:val="1"/>
    </w:lvlOverride>
  </w:num>
  <w:num w:numId="16">
    <w:abstractNumId w:val="28"/>
    <w:lvlOverride w:ilvl="0">
      <w:startOverride w:val="1"/>
    </w:lvlOverride>
  </w:num>
  <w:num w:numId="17">
    <w:abstractNumId w:val="32"/>
    <w:lvlOverride w:ilvl="0">
      <w:startOverride w:val="1"/>
    </w:lvlOverride>
  </w:num>
  <w:num w:numId="18">
    <w:abstractNumId w:val="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47A1"/>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47A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097A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2026-03-25T22:59:49.929Z</dcterms:created>
  <dcterms:modified xsi:type="dcterms:W3CDTF">2026-03-25T22:59:49.930Z</dcterms:modified>
</cp:coreProperties>
</file>

<file path=docProps/custom.xml><?xml version="1.0" encoding="utf-8"?>
<Properties xmlns="http://schemas.openxmlformats.org/officeDocument/2006/custom-properties" xmlns:vt="http://schemas.openxmlformats.org/officeDocument/2006/docPropsVTypes"/>
</file>