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OASIS Genesis – Dialogue Archive</w:t>
      </w:r>
    </w:p>
    <w:p>
      <w:pPr>
        <w:pStyle w:val="Heading2"/>
      </w:pPr>
      <w:r>
        <w:t>Phase 1 – Architecture Confirmation</w:t>
      </w:r>
    </w:p>
    <w:p>
      <w:r>
        <w:t>User: Architected Doom and Quake with STAR wrapper and async batching.</w:t>
        <w:br/>
        <w:t>Assistant: Confirmed architecture direction.</w:t>
        <w:br/>
        <w:br/>
        <w:t>User: Unique global holons in core architecture.</w:t>
        <w:br/>
        <w:t>Assistant: Recognized holons as protocol entities.</w:t>
        <w:br/>
        <w:br/>
        <w:t>User: 10 years backend, C#.</w:t>
        <w:br/>
        <w:t>Assistant: Adjusted context to .NET Core Web API.</w:t>
      </w:r>
    </w:p>
    <w:p>
      <w:pPr>
        <w:pStyle w:val="Heading2"/>
      </w:pPr>
      <w:r>
        <w:t>Phase 2 – Transport Expansion</w:t>
      </w:r>
    </w:p>
    <w:p>
      <w:r>
        <w:t>User: Web API core services, planning gRPC, GraphQL, WebSocket.</w:t>
        <w:br/>
        <w:t>Assistant: Validated roadmap and suggested transport contracts.</w:t>
        <w:br/>
        <w:br/>
        <w:t>User: Open protocol and open source.</w:t>
        <w:br/>
        <w:t>Assistant: Recognized shift toward formal protocol positioning.</w:t>
      </w:r>
    </w:p>
    <w:p>
      <w:pPr>
        <w:pStyle w:val="Heading2"/>
      </w:pPr>
      <w:r>
        <w:t>Phase 3 – Formalization Discussion</w:t>
      </w:r>
    </w:p>
    <w:p>
      <w:r>
        <w:t>Discussion included:</w:t>
        <w:br/>
        <w:t>- Canonical schema</w:t>
        <w:br/>
        <w:t>- Versioning model</w:t>
        <w:br/>
        <w:t>- Security model</w:t>
        <w:br/>
        <w:t>- Conformance guidelines</w:t>
        <w:br/>
        <w:t>- Transport specifications</w:t>
      </w:r>
    </w:p>
    <w:p>
      <w:pPr>
        <w:pStyle w:val="Heading2"/>
      </w:pPr>
      <w:r>
        <w:t>Core Themes Identified</w:t>
      </w:r>
    </w:p>
    <w:p>
      <w:r>
        <w:t>- Holonic architecture as backbone</w:t>
        <w:br/>
        <w:t>- Engine-agnostic persistence</w:t>
        <w:br/>
        <w:t>- Async job batching</w:t>
        <w:br/>
        <w:t>- Cross-engine identity and inventory</w:t>
        <w:br/>
        <w:t>- Open protocol ambition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