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3c1b6e"/>
          <w:sz w:val="48"/>
          <w:szCs w:val="48"/>
        </w:rPr>
        <w:t xml:space="preserve">Donor Impact Evaluation Report</w:t>
      </w:r>
    </w:p>
    <w:p>
      <w:pPr>
        <w:jc w:val="center"/>
      </w:pPr>
      <w:r>
        <w:rPr>
          <w:color w:val="52667A"/>
          <w:sz w:val="24"/>
          <w:szCs w:val="24"/>
        </w:rPr>
        <w:t xml:space="preserve">Uganda | Integrated Livelihoods</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integrated livelihoods performance in Uganda.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Approve an adaptive results and learning window for integrated livelihoods.</w:t>
      </w:r>
    </w:p>
    <w:p>
      <w:pPr>
        <w:pStyle w:val="ListParagraph"/>
        <w:numPr>
          <w:ilvl w:val="0"/>
          <w:numId w:val="1"/>
        </w:numPr>
        <w:spacing w:after="100"/>
      </w:pPr>
      <w:r>
        <w:t xml:space="preserve">Reallocate financing toward high-additionality pathways for integrated livelihoods.</w:t>
      </w:r>
    </w:p>
    <w:p>
      <w:pPr>
        <w:pStyle w:val="ListParagraph"/>
        <w:numPr>
          <w:ilvl w:val="0"/>
          <w:numId w:val="1"/>
        </w:numPr>
        <w:spacing w:after="100"/>
      </w:pPr>
      <w:r>
        <w:t xml:space="preserve">Introduce equity-weighted value-for-money reviews for integrated livelihoods.</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1728</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91</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FND-DON-01 — Critical finding 1: outcome additionality</w:t>
      </w:r>
    </w:p>
    <w:p>
      <w:pPr>
        <w:spacing w:after="160" w:line="300"/>
      </w:pPr>
      <w:r>
        <w:rPr>
          <w:color w:val="263B4D"/>
          <w:sz w:val="21"/>
          <w:szCs w:val="21"/>
        </w:rPr>
        <w:t xml:space="preserve">Across Uganda's synthetic study areas, outcome additionality is the clearest differentiator of integrated livelihoods performance. The evidence is strongest in Northern Livelihoods Cluster,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EVI-DON-001, EVI-DON-004 | Confidence 93%</w:t>
      </w:r>
    </w:p>
    <w:p>
      <w:pPr>
        <w:pStyle w:val="Heading2"/>
      </w:pPr>
      <w:r>
        <w:t xml:space="preserve">FND-DON-02 — Critical finding 2: value for money</w:t>
      </w:r>
    </w:p>
    <w:p>
      <w:pPr>
        <w:spacing w:after="160" w:line="300"/>
      </w:pPr>
      <w:r>
        <w:rPr>
          <w:color w:val="263B4D"/>
          <w:sz w:val="21"/>
          <w:szCs w:val="21"/>
        </w:rPr>
        <w:t xml:space="preserve">Across Uganda's synthetic study areas, value for money is the clearest differentiator of integrated livelihoods performance. The evidence is strongest in Eastern Enterprise Cluster,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EVI-DON-002, EVI-DON-005 | Confidence 94%</w:t>
      </w:r>
    </w:p>
    <w:p>
      <w:pPr>
        <w:pStyle w:val="Heading2"/>
      </w:pPr>
      <w:r>
        <w:t xml:space="preserve">FND-DON-03 — Critical finding 3: livelihood resilience</w:t>
      </w:r>
    </w:p>
    <w:p>
      <w:pPr>
        <w:spacing w:after="160" w:line="300"/>
      </w:pPr>
      <w:r>
        <w:rPr>
          <w:color w:val="263B4D"/>
          <w:sz w:val="21"/>
          <w:szCs w:val="21"/>
        </w:rPr>
        <w:t xml:space="preserve">Across Uganda's synthetic study areas, livelihood resilience is the clearest differentiator of integrated livelihoods performance. The evidence is strongest in Lake Communities,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EVI-DON-003, EVI-DON-006 | Confidence 89.5%</w:t>
      </w:r>
    </w:p>
    <w:p>
      <w:pPr>
        <w:pStyle w:val="Heading2"/>
      </w:pPr>
      <w:r>
        <w:t xml:space="preserve">FND-DON-04 — Critical finding 4: gendered benefit distribution</w:t>
      </w:r>
    </w:p>
    <w:p>
      <w:pPr>
        <w:spacing w:after="160" w:line="300"/>
      </w:pPr>
      <w:r>
        <w:rPr>
          <w:color w:val="263B4D"/>
          <w:sz w:val="21"/>
          <w:szCs w:val="21"/>
        </w:rPr>
        <w:t xml:space="preserve">Across Uganda's synthetic study areas, gendered benefit distribution is the clearest differentiator of integrated livelihoods performance. The evidence is strongest in Central Markets,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EVI-DON-004, EVI-DON-007 | Confidence 90.5%</w:t>
      </w:r>
    </w:p>
    <w:p>
      <w:pPr>
        <w:pStyle w:val="Heading2"/>
      </w:pPr>
      <w:r>
        <w:t xml:space="preserve">FND-DON-05 — Critical finding 5: sustainability after exit</w:t>
      </w:r>
    </w:p>
    <w:p>
      <w:pPr>
        <w:spacing w:after="160" w:line="300"/>
      </w:pPr>
      <w:r>
        <w:rPr>
          <w:color w:val="263B4D"/>
          <w:sz w:val="21"/>
          <w:szCs w:val="21"/>
        </w:rPr>
        <w:t xml:space="preserve">Across Uganda's synthetic study areas, sustainability after exit is the clearest differentiator of integrated livelihoods performance. The evidence is strongest in Northern Livelihoods Cluster,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EVI-DON-005, EVI-DON-008 | Confidence 91.5%</w:t>
      </w:r>
    </w:p>
    <w:p>
      <w:pPr>
        <w:pStyle w:val="Heading1"/>
        <w:pageBreakBefore/>
      </w:pPr>
      <w:r>
        <w:t xml:space="preserve">Decision Intelligence</w:t>
      </w:r>
    </w:p>
    <w:p>
      <w:pPr>
        <w:pStyle w:val="Heading2"/>
      </w:pPr>
      <w:r>
        <w:t xml:space="preserve">DEC-DON-01 — CRITICAL</w:t>
      </w:r>
    </w:p>
    <w:p>
      <w:pPr>
        <w:spacing w:after="160" w:line="300"/>
      </w:pPr>
      <w:r>
        <w:rPr>
          <w:color w:val="263B4D"/>
          <w:sz w:val="21"/>
          <w:szCs w:val="21"/>
        </w:rPr>
        <w:t xml:space="preserve">Approve an adaptive results and learning window for integrated livelihoods.</w:t>
      </w:r>
    </w:p>
    <w:p>
      <w:pPr>
        <w:spacing w:after="160" w:line="300"/>
      </w:pPr>
      <w:r>
        <w:rPr>
          <w:color w:val="263B4D"/>
          <w:sz w:val="21"/>
          <w:szCs w:val="21"/>
        </w:rPr>
        <w:t xml:space="preserve">Owner: Country Director / Programme Executive | Timeline: 0–90 days | Budget: Medium — detailed costing and fiduciary review required</w:t>
      </w:r>
    </w:p>
    <w:p>
      <w:pPr>
        <w:spacing w:after="160" w:line="300"/>
      </w:pPr>
      <w:r>
        <w:rPr>
          <w:color w:val="263B4D"/>
          <w:sz w:val="21"/>
          <w:szCs w:val="21"/>
        </w:rPr>
        <w:t xml:space="preserve">Monitoring indicator: Percentage of agreed milestones completed for DEC-DON-01</w:t>
      </w:r>
    </w:p>
    <w:p>
      <w:pPr>
        <w:pStyle w:val="Heading2"/>
      </w:pPr>
      <w:r>
        <w:t xml:space="preserve">DEC-DON-02 — CRITICAL</w:t>
      </w:r>
    </w:p>
    <w:p>
      <w:pPr>
        <w:spacing w:after="160" w:line="300"/>
      </w:pPr>
      <w:r>
        <w:rPr>
          <w:color w:val="263B4D"/>
          <w:sz w:val="21"/>
          <w:szCs w:val="21"/>
        </w:rPr>
        <w:t xml:space="preserve">Reallocate financing toward high-additionality pathways for integrated livelihoods.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DEC-DON-02</w:t>
      </w:r>
    </w:p>
    <w:p>
      <w:pPr>
        <w:pStyle w:val="Heading2"/>
      </w:pPr>
      <w:r>
        <w:t xml:space="preserve">DEC-DON-03 — HIGH</w:t>
      </w:r>
    </w:p>
    <w:p>
      <w:pPr>
        <w:spacing w:after="160" w:line="300"/>
      </w:pPr>
      <w:r>
        <w:rPr>
          <w:color w:val="263B4D"/>
          <w:sz w:val="21"/>
          <w:szCs w:val="21"/>
        </w:rPr>
        <w:t xml:space="preserve">Introduce equity-weighted value-for-money reviews for integrated livelihoods.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DEC-DON-03</w:t>
      </w:r>
    </w:p>
    <w:p>
      <w:pPr>
        <w:pStyle w:val="Heading2"/>
      </w:pPr>
      <w:r>
        <w:t xml:space="preserve">DEC-DON-04 — HIGH</w:t>
      </w:r>
    </w:p>
    <w:p>
      <w:pPr>
        <w:spacing w:after="160" w:line="300"/>
      </w:pPr>
      <w:r>
        <w:rPr>
          <w:color w:val="263B4D"/>
          <w:sz w:val="21"/>
          <w:szCs w:val="21"/>
        </w:rPr>
        <w:t xml:space="preserve">Fund partner transition and institutional ownership for integrated livelihoods.</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DEC-DON-04</w:t>
      </w:r>
    </w:p>
    <w:p>
      <w:pPr>
        <w:pStyle w:val="Heading2"/>
      </w:pPr>
      <w:r>
        <w:t xml:space="preserve">DEC-DON-05 — MEDIUM</w:t>
      </w:r>
    </w:p>
    <w:p>
      <w:pPr>
        <w:spacing w:after="160" w:line="300"/>
      </w:pPr>
      <w:r>
        <w:rPr>
          <w:color w:val="263B4D"/>
          <w:sz w:val="21"/>
          <w:szCs w:val="21"/>
        </w:rPr>
        <w:t xml:space="preserve">Commission a pre-exit sustainability verification for integrated livelihoods.</w:t>
      </w:r>
    </w:p>
    <w:p>
      <w:pPr>
        <w:spacing w:after="160" w:line="300"/>
      </w:pPr>
      <w:r>
        <w:rPr>
          <w:color w:val="263B4D"/>
          <w:sz w:val="21"/>
          <w:szCs w:val="21"/>
        </w:rPr>
        <w:t xml:space="preserve">Owner: Country Director / Programme Executive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DEC-DON-05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Uganda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1728</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91</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1.8</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2"/>
      </w:pPr>
      <w:r>
        <w:t xml:space="preserve">Results-Based Management — APPLICABLE</w:t>
      </w:r>
    </w:p>
    <w:p>
      <w:pPr>
        <w:spacing w:after="160" w:line="300"/>
      </w:pPr>
      <w:r>
        <w:rPr>
          <w:color w:val="263B4D"/>
          <w:sz w:val="21"/>
          <w:szCs w:val="21"/>
        </w:rPr>
        <w:t xml:space="preserve">Findings and recommendations are connected to outputs, outcomes and indicators.</w:t>
      </w:r>
    </w:p>
    <w:p>
      <w:pPr>
        <w:spacing w:after="160" w:line="300"/>
      </w:pPr>
      <w:r>
        <w:rPr>
          <w:color w:val="263B4D"/>
          <w:sz w:val="21"/>
          <w:szCs w:val="21"/>
        </w:rPr>
        <w:t xml:space="preserve">Criteria: Results chain, Indicators, Assumptions, Monitoring</w:t>
      </w:r>
    </w:p>
    <w:p>
      <w:pPr>
        <w:spacing w:after="160" w:line="300"/>
      </w:pPr>
      <w:r>
        <w:rPr>
          <w:color w:val="263B4D"/>
          <w:sz w:val="21"/>
          <w:szCs w:val="21"/>
        </w:rPr>
        <w:t xml:space="preserve">Limitation: Synthetic demonstration; no institutional endorsement.</w:t>
      </w:r>
    </w:p>
    <w:p>
      <w:pPr>
        <w:pStyle w:val="Heading2"/>
      </w:pPr>
      <w:r>
        <w:t xml:space="preserve">Theory of Change — APPLICABLE</w:t>
      </w:r>
    </w:p>
    <w:p>
      <w:pPr>
        <w:spacing w:after="160" w:line="300"/>
      </w:pPr>
      <w:r>
        <w:rPr>
          <w:color w:val="263B4D"/>
          <w:sz w:val="21"/>
          <w:szCs w:val="21"/>
        </w:rPr>
        <w:t xml:space="preserve">The report tests causal pathways, assumptions and risks without claiming unsupported attribution.</w:t>
      </w:r>
    </w:p>
    <w:p>
      <w:pPr>
        <w:spacing w:after="160" w:line="300"/>
      </w:pPr>
      <w:r>
        <w:rPr>
          <w:color w:val="263B4D"/>
          <w:sz w:val="21"/>
          <w:szCs w:val="21"/>
        </w:rPr>
        <w:t xml:space="preserve">Criteria: Inputs, Activities, Outputs, Outcomes, Impact, Assumptions</w:t>
      </w:r>
    </w:p>
    <w:p>
      <w:pPr>
        <w:spacing w:after="160" w:line="300"/>
      </w:pPr>
      <w:r>
        <w:rPr>
          <w:color w:val="263B4D"/>
          <w:sz w:val="21"/>
          <w:szCs w:val="21"/>
        </w:rPr>
        <w:t xml:space="preserve">Limitation: Synthetic demonstration; no institutional endorsement.</w:t>
      </w:r>
    </w:p>
    <w:p>
      <w:pPr>
        <w:pStyle w:val="Heading2"/>
      </w:pPr>
      <w:r>
        <w:t xml:space="preserve">OECD-DAC Evaluation Criteria — APPLICABLE</w:t>
      </w:r>
    </w:p>
    <w:p>
      <w:pPr>
        <w:spacing w:after="160" w:line="300"/>
      </w:pPr>
      <w:r>
        <w:rPr>
          <w:color w:val="263B4D"/>
          <w:sz w:val="21"/>
          <w:szCs w:val="21"/>
        </w:rPr>
        <w:t xml:space="preserve">The publication evaluates programme relevance, coherence and results.</w:t>
      </w:r>
    </w:p>
    <w:p>
      <w:pPr>
        <w:spacing w:after="160" w:line="300"/>
      </w:pPr>
      <w:r>
        <w:rPr>
          <w:color w:val="263B4D"/>
          <w:sz w:val="21"/>
          <w:szCs w:val="21"/>
        </w:rPr>
        <w:t xml:space="preserve">Criteria: Relevance, Coherence, Effectiveness, Efficiency, Impact, Sustainability</w:t>
      </w:r>
    </w:p>
    <w:p>
      <w:pPr>
        <w:spacing w:after="160" w:line="300"/>
      </w:pPr>
      <w:r>
        <w:rPr>
          <w:color w:val="263B4D"/>
          <w:sz w:val="21"/>
          <w:szCs w:val="21"/>
        </w:rPr>
        <w:t xml:space="preserve">Limitation: Synthetic demonstration; no institutional endorsement.</w:t>
      </w:r>
    </w:p>
    <w:p>
      <w:pPr>
        <w:pStyle w:val="Heading2"/>
      </w:pPr>
      <w:r>
        <w:t xml:space="preserve">UNEG Evaluation Norms and Standards — APPLICABLE</w:t>
      </w:r>
    </w:p>
    <w:p>
      <w:pPr>
        <w:spacing w:after="160" w:line="300"/>
      </w:pPr>
      <w:r>
        <w:rPr>
          <w:color w:val="263B4D"/>
          <w:sz w:val="21"/>
          <w:szCs w:val="21"/>
        </w:rPr>
        <w:t xml:space="preserve">The evaluation product documents credibility, ethics, utility and limitations.</w:t>
      </w:r>
    </w:p>
    <w:p>
      <w:pPr>
        <w:spacing w:after="160" w:line="300"/>
      </w:pPr>
      <w:r>
        <w:rPr>
          <w:color w:val="263B4D"/>
          <w:sz w:val="21"/>
          <w:szCs w:val="21"/>
        </w:rPr>
        <w:t xml:space="preserve">Criteria: Independence, Impartiality, Credibility, Utility, Ethics, Human rights and gender equality</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EVI-DON-001</w:t>
            </w:r>
          </w:p>
        </w:tc>
        <w:tc>
          <w:tcPr>
            <w:tcW w:type="pct" w:w="50%"/>
            <w:shd w:fill="FFFFFF" w:val="clear"/>
          </w:tcPr>
          <w:p>
            <w:r>
              <w:rPr>
                <w:b w:val="false"/>
                <w:bCs w:val="false"/>
                <w:color w:val="102A43"/>
                <w:sz w:val="20"/>
                <w:szCs w:val="20"/>
              </w:rPr>
              <w:t xml:space="preserve">SYN-DONO-0001 | 97%</w:t>
            </w:r>
          </w:p>
        </w:tc>
      </w:tr>
      <w:tr>
        <w:tc>
          <w:tcPr>
            <w:tcW w:type="pct" w:w="50%"/>
            <w:shd w:fill="FFFFFF" w:val="clear"/>
          </w:tcPr>
          <w:p>
            <w:r>
              <w:rPr>
                <w:b w:val="false"/>
                <w:bCs w:val="false"/>
                <w:color w:val="102A43"/>
                <w:sz w:val="20"/>
                <w:szCs w:val="20"/>
              </w:rPr>
              <w:t xml:space="preserve">EVI-DON-002</w:t>
            </w:r>
          </w:p>
        </w:tc>
        <w:tc>
          <w:tcPr>
            <w:tcW w:type="pct" w:w="50%"/>
            <w:shd w:fill="FFFFFF" w:val="clear"/>
          </w:tcPr>
          <w:p>
            <w:r>
              <w:rPr>
                <w:b w:val="false"/>
                <w:bCs w:val="false"/>
                <w:color w:val="102A43"/>
                <w:sz w:val="20"/>
                <w:szCs w:val="20"/>
              </w:rPr>
              <w:t xml:space="preserve">SYN-DONO-0002 | 98%</w:t>
            </w:r>
          </w:p>
        </w:tc>
      </w:tr>
      <w:tr>
        <w:tc>
          <w:tcPr>
            <w:tcW w:type="pct" w:w="50%"/>
            <w:shd w:fill="FFFFFF" w:val="clear"/>
          </w:tcPr>
          <w:p>
            <w:r>
              <w:rPr>
                <w:b w:val="false"/>
                <w:bCs w:val="false"/>
                <w:color w:val="102A43"/>
                <w:sz w:val="20"/>
                <w:szCs w:val="20"/>
              </w:rPr>
              <w:t xml:space="preserve">EVI-DON-003</w:t>
            </w:r>
          </w:p>
        </w:tc>
        <w:tc>
          <w:tcPr>
            <w:tcW w:type="pct" w:w="50%"/>
            <w:shd w:fill="FFFFFF" w:val="clear"/>
          </w:tcPr>
          <w:p>
            <w:r>
              <w:rPr>
                <w:b w:val="false"/>
                <w:bCs w:val="false"/>
                <w:color w:val="102A43"/>
                <w:sz w:val="20"/>
                <w:szCs w:val="20"/>
              </w:rPr>
              <w:t xml:space="preserve">SYN-DONO-0003 | 88%</w:t>
            </w:r>
          </w:p>
        </w:tc>
      </w:tr>
      <w:tr>
        <w:tc>
          <w:tcPr>
            <w:tcW w:type="pct" w:w="50%"/>
            <w:shd w:fill="FFFFFF" w:val="clear"/>
          </w:tcPr>
          <w:p>
            <w:r>
              <w:rPr>
                <w:b w:val="false"/>
                <w:bCs w:val="false"/>
                <w:color w:val="102A43"/>
                <w:sz w:val="20"/>
                <w:szCs w:val="20"/>
              </w:rPr>
              <w:t xml:space="preserve">EVI-DON-004</w:t>
            </w:r>
          </w:p>
        </w:tc>
        <w:tc>
          <w:tcPr>
            <w:tcW w:type="pct" w:w="50%"/>
            <w:shd w:fill="FFFFFF" w:val="clear"/>
          </w:tcPr>
          <w:p>
            <w:r>
              <w:rPr>
                <w:b w:val="false"/>
                <w:bCs w:val="false"/>
                <w:color w:val="102A43"/>
                <w:sz w:val="20"/>
                <w:szCs w:val="20"/>
              </w:rPr>
              <w:t xml:space="preserve">SYN-DONO-0004 | 89%</w:t>
            </w:r>
          </w:p>
        </w:tc>
      </w:tr>
      <w:tr>
        <w:tc>
          <w:tcPr>
            <w:tcW w:type="pct" w:w="50%"/>
            <w:shd w:fill="FFFFFF" w:val="clear"/>
          </w:tcPr>
          <w:p>
            <w:r>
              <w:rPr>
                <w:b w:val="false"/>
                <w:bCs w:val="false"/>
                <w:color w:val="102A43"/>
                <w:sz w:val="20"/>
                <w:szCs w:val="20"/>
              </w:rPr>
              <w:t xml:space="preserve">EVI-DON-005</w:t>
            </w:r>
          </w:p>
        </w:tc>
        <w:tc>
          <w:tcPr>
            <w:tcW w:type="pct" w:w="50%"/>
            <w:shd w:fill="FFFFFF" w:val="clear"/>
          </w:tcPr>
          <w:p>
            <w:r>
              <w:rPr>
                <w:b w:val="false"/>
                <w:bCs w:val="false"/>
                <w:color w:val="102A43"/>
                <w:sz w:val="20"/>
                <w:szCs w:val="20"/>
              </w:rPr>
              <w:t xml:space="preserve">SYN-DONO-0005 | 90%</w:t>
            </w:r>
          </w:p>
        </w:tc>
      </w:tr>
      <w:tr>
        <w:tc>
          <w:tcPr>
            <w:tcW w:type="pct" w:w="50%"/>
            <w:shd w:fill="FFFFFF" w:val="clear"/>
          </w:tcPr>
          <w:p>
            <w:r>
              <w:rPr>
                <w:b w:val="false"/>
                <w:bCs w:val="false"/>
                <w:color w:val="102A43"/>
                <w:sz w:val="20"/>
                <w:szCs w:val="20"/>
              </w:rPr>
              <w:t xml:space="preserve">EVI-DON-006</w:t>
            </w:r>
          </w:p>
        </w:tc>
        <w:tc>
          <w:tcPr>
            <w:tcW w:type="pct" w:w="50%"/>
            <w:shd w:fill="FFFFFF" w:val="clear"/>
          </w:tcPr>
          <w:p>
            <w:r>
              <w:rPr>
                <w:b w:val="false"/>
                <w:bCs w:val="false"/>
                <w:color w:val="102A43"/>
                <w:sz w:val="20"/>
                <w:szCs w:val="20"/>
              </w:rPr>
              <w:t xml:space="preserve">SYN-DONO-0006 | 91%</w:t>
            </w:r>
          </w:p>
        </w:tc>
      </w:tr>
      <w:tr>
        <w:tc>
          <w:tcPr>
            <w:tcW w:type="pct" w:w="50%"/>
            <w:shd w:fill="FFFFFF" w:val="clear"/>
          </w:tcPr>
          <w:p>
            <w:r>
              <w:rPr>
                <w:b w:val="false"/>
                <w:bCs w:val="false"/>
                <w:color w:val="102A43"/>
                <w:sz w:val="20"/>
                <w:szCs w:val="20"/>
              </w:rPr>
              <w:t xml:space="preserve">EVI-DON-007</w:t>
            </w:r>
          </w:p>
        </w:tc>
        <w:tc>
          <w:tcPr>
            <w:tcW w:type="pct" w:w="50%"/>
            <w:shd w:fill="FFFFFF" w:val="clear"/>
          </w:tcPr>
          <w:p>
            <w:r>
              <w:rPr>
                <w:b w:val="false"/>
                <w:bCs w:val="false"/>
                <w:color w:val="102A43"/>
                <w:sz w:val="20"/>
                <w:szCs w:val="20"/>
              </w:rPr>
              <w:t xml:space="preserve">SYN-DONO-0007 | 92%</w:t>
            </w:r>
          </w:p>
        </w:tc>
      </w:tr>
      <w:tr>
        <w:tc>
          <w:tcPr>
            <w:tcW w:type="pct" w:w="50%"/>
            <w:shd w:fill="FFFFFF" w:val="clear"/>
          </w:tcPr>
          <w:p>
            <w:r>
              <w:rPr>
                <w:b w:val="false"/>
                <w:bCs w:val="false"/>
                <w:color w:val="102A43"/>
                <w:sz w:val="20"/>
                <w:szCs w:val="20"/>
              </w:rPr>
              <w:t xml:space="preserve">EVI-DON-008</w:t>
            </w:r>
          </w:p>
        </w:tc>
        <w:tc>
          <w:tcPr>
            <w:tcW w:type="pct" w:w="50%"/>
            <w:shd w:fill="FFFFFF" w:val="clear"/>
          </w:tcPr>
          <w:p>
            <w:r>
              <w:rPr>
                <w:b w:val="false"/>
                <w:bCs w:val="false"/>
                <w:color w:val="102A43"/>
                <w:sz w:val="20"/>
                <w:szCs w:val="20"/>
              </w:rPr>
              <w:t xml:space="preserve">SYN-DONO-0008 | 93%</w:t>
            </w:r>
          </w:p>
        </w:tc>
      </w:tr>
      <w:tr>
        <w:tc>
          <w:tcPr>
            <w:tcW w:type="pct" w:w="50%"/>
            <w:shd w:fill="FFFFFF" w:val="clear"/>
          </w:tcPr>
          <w:p>
            <w:r>
              <w:rPr>
                <w:b w:val="false"/>
                <w:bCs w:val="false"/>
                <w:color w:val="102A43"/>
                <w:sz w:val="20"/>
                <w:szCs w:val="20"/>
              </w:rPr>
              <w:t xml:space="preserve">EVI-DON-009</w:t>
            </w:r>
          </w:p>
        </w:tc>
        <w:tc>
          <w:tcPr>
            <w:tcW w:type="pct" w:w="50%"/>
            <w:shd w:fill="FFFFFF" w:val="clear"/>
          </w:tcPr>
          <w:p>
            <w:r>
              <w:rPr>
                <w:b w:val="false"/>
                <w:bCs w:val="false"/>
                <w:color w:val="102A43"/>
                <w:sz w:val="20"/>
                <w:szCs w:val="20"/>
              </w:rPr>
              <w:t xml:space="preserve">SYN-DONO-0009 | 94%</w:t>
            </w:r>
          </w:p>
        </w:tc>
      </w:tr>
      <w:tr>
        <w:tc>
          <w:tcPr>
            <w:tcW w:type="pct" w:w="50%"/>
            <w:shd w:fill="FFFFFF" w:val="clear"/>
          </w:tcPr>
          <w:p>
            <w:r>
              <w:rPr>
                <w:b w:val="false"/>
                <w:bCs w:val="false"/>
                <w:color w:val="102A43"/>
                <w:sz w:val="20"/>
                <w:szCs w:val="20"/>
              </w:rPr>
              <w:t xml:space="preserve">EVI-DON-010</w:t>
            </w:r>
          </w:p>
        </w:tc>
        <w:tc>
          <w:tcPr>
            <w:tcW w:type="pct" w:w="50%"/>
            <w:shd w:fill="FFFFFF" w:val="clear"/>
          </w:tcPr>
          <w:p>
            <w:r>
              <w:rPr>
                <w:b w:val="false"/>
                <w:bCs w:val="false"/>
                <w:color w:val="102A43"/>
                <w:sz w:val="20"/>
                <w:szCs w:val="20"/>
              </w:rPr>
              <w:t xml:space="preserve">SYN-DONO-0010 | 95%</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VIA-FLAGSHIP-DONOR-IMPACT-EVALUATION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Donor Impact Evaluation Report</dc:title>
  <dc:creator>VoiceInsights Africa</dc:creator>
  <dc:description>Synthetic Demonstration Publication</dc:description>
  <cp:lastModifiedBy>Un-named</cp:lastModifiedBy>
  <cp:revision>1</cp:revision>
  <dcterms:created xsi:type="dcterms:W3CDTF">2026-07-12T22:51:24.560Z</dcterms:created>
  <dcterms:modified xsi:type="dcterms:W3CDTF">2026-07-12T22:51:24.560Z</dcterms:modified>
</cp:coreProperties>
</file>

<file path=docProps/custom.xml><?xml version="1.0" encoding="utf-8"?>
<Properties xmlns="http://schemas.openxmlformats.org/officeDocument/2006/custom-properties" xmlns:vt="http://schemas.openxmlformats.org/officeDocument/2006/docPropsVTypes"/>
</file>