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082b55"/>
          <w:sz w:val="48"/>
          <w:szCs w:val="48"/>
        </w:rPr>
        <w:t xml:space="preserve">Government Policy Intelligence Report</w:t>
      </w:r>
    </w:p>
    <w:p>
      <w:pPr>
        <w:jc w:val="center"/>
      </w:pPr>
      <w:r>
        <w:rPr>
          <w:color w:val="52667A"/>
          <w:sz w:val="24"/>
          <w:szCs w:val="24"/>
        </w:rPr>
        <w:t xml:space="preserve">Kenya | Public Service Delivery</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public service delivery performance in Kenya.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Issue a cabinet delivery directive with named accountabilities for public service delivery.</w:t>
      </w:r>
    </w:p>
    <w:p>
      <w:pPr>
        <w:pStyle w:val="ListParagraph"/>
        <w:numPr>
          <w:ilvl w:val="0"/>
          <w:numId w:val="1"/>
        </w:numPr>
        <w:spacing w:after="100"/>
      </w:pPr>
      <w:r>
        <w:t xml:space="preserve">Simplify the highest-burden service procedures for public service delivery.</w:t>
      </w:r>
    </w:p>
    <w:p>
      <w:pPr>
        <w:pStyle w:val="ListParagraph"/>
        <w:numPr>
          <w:ilvl w:val="0"/>
          <w:numId w:val="1"/>
        </w:numPr>
        <w:spacing w:after="100"/>
      </w:pPr>
      <w:r>
        <w:t xml:space="preserve">Deploy county implementation support teams for public service delivery.</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4629</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85</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FND-GOV-01 — Critical finding 1: policy reach</w:t>
      </w:r>
    </w:p>
    <w:p>
      <w:pPr>
        <w:spacing w:after="160" w:line="300"/>
      </w:pPr>
      <w:r>
        <w:rPr>
          <w:color w:val="263B4D"/>
          <w:sz w:val="21"/>
          <w:szCs w:val="21"/>
        </w:rPr>
        <w:t xml:space="preserve">Across Kenya's synthetic study areas, policy reach is the clearest differentiator of public service delivery performance. The evidence is strongest in Nairobi Metro,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EVI-GOV-001, EVI-GOV-004 | Confidence 90.5%</w:t>
      </w:r>
    </w:p>
    <w:p>
      <w:pPr>
        <w:pStyle w:val="Heading2"/>
      </w:pPr>
      <w:r>
        <w:t xml:space="preserve">FND-GOV-02 — Critical finding 2: administrative burden</w:t>
      </w:r>
    </w:p>
    <w:p>
      <w:pPr>
        <w:spacing w:after="160" w:line="300"/>
      </w:pPr>
      <w:r>
        <w:rPr>
          <w:color w:val="263B4D"/>
          <w:sz w:val="21"/>
          <w:szCs w:val="21"/>
        </w:rPr>
        <w:t xml:space="preserve">Across Kenya's synthetic study areas, administrative burden is the clearest differentiator of public service delivery performance. The evidence is strongest in Coast Counties,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EVI-GOV-002, EVI-GOV-005 | Confidence 91.5%</w:t>
      </w:r>
    </w:p>
    <w:p>
      <w:pPr>
        <w:pStyle w:val="Heading2"/>
      </w:pPr>
      <w:r>
        <w:t xml:space="preserve">FND-GOV-03 — Critical finding 3: county implementation variance</w:t>
      </w:r>
    </w:p>
    <w:p>
      <w:pPr>
        <w:spacing w:after="160" w:line="300"/>
      </w:pPr>
      <w:r>
        <w:rPr>
          <w:color w:val="263B4D"/>
          <w:sz w:val="21"/>
          <w:szCs w:val="21"/>
        </w:rPr>
        <w:t xml:space="preserve">Across Kenya's synthetic study areas, county implementation variance is the clearest differentiator of public service delivery performance. The evidence is strongest in Western Counties,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EVI-GOV-003, EVI-GOV-006 | Confidence 92.5%</w:t>
      </w:r>
    </w:p>
    <w:p>
      <w:pPr>
        <w:pStyle w:val="Heading2"/>
      </w:pPr>
      <w:r>
        <w:t xml:space="preserve">FND-GOV-04 — Critical finding 4: citizen trust</w:t>
      </w:r>
    </w:p>
    <w:p>
      <w:pPr>
        <w:spacing w:after="160" w:line="300"/>
      </w:pPr>
      <w:r>
        <w:rPr>
          <w:color w:val="263B4D"/>
          <w:sz w:val="21"/>
          <w:szCs w:val="21"/>
        </w:rPr>
        <w:t xml:space="preserve">Across Kenya's synthetic study areas, citizen trust is the clearest differentiator of public service delivery performance. The evidence is strongest in Arid and Semi-Arid Counties,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EVI-GOV-004, EVI-GOV-007 | Confidence 93.5%</w:t>
      </w:r>
    </w:p>
    <w:p>
      <w:pPr>
        <w:pStyle w:val="Heading2"/>
      </w:pPr>
      <w:r>
        <w:t xml:space="preserve">FND-GOV-05 — Critical finding 5: grievance resolution</w:t>
      </w:r>
    </w:p>
    <w:p>
      <w:pPr>
        <w:spacing w:after="160" w:line="300"/>
      </w:pPr>
      <w:r>
        <w:rPr>
          <w:color w:val="263B4D"/>
          <w:sz w:val="21"/>
          <w:szCs w:val="21"/>
        </w:rPr>
        <w:t xml:space="preserve">Across Kenya's synthetic study areas, grievance resolution is the clearest differentiator of public service delivery performance. The evidence is strongest in Nairobi Metro,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EVI-GOV-005, EVI-GOV-008 | Confidence 94.5%</w:t>
      </w:r>
    </w:p>
    <w:p>
      <w:pPr>
        <w:pStyle w:val="Heading1"/>
        <w:pageBreakBefore/>
      </w:pPr>
      <w:r>
        <w:t xml:space="preserve">Decision Intelligence</w:t>
      </w:r>
    </w:p>
    <w:p>
      <w:pPr>
        <w:pStyle w:val="Heading2"/>
      </w:pPr>
      <w:r>
        <w:t xml:space="preserve">DEC-GOV-01 — CRITICAL</w:t>
      </w:r>
    </w:p>
    <w:p>
      <w:pPr>
        <w:spacing w:after="160" w:line="300"/>
      </w:pPr>
      <w:r>
        <w:rPr>
          <w:color w:val="263B4D"/>
          <w:sz w:val="21"/>
          <w:szCs w:val="21"/>
        </w:rPr>
        <w:t xml:space="preserve">Issue a cabinet delivery directive with named accountabilities for public service delivery.</w:t>
      </w:r>
    </w:p>
    <w:p>
      <w:pPr>
        <w:spacing w:after="160" w:line="300"/>
      </w:pPr>
      <w:r>
        <w:rPr>
          <w:color w:val="263B4D"/>
          <w:sz w:val="21"/>
          <w:szCs w:val="21"/>
        </w:rPr>
        <w:t xml:space="preserve">Owner: Permanent Secretary | Timeline: 0–90 days | Budget: Medium — detailed costing and fiduciary review required</w:t>
      </w:r>
    </w:p>
    <w:p>
      <w:pPr>
        <w:spacing w:after="160" w:line="300"/>
      </w:pPr>
      <w:r>
        <w:rPr>
          <w:color w:val="263B4D"/>
          <w:sz w:val="21"/>
          <w:szCs w:val="21"/>
        </w:rPr>
        <w:t xml:space="preserve">Monitoring indicator: Percentage of agreed milestones completed for DEC-GOV-01</w:t>
      </w:r>
    </w:p>
    <w:p>
      <w:pPr>
        <w:pStyle w:val="Heading2"/>
      </w:pPr>
      <w:r>
        <w:t xml:space="preserve">DEC-GOV-02 — CRITICAL</w:t>
      </w:r>
    </w:p>
    <w:p>
      <w:pPr>
        <w:spacing w:after="160" w:line="300"/>
      </w:pPr>
      <w:r>
        <w:rPr>
          <w:color w:val="263B4D"/>
          <w:sz w:val="21"/>
          <w:szCs w:val="21"/>
        </w:rPr>
        <w:t xml:space="preserve">Simplify the highest-burden service procedures for public service delivery.</w:t>
      </w:r>
    </w:p>
    <w:p>
      <w:pPr>
        <w:spacing w:after="160" w:line="300"/>
      </w:pPr>
      <w:r>
        <w:rPr>
          <w:color w:val="263B4D"/>
          <w:sz w:val="21"/>
          <w:szCs w:val="21"/>
        </w:rPr>
        <w:t xml:space="preserve">Owner: Permanent Secretary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DEC-GOV-02</w:t>
      </w:r>
    </w:p>
    <w:p>
      <w:pPr>
        <w:pStyle w:val="Heading2"/>
      </w:pPr>
      <w:r>
        <w:t xml:space="preserve">DEC-GOV-03 — HIGH</w:t>
      </w:r>
    </w:p>
    <w:p>
      <w:pPr>
        <w:spacing w:after="160" w:line="300"/>
      </w:pPr>
      <w:r>
        <w:rPr>
          <w:color w:val="263B4D"/>
          <w:sz w:val="21"/>
          <w:szCs w:val="21"/>
        </w:rPr>
        <w:t xml:space="preserve">Deploy county implementation support teams for public service delivery.</w:t>
      </w:r>
    </w:p>
    <w:p>
      <w:pPr>
        <w:spacing w:after="160" w:line="300"/>
      </w:pPr>
      <w:r>
        <w:rPr>
          <w:color w:val="263B4D"/>
          <w:sz w:val="21"/>
          <w:szCs w:val="21"/>
        </w:rPr>
        <w:t xml:space="preserve">Owner: Permanent Secretary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DEC-GOV-03</w:t>
      </w:r>
    </w:p>
    <w:p>
      <w:pPr>
        <w:pStyle w:val="Heading2"/>
      </w:pPr>
      <w:r>
        <w:t xml:space="preserve">DEC-GOV-04 — HIGH</w:t>
      </w:r>
    </w:p>
    <w:p>
      <w:pPr>
        <w:spacing w:after="160" w:line="300"/>
      </w:pPr>
      <w:r>
        <w:rPr>
          <w:color w:val="263B4D"/>
          <w:sz w:val="21"/>
          <w:szCs w:val="21"/>
        </w:rPr>
        <w:t xml:space="preserve">Publish a citizen trust and service recovery dashboard for public service delivery.</w:t>
      </w:r>
    </w:p>
    <w:p>
      <w:pPr>
        <w:spacing w:after="160" w:line="300"/>
      </w:pPr>
      <w:r>
        <w:rPr>
          <w:color w:val="263B4D"/>
          <w:sz w:val="21"/>
          <w:szCs w:val="21"/>
        </w:rPr>
        <w:t xml:space="preserve">Owner: Permanent Secretary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DEC-GOV-04</w:t>
      </w:r>
    </w:p>
    <w:p>
      <w:pPr>
        <w:pStyle w:val="Heading2"/>
      </w:pPr>
      <w:r>
        <w:t xml:space="preserve">DEC-GOV-05 — MEDIUM</w:t>
      </w:r>
    </w:p>
    <w:p>
      <w:pPr>
        <w:spacing w:after="160" w:line="300"/>
      </w:pPr>
      <w:r>
        <w:rPr>
          <w:color w:val="263B4D"/>
          <w:sz w:val="21"/>
          <w:szCs w:val="21"/>
        </w:rPr>
        <w:t xml:space="preserve">Set statutory grievance-resolution service levels for public service delivery.</w:t>
      </w:r>
    </w:p>
    <w:p>
      <w:pPr>
        <w:spacing w:after="160" w:line="300"/>
      </w:pPr>
      <w:r>
        <w:rPr>
          <w:color w:val="263B4D"/>
          <w:sz w:val="21"/>
          <w:szCs w:val="21"/>
        </w:rPr>
        <w:t xml:space="preserve">Owner: Permanent Secretary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DEC-GOV-05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Kenya</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4629</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85</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1.8</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Results-Based Management — APPLICABLE</w:t>
      </w:r>
    </w:p>
    <w:p>
      <w:pPr>
        <w:spacing w:after="160" w:line="300"/>
      </w:pPr>
      <w:r>
        <w:rPr>
          <w:color w:val="263B4D"/>
          <w:sz w:val="21"/>
          <w:szCs w:val="21"/>
        </w:rPr>
        <w:t xml:space="preserve">Findings and recommendations are connected to outputs, outcomes and indicators.</w:t>
      </w:r>
    </w:p>
    <w:p>
      <w:pPr>
        <w:spacing w:after="160" w:line="300"/>
      </w:pPr>
      <w:r>
        <w:rPr>
          <w:color w:val="263B4D"/>
          <w:sz w:val="21"/>
          <w:szCs w:val="21"/>
        </w:rPr>
        <w:t xml:space="preserve">Criteria: Results chain, Indicators, Assumptions, Monitoring</w:t>
      </w:r>
    </w:p>
    <w:p>
      <w:pPr>
        <w:spacing w:after="160" w:line="300"/>
      </w:pPr>
      <w:r>
        <w:rPr>
          <w:color w:val="263B4D"/>
          <w:sz w:val="21"/>
          <w:szCs w:val="21"/>
        </w:rPr>
        <w:t xml:space="preserve">Limitation: Synthetic demonstration; no institutional endorsement.</w:t>
      </w:r>
    </w:p>
    <w:p>
      <w:pPr>
        <w:pStyle w:val="Heading2"/>
      </w:pPr>
      <w:r>
        <w:t xml:space="preserve">Theory of Change — APPLICABLE</w:t>
      </w:r>
    </w:p>
    <w:p>
      <w:pPr>
        <w:spacing w:after="160" w:line="300"/>
      </w:pPr>
      <w:r>
        <w:rPr>
          <w:color w:val="263B4D"/>
          <w:sz w:val="21"/>
          <w:szCs w:val="21"/>
        </w:rPr>
        <w:t xml:space="preserve">The report tests causal pathways, assumptions and risks without claiming unsupported attribution.</w:t>
      </w:r>
    </w:p>
    <w:p>
      <w:pPr>
        <w:spacing w:after="160" w:line="300"/>
      </w:pPr>
      <w:r>
        <w:rPr>
          <w:color w:val="263B4D"/>
          <w:sz w:val="21"/>
          <w:szCs w:val="21"/>
        </w:rPr>
        <w:t xml:space="preserve">Criteria: Inputs, Activities, Outputs, Outcomes, Impact, Assumptions</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EVI-GOV-001</w:t>
            </w:r>
          </w:p>
        </w:tc>
        <w:tc>
          <w:tcPr>
            <w:tcW w:type="pct" w:w="50%"/>
            <w:shd w:fill="FFFFFF" w:val="clear"/>
          </w:tcPr>
          <w:p>
            <w:r>
              <w:rPr>
                <w:b w:val="false"/>
                <w:bCs w:val="false"/>
                <w:color w:val="102A43"/>
                <w:sz w:val="20"/>
                <w:szCs w:val="20"/>
              </w:rPr>
              <w:t xml:space="preserve">SYN-GOVE-0001 | 89%</w:t>
            </w:r>
          </w:p>
        </w:tc>
      </w:tr>
      <w:tr>
        <w:tc>
          <w:tcPr>
            <w:tcW w:type="pct" w:w="50%"/>
            <w:shd w:fill="FFFFFF" w:val="clear"/>
          </w:tcPr>
          <w:p>
            <w:r>
              <w:rPr>
                <w:b w:val="false"/>
                <w:bCs w:val="false"/>
                <w:color w:val="102A43"/>
                <w:sz w:val="20"/>
                <w:szCs w:val="20"/>
              </w:rPr>
              <w:t xml:space="preserve">EVI-GOV-002</w:t>
            </w:r>
          </w:p>
        </w:tc>
        <w:tc>
          <w:tcPr>
            <w:tcW w:type="pct" w:w="50%"/>
            <w:shd w:fill="FFFFFF" w:val="clear"/>
          </w:tcPr>
          <w:p>
            <w:r>
              <w:rPr>
                <w:b w:val="false"/>
                <w:bCs w:val="false"/>
                <w:color w:val="102A43"/>
                <w:sz w:val="20"/>
                <w:szCs w:val="20"/>
              </w:rPr>
              <w:t xml:space="preserve">SYN-GOVE-0002 | 90%</w:t>
            </w:r>
          </w:p>
        </w:tc>
      </w:tr>
      <w:tr>
        <w:tc>
          <w:tcPr>
            <w:tcW w:type="pct" w:w="50%"/>
            <w:shd w:fill="FFFFFF" w:val="clear"/>
          </w:tcPr>
          <w:p>
            <w:r>
              <w:rPr>
                <w:b w:val="false"/>
                <w:bCs w:val="false"/>
                <w:color w:val="102A43"/>
                <w:sz w:val="20"/>
                <w:szCs w:val="20"/>
              </w:rPr>
              <w:t xml:space="preserve">EVI-GOV-003</w:t>
            </w:r>
          </w:p>
        </w:tc>
        <w:tc>
          <w:tcPr>
            <w:tcW w:type="pct" w:w="50%"/>
            <w:shd w:fill="FFFFFF" w:val="clear"/>
          </w:tcPr>
          <w:p>
            <w:r>
              <w:rPr>
                <w:b w:val="false"/>
                <w:bCs w:val="false"/>
                <w:color w:val="102A43"/>
                <w:sz w:val="20"/>
                <w:szCs w:val="20"/>
              </w:rPr>
              <w:t xml:space="preserve">SYN-GOVE-0003 | 91%</w:t>
            </w:r>
          </w:p>
        </w:tc>
      </w:tr>
      <w:tr>
        <w:tc>
          <w:tcPr>
            <w:tcW w:type="pct" w:w="50%"/>
            <w:shd w:fill="FFFFFF" w:val="clear"/>
          </w:tcPr>
          <w:p>
            <w:r>
              <w:rPr>
                <w:b w:val="false"/>
                <w:bCs w:val="false"/>
                <w:color w:val="102A43"/>
                <w:sz w:val="20"/>
                <w:szCs w:val="20"/>
              </w:rPr>
              <w:t xml:space="preserve">EVI-GOV-004</w:t>
            </w:r>
          </w:p>
        </w:tc>
        <w:tc>
          <w:tcPr>
            <w:tcW w:type="pct" w:w="50%"/>
            <w:shd w:fill="FFFFFF" w:val="clear"/>
          </w:tcPr>
          <w:p>
            <w:r>
              <w:rPr>
                <w:b w:val="false"/>
                <w:bCs w:val="false"/>
                <w:color w:val="102A43"/>
                <w:sz w:val="20"/>
                <w:szCs w:val="20"/>
              </w:rPr>
              <w:t xml:space="preserve">SYN-GOVE-0004 | 92%</w:t>
            </w:r>
          </w:p>
        </w:tc>
      </w:tr>
      <w:tr>
        <w:tc>
          <w:tcPr>
            <w:tcW w:type="pct" w:w="50%"/>
            <w:shd w:fill="FFFFFF" w:val="clear"/>
          </w:tcPr>
          <w:p>
            <w:r>
              <w:rPr>
                <w:b w:val="false"/>
                <w:bCs w:val="false"/>
                <w:color w:val="102A43"/>
                <w:sz w:val="20"/>
                <w:szCs w:val="20"/>
              </w:rPr>
              <w:t xml:space="preserve">EVI-GOV-005</w:t>
            </w:r>
          </w:p>
        </w:tc>
        <w:tc>
          <w:tcPr>
            <w:tcW w:type="pct" w:w="50%"/>
            <w:shd w:fill="FFFFFF" w:val="clear"/>
          </w:tcPr>
          <w:p>
            <w:r>
              <w:rPr>
                <w:b w:val="false"/>
                <w:bCs w:val="false"/>
                <w:color w:val="102A43"/>
                <w:sz w:val="20"/>
                <w:szCs w:val="20"/>
              </w:rPr>
              <w:t xml:space="preserve">SYN-GOVE-0005 | 93%</w:t>
            </w:r>
          </w:p>
        </w:tc>
      </w:tr>
      <w:tr>
        <w:tc>
          <w:tcPr>
            <w:tcW w:type="pct" w:w="50%"/>
            <w:shd w:fill="FFFFFF" w:val="clear"/>
          </w:tcPr>
          <w:p>
            <w:r>
              <w:rPr>
                <w:b w:val="false"/>
                <w:bCs w:val="false"/>
                <w:color w:val="102A43"/>
                <w:sz w:val="20"/>
                <w:szCs w:val="20"/>
              </w:rPr>
              <w:t xml:space="preserve">EVI-GOV-006</w:t>
            </w:r>
          </w:p>
        </w:tc>
        <w:tc>
          <w:tcPr>
            <w:tcW w:type="pct" w:w="50%"/>
            <w:shd w:fill="FFFFFF" w:val="clear"/>
          </w:tcPr>
          <w:p>
            <w:r>
              <w:rPr>
                <w:b w:val="false"/>
                <w:bCs w:val="false"/>
                <w:color w:val="102A43"/>
                <w:sz w:val="20"/>
                <w:szCs w:val="20"/>
              </w:rPr>
              <w:t xml:space="preserve">SYN-GOVE-0006 | 94%</w:t>
            </w:r>
          </w:p>
        </w:tc>
      </w:tr>
      <w:tr>
        <w:tc>
          <w:tcPr>
            <w:tcW w:type="pct" w:w="50%"/>
            <w:shd w:fill="FFFFFF" w:val="clear"/>
          </w:tcPr>
          <w:p>
            <w:r>
              <w:rPr>
                <w:b w:val="false"/>
                <w:bCs w:val="false"/>
                <w:color w:val="102A43"/>
                <w:sz w:val="20"/>
                <w:szCs w:val="20"/>
              </w:rPr>
              <w:t xml:space="preserve">EVI-GOV-007</w:t>
            </w:r>
          </w:p>
        </w:tc>
        <w:tc>
          <w:tcPr>
            <w:tcW w:type="pct" w:w="50%"/>
            <w:shd w:fill="FFFFFF" w:val="clear"/>
          </w:tcPr>
          <w:p>
            <w:r>
              <w:rPr>
                <w:b w:val="false"/>
                <w:bCs w:val="false"/>
                <w:color w:val="102A43"/>
                <w:sz w:val="20"/>
                <w:szCs w:val="20"/>
              </w:rPr>
              <w:t xml:space="preserve">SYN-GOVE-0007 | 95%</w:t>
            </w:r>
          </w:p>
        </w:tc>
      </w:tr>
      <w:tr>
        <w:tc>
          <w:tcPr>
            <w:tcW w:type="pct" w:w="50%"/>
            <w:shd w:fill="FFFFFF" w:val="clear"/>
          </w:tcPr>
          <w:p>
            <w:r>
              <w:rPr>
                <w:b w:val="false"/>
                <w:bCs w:val="false"/>
                <w:color w:val="102A43"/>
                <w:sz w:val="20"/>
                <w:szCs w:val="20"/>
              </w:rPr>
              <w:t xml:space="preserve">EVI-GOV-008</w:t>
            </w:r>
          </w:p>
        </w:tc>
        <w:tc>
          <w:tcPr>
            <w:tcW w:type="pct" w:w="50%"/>
            <w:shd w:fill="FFFFFF" w:val="clear"/>
          </w:tcPr>
          <w:p>
            <w:r>
              <w:rPr>
                <w:b w:val="false"/>
                <w:bCs w:val="false"/>
                <w:color w:val="102A43"/>
                <w:sz w:val="20"/>
                <w:szCs w:val="20"/>
              </w:rPr>
              <w:t xml:space="preserve">SYN-GOVE-0008 | 96%</w:t>
            </w:r>
          </w:p>
        </w:tc>
      </w:tr>
      <w:tr>
        <w:tc>
          <w:tcPr>
            <w:tcW w:type="pct" w:w="50%"/>
            <w:shd w:fill="FFFFFF" w:val="clear"/>
          </w:tcPr>
          <w:p>
            <w:r>
              <w:rPr>
                <w:b w:val="false"/>
                <w:bCs w:val="false"/>
                <w:color w:val="102A43"/>
                <w:sz w:val="20"/>
                <w:szCs w:val="20"/>
              </w:rPr>
              <w:t xml:space="preserve">EVI-GOV-009</w:t>
            </w:r>
          </w:p>
        </w:tc>
        <w:tc>
          <w:tcPr>
            <w:tcW w:type="pct" w:w="50%"/>
            <w:shd w:fill="FFFFFF" w:val="clear"/>
          </w:tcPr>
          <w:p>
            <w:r>
              <w:rPr>
                <w:b w:val="false"/>
                <w:bCs w:val="false"/>
                <w:color w:val="102A43"/>
                <w:sz w:val="20"/>
                <w:szCs w:val="20"/>
              </w:rPr>
              <w:t xml:space="preserve">SYN-GOVE-0009 | 97%</w:t>
            </w:r>
          </w:p>
        </w:tc>
      </w:tr>
      <w:tr>
        <w:tc>
          <w:tcPr>
            <w:tcW w:type="pct" w:w="50%"/>
            <w:shd w:fill="FFFFFF" w:val="clear"/>
          </w:tcPr>
          <w:p>
            <w:r>
              <w:rPr>
                <w:b w:val="false"/>
                <w:bCs w:val="false"/>
                <w:color w:val="102A43"/>
                <w:sz w:val="20"/>
                <w:szCs w:val="20"/>
              </w:rPr>
              <w:t xml:space="preserve">EVI-GOV-010</w:t>
            </w:r>
          </w:p>
        </w:tc>
        <w:tc>
          <w:tcPr>
            <w:tcW w:type="pct" w:w="50%"/>
            <w:shd w:fill="FFFFFF" w:val="clear"/>
          </w:tcPr>
          <w:p>
            <w:r>
              <w:rPr>
                <w:b w:val="false"/>
                <w:bCs w:val="false"/>
                <w:color w:val="102A43"/>
                <w:sz w:val="20"/>
                <w:szCs w:val="20"/>
              </w:rPr>
              <w:t xml:space="preserve">SYN-GOVE-0010 | 98%</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VIA-FLAGSHIP-GOVERNMENT-POLICY-INTELLIGENCE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Policy Intelligence Report</dc:title>
  <dc:creator>VoiceInsights Africa</dc:creator>
  <dc:description>Synthetic Demonstration Publication</dc:description>
  <cp:lastModifiedBy>Un-named</cp:lastModifiedBy>
  <cp:revision>1</cp:revision>
  <dcterms:created xsi:type="dcterms:W3CDTF">2026-07-12T22:51:24.695Z</dcterms:created>
  <dcterms:modified xsi:type="dcterms:W3CDTF">2026-07-12T22:51:24.695Z</dcterms:modified>
</cp:coreProperties>
</file>

<file path=docProps/custom.xml><?xml version="1.0" encoding="utf-8"?>
<Properties xmlns="http://schemas.openxmlformats.org/officeDocument/2006/custom-properties" xmlns:vt="http://schemas.openxmlformats.org/officeDocument/2006/docPropsVTypes"/>
</file>