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drawing>
          <wp:inline distT="0" distB="0" distL="0" distR="0">
            <wp:extent cx="114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800100"/>
                    </a:xfrm>
                    <a:prstGeom prst="rect">
                      <a:avLst/>
                    </a:prstGeom>
                  </pic:spPr>
                </pic:pic>
              </a:graphicData>
            </a:graphic>
          </wp:inline>
        </w:drawing>
      </w:r>
    </w:p>
    <w:p>
      <w:pPr>
        <w:jc w:val="center"/>
      </w:pPr>
      <w:r>
        <w:rPr>
          <w:b/>
          <w:bCs/>
          <w:color w:val="07883F"/>
          <w:sz w:val="24"/>
          <w:szCs w:val="24"/>
        </w:rPr>
        <w:t xml:space="preserve">VOICEINSIGHTS AFRICA</w:t>
      </w:r>
    </w:p>
    <w:p>
      <w:pPr>
        <w:spacing w:after="300" w:before="1500"/>
        <w:jc w:val="center"/>
      </w:pPr>
      <w:r>
        <w:rPr>
          <w:b/>
          <w:bCs/>
          <w:color w:val="102a43"/>
          <w:sz w:val="48"/>
          <w:szCs w:val="48"/>
        </w:rPr>
        <w:t xml:space="preserve">Market Intelligence Report</w:t>
      </w:r>
    </w:p>
    <w:p>
      <w:pPr>
        <w:jc w:val="center"/>
      </w:pPr>
      <w:r>
        <w:rPr>
          <w:color w:val="52667A"/>
          <w:sz w:val="24"/>
          <w:szCs w:val="24"/>
        </w:rPr>
        <w:t xml:space="preserve">Ghana | Digital Financial Services</w:t>
      </w:r>
    </w:p>
    <w:p>
      <w:pPr>
        <w:spacing w:before="1000"/>
        <w:jc w:val="center"/>
      </w:pPr>
      <w:r>
        <w:rPr>
          <w:b/>
          <w:bCs/>
          <w:color w:val="B07D00"/>
          <w:sz w:val="20"/>
          <w:szCs w:val="20"/>
        </w:rPr>
        <w:t xml:space="preserve">Synthetic Demonstration Publication</w:t>
      </w:r>
    </w:p>
    <w:p>
      <w:pPr>
        <w:jc w:val="center"/>
      </w:pPr>
      <w:r>
        <w:rPr>
          <w:sz w:val="18"/>
          <w:szCs w:val="18"/>
        </w:rPr>
        <w:t xml:space="preserve">Prepared by VoiceInsights Africa | Every Voice. Every Language. Every Insight.</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Executive Intelligence Book</w:t>
      </w:r>
    </w:p>
    <w:p>
      <w:pPr>
        <w:spacing w:after="160" w:line="300"/>
      </w:pPr>
      <w:r>
        <w:rPr>
          <w:color w:val="263B4D"/>
          <w:sz w:val="21"/>
          <w:szCs w:val="21"/>
        </w:rPr>
        <w:t xml:space="preserve">This flagship synthetic demonstration publication examines digital financial services performance in Ghana. The governed evidence model identifies uneven progress, concentrated risks and actionable opportunities. Findings are linked to synthetic source records, recommendations carry named accountability fields, and all statistical claims are generated from one internally consistent dataset.</w:t>
      </w:r>
    </w:p>
    <w:p>
      <w:pPr>
        <w:pStyle w:val="Heading2"/>
      </w:pPr>
      <w:r>
        <w:t xml:space="preserve">Decision snapshot</w:t>
      </w:r>
    </w:p>
    <w:p>
      <w:pPr>
        <w:pStyle w:val="ListParagraph"/>
        <w:numPr>
          <w:ilvl w:val="0"/>
          <w:numId w:val="1"/>
        </w:numPr>
        <w:spacing w:after="100"/>
      </w:pPr>
      <w:r>
        <w:t xml:space="preserve">Prioritise the two highest-value underserved segments for digital financial services.</w:t>
      </w:r>
    </w:p>
    <w:p>
      <w:pPr>
        <w:pStyle w:val="ListParagraph"/>
        <w:numPr>
          <w:ilvl w:val="0"/>
          <w:numId w:val="1"/>
        </w:numPr>
        <w:spacing w:after="100"/>
      </w:pPr>
      <w:r>
        <w:t xml:space="preserve">Test segment-specific pricing and propositions for digital financial services.</w:t>
      </w:r>
    </w:p>
    <w:p>
      <w:pPr>
        <w:pStyle w:val="ListParagraph"/>
        <w:numPr>
          <w:ilvl w:val="0"/>
          <w:numId w:val="1"/>
        </w:numPr>
        <w:spacing w:after="100"/>
      </w:pPr>
      <w:r>
        <w:t xml:space="preserve">Build visible privacy and fraud-protection signals for digital financial services.</w:t>
      </w:r>
    </w:p>
    <w:p>
      <w:pPr>
        <w:pStyle w:val="Heading2"/>
      </w:pPr>
      <w:r>
        <w:t xml:space="preserve">Executive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Metric</w:t>
            </w:r>
          </w:p>
        </w:tc>
        <w:tc>
          <w:tcPr>
            <w:tcW w:type="pct" w:w="50%"/>
            <w:shd w:fill="DCEFE5" w:val="clear"/>
          </w:tcPr>
          <w:p>
            <w:r>
              <w:rPr>
                <w:b/>
                <w:bCs/>
                <w:color w:val="102A43"/>
                <w:sz w:val="20"/>
                <w:szCs w:val="20"/>
              </w:rPr>
              <w:t xml:space="preserve">Value</w:t>
            </w:r>
          </w:p>
        </w:tc>
      </w:tr>
      <w:tr>
        <w:tc>
          <w:tcPr>
            <w:tcW w:type="pct" w:w="50%"/>
            <w:shd w:fill="FFFFFF" w:val="clear"/>
          </w:tcPr>
          <w:p>
            <w:r>
              <w:rPr>
                <w:b w:val="false"/>
                <w:bCs w:val="false"/>
                <w:color w:val="102A43"/>
                <w:sz w:val="20"/>
                <w:szCs w:val="20"/>
              </w:rPr>
              <w:t xml:space="preserve">sample size</w:t>
            </w:r>
          </w:p>
        </w:tc>
        <w:tc>
          <w:tcPr>
            <w:tcW w:type="pct" w:w="50%"/>
            <w:shd w:fill="FFFFFF" w:val="clear"/>
          </w:tcPr>
          <w:p>
            <w:r>
              <w:rPr>
                <w:b w:val="false"/>
                <w:bCs w:val="false"/>
                <w:color w:val="102A43"/>
                <w:sz w:val="20"/>
                <w:szCs w:val="20"/>
              </w:rPr>
              <w:t xml:space="preserve">2398</w:t>
            </w:r>
          </w:p>
        </w:tc>
      </w:tr>
      <w:tr>
        <w:tc>
          <w:tcPr>
            <w:tcW w:type="pct" w:w="50%"/>
            <w:shd w:fill="FFFFFF" w:val="clear"/>
          </w:tcPr>
          <w:p>
            <w:r>
              <w:rPr>
                <w:b w:val="false"/>
                <w:bCs w:val="false"/>
                <w:color w:val="102A43"/>
                <w:sz w:val="20"/>
                <w:szCs w:val="20"/>
              </w:rPr>
              <w:t xml:space="preserve">response rate</w:t>
            </w:r>
          </w:p>
        </w:tc>
        <w:tc>
          <w:tcPr>
            <w:tcW w:type="pct" w:w="50%"/>
            <w:shd w:fill="FFFFFF" w:val="clear"/>
          </w:tcPr>
          <w:p>
            <w:r>
              <w:rPr>
                <w:b w:val="false"/>
                <w:bCs w:val="false"/>
                <w:color w:val="102A43"/>
                <w:sz w:val="20"/>
                <w:szCs w:val="20"/>
              </w:rPr>
              <w:t xml:space="preserve">81</w:t>
            </w:r>
          </w:p>
        </w:tc>
      </w:tr>
      <w:tr>
        <w:tc>
          <w:tcPr>
            <w:tcW w:type="pct" w:w="50%"/>
            <w:shd w:fill="FFFFFF" w:val="clear"/>
          </w:tcPr>
          <w:p>
            <w:r>
              <w:rPr>
                <w:b w:val="false"/>
                <w:bCs w:val="false"/>
                <w:color w:val="102A43"/>
                <w:sz w:val="20"/>
                <w:szCs w:val="20"/>
              </w:rPr>
              <w:t xml:space="preserve">verified findings</w:t>
            </w:r>
          </w:p>
        </w:tc>
        <w:tc>
          <w:tcPr>
            <w:tcW w:type="pct" w:w="50%"/>
            <w:shd w:fill="FFFFFF" w:val="clear"/>
          </w:tcPr>
          <w:p>
            <w:r>
              <w:rPr>
                <w:b w:val="false"/>
                <w:bCs w:val="false"/>
                <w:color w:val="102A43"/>
                <w:sz w:val="20"/>
                <w:szCs w:val="20"/>
              </w:rPr>
              <w:t xml:space="preserve">5</w:t>
            </w:r>
          </w:p>
        </w:tc>
      </w:tr>
      <w:tr>
        <w:tc>
          <w:tcPr>
            <w:tcW w:type="pct" w:w="50%"/>
            <w:shd w:fill="FFFFFF" w:val="clear"/>
          </w:tcPr>
          <w:p>
            <w:r>
              <w:rPr>
                <w:b w:val="false"/>
                <w:bCs w:val="false"/>
                <w:color w:val="102A43"/>
                <w:sz w:val="20"/>
                <w:szCs w:val="20"/>
              </w:rPr>
              <w:t xml:space="preserve">priority decisions</w:t>
            </w:r>
          </w:p>
        </w:tc>
        <w:tc>
          <w:tcPr>
            <w:tcW w:type="pct" w:w="50%"/>
            <w:shd w:fill="FFFFFF" w:val="clear"/>
          </w:tcPr>
          <w:p>
            <w:r>
              <w:rPr>
                <w:b w:val="false"/>
                <w:bCs w:val="false"/>
                <w:color w:val="102A43"/>
                <w:sz w:val="20"/>
                <w:szCs w:val="20"/>
              </w:rPr>
              <w:t xml:space="preserve">5</w:t>
            </w:r>
          </w:p>
        </w:tc>
      </w:tr>
    </w:tbl>
    <w:p>
      <w:pPr>
        <w:pStyle w:val="Heading1"/>
        <w:pageBreakBefore/>
      </w:pPr>
      <w:r>
        <w:t xml:space="preserve">Critical Findings</w:t>
      </w:r>
    </w:p>
    <w:p>
      <w:pPr>
        <w:pStyle w:val="Heading2"/>
      </w:pPr>
      <w:r>
        <w:t xml:space="preserve">FND-MAR-01 — Critical finding 1: addressable demand</w:t>
      </w:r>
    </w:p>
    <w:p>
      <w:pPr>
        <w:spacing w:after="160" w:line="300"/>
      </w:pPr>
      <w:r>
        <w:rPr>
          <w:color w:val="263B4D"/>
          <w:sz w:val="21"/>
          <w:szCs w:val="21"/>
        </w:rPr>
        <w:t xml:space="preserve">Across Ghana's synthetic study areas, addressable demand is the clearest differentiator of digital financial services performance. The evidence is strongest in Greater Accra, where rural women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EVI-MAR-001, EVI-MAR-004 | Confidence 94.5%</w:t>
      </w:r>
    </w:p>
    <w:p>
      <w:pPr>
        <w:pStyle w:val="Heading2"/>
      </w:pPr>
      <w:r>
        <w:t xml:space="preserve">FND-MAR-02 — Critical finding 2: segment economics</w:t>
      </w:r>
    </w:p>
    <w:p>
      <w:pPr>
        <w:spacing w:after="160" w:line="300"/>
      </w:pPr>
      <w:r>
        <w:rPr>
          <w:color w:val="263B4D"/>
          <w:sz w:val="21"/>
          <w:szCs w:val="21"/>
        </w:rPr>
        <w:t xml:space="preserve">Across Ghana's synthetic study areas, segment economics is the clearest differentiator of digital financial services performance. The evidence is strongest in Ashanti, where young adults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EVI-MAR-002, EVI-MAR-005 | Confidence 95.5%</w:t>
      </w:r>
    </w:p>
    <w:p>
      <w:pPr>
        <w:pStyle w:val="Heading2"/>
      </w:pPr>
      <w:r>
        <w:t xml:space="preserve">FND-MAR-03 — Critical finding 3: digital trust</w:t>
      </w:r>
    </w:p>
    <w:p>
      <w:pPr>
        <w:spacing w:after="160" w:line="300"/>
      </w:pPr>
      <w:r>
        <w:rPr>
          <w:color w:val="263B4D"/>
          <w:sz w:val="21"/>
          <w:szCs w:val="21"/>
        </w:rPr>
        <w:t xml:space="preserve">Across Ghana's synthetic study areas, digital trust is the clearest differentiator of digital financial services performance. The evidence is strongest in Northern Growth Markets, where persons with disabilities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EVI-MAR-003, EVI-MAR-006 | Confidence 96.5%</w:t>
      </w:r>
    </w:p>
    <w:p>
      <w:pPr>
        <w:pStyle w:val="Heading2"/>
      </w:pPr>
      <w:r>
        <w:t xml:space="preserve">FND-MAR-04 — Critical finding 4: channel productivity</w:t>
      </w:r>
    </w:p>
    <w:p>
      <w:pPr>
        <w:spacing w:after="160" w:line="300"/>
      </w:pPr>
      <w:r>
        <w:rPr>
          <w:color w:val="263B4D"/>
          <w:sz w:val="21"/>
          <w:szCs w:val="21"/>
        </w:rPr>
        <w:t xml:space="preserve">Across Ghana's synthetic study areas, channel productivity is the clearest differentiator of digital financial services performance. The evidence is strongest in Digital Nationwide, where frontline workers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EVI-MAR-004, EVI-MAR-007 | Confidence 92%</w:t>
      </w:r>
    </w:p>
    <w:p>
      <w:pPr>
        <w:pStyle w:val="Heading2"/>
      </w:pPr>
      <w:r>
        <w:t xml:space="preserve">FND-MAR-05 — Critical finding 5: competitive differentiation</w:t>
      </w:r>
    </w:p>
    <w:p>
      <w:pPr>
        <w:spacing w:after="160" w:line="300"/>
      </w:pPr>
      <w:r>
        <w:rPr>
          <w:color w:val="263B4D"/>
          <w:sz w:val="21"/>
          <w:szCs w:val="21"/>
        </w:rPr>
        <w:t xml:space="preserve">Across Ghana's synthetic study areas, competitive differentiation is the clearest differentiator of digital financial services performance. The evidence is strongest in Greater Accra, where low-income households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EVI-MAR-005, EVI-MAR-008 | Confidence 93%</w:t>
      </w:r>
    </w:p>
    <w:p>
      <w:pPr>
        <w:pStyle w:val="Heading1"/>
        <w:pageBreakBefore/>
      </w:pPr>
      <w:r>
        <w:t xml:space="preserve">Decision Intelligence</w:t>
      </w:r>
    </w:p>
    <w:p>
      <w:pPr>
        <w:pStyle w:val="Heading2"/>
      </w:pPr>
      <w:r>
        <w:t xml:space="preserve">DEC-MAR-01 — CRITICAL</w:t>
      </w:r>
    </w:p>
    <w:p>
      <w:pPr>
        <w:spacing w:after="160" w:line="300"/>
      </w:pPr>
      <w:r>
        <w:rPr>
          <w:color w:val="263B4D"/>
          <w:sz w:val="21"/>
          <w:szCs w:val="21"/>
        </w:rPr>
        <w:t xml:space="preserve">Prioritise the two highest-value underserved segments for digital financial services.</w:t>
      </w:r>
    </w:p>
    <w:p>
      <w:pPr>
        <w:spacing w:after="160" w:line="300"/>
      </w:pPr>
      <w:r>
        <w:rPr>
          <w:color w:val="263B4D"/>
          <w:sz w:val="21"/>
          <w:szCs w:val="21"/>
        </w:rPr>
        <w:t xml:space="preserve">Owner: Country Director / Programme Executive | Timeline: 0–90 days | Budget: Medium — detailed costing and fiduciary review required</w:t>
      </w:r>
    </w:p>
    <w:p>
      <w:pPr>
        <w:spacing w:after="160" w:line="300"/>
      </w:pPr>
      <w:r>
        <w:rPr>
          <w:color w:val="263B4D"/>
          <w:sz w:val="21"/>
          <w:szCs w:val="21"/>
        </w:rPr>
        <w:t xml:space="preserve">Monitoring indicator: Percentage of agreed milestones completed for DEC-MAR-01</w:t>
      </w:r>
    </w:p>
    <w:p>
      <w:pPr>
        <w:pStyle w:val="Heading2"/>
      </w:pPr>
      <w:r>
        <w:t xml:space="preserve">DEC-MAR-02 — CRITICAL</w:t>
      </w:r>
    </w:p>
    <w:p>
      <w:pPr>
        <w:spacing w:after="160" w:line="300"/>
      </w:pPr>
      <w:r>
        <w:rPr>
          <w:color w:val="263B4D"/>
          <w:sz w:val="21"/>
          <w:szCs w:val="21"/>
        </w:rPr>
        <w:t xml:space="preserve">Test segment-specific pricing and propositions for digital financial services.</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DEC-MAR-02</w:t>
      </w:r>
    </w:p>
    <w:p>
      <w:pPr>
        <w:pStyle w:val="Heading2"/>
      </w:pPr>
      <w:r>
        <w:t xml:space="preserve">DEC-MAR-03 — HIGH</w:t>
      </w:r>
    </w:p>
    <w:p>
      <w:pPr>
        <w:spacing w:after="160" w:line="300"/>
      </w:pPr>
      <w:r>
        <w:rPr>
          <w:color w:val="263B4D"/>
          <w:sz w:val="21"/>
          <w:szCs w:val="21"/>
        </w:rPr>
        <w:t xml:space="preserve">Build visible privacy and fraud-protection signals for digital financial services.</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DEC-MAR-03</w:t>
      </w:r>
    </w:p>
    <w:p>
      <w:pPr>
        <w:pStyle w:val="Heading2"/>
      </w:pPr>
      <w:r>
        <w:t xml:space="preserve">DEC-MAR-04 — HIGH</w:t>
      </w:r>
    </w:p>
    <w:p>
      <w:pPr>
        <w:spacing w:after="160" w:line="300"/>
      </w:pPr>
      <w:r>
        <w:rPr>
          <w:color w:val="263B4D"/>
          <w:sz w:val="21"/>
          <w:szCs w:val="21"/>
        </w:rPr>
        <w:t xml:space="preserve">Shift acquisition to the most productive channel mix for digital financial services.</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DEC-MAR-04</w:t>
      </w:r>
    </w:p>
    <w:p>
      <w:pPr>
        <w:pStyle w:val="Heading2"/>
      </w:pPr>
      <w:r>
        <w:t xml:space="preserve">DEC-MAR-05 — MEDIUM</w:t>
      </w:r>
    </w:p>
    <w:p>
      <w:pPr>
        <w:spacing w:after="160" w:line="300"/>
      </w:pPr>
      <w:r>
        <w:rPr>
          <w:color w:val="263B4D"/>
          <w:sz w:val="21"/>
          <w:szCs w:val="21"/>
        </w:rPr>
        <w:t xml:space="preserve">Defend differentiation through service reliability for digital financial services.</w:t>
      </w:r>
    </w:p>
    <w:p>
      <w:pPr>
        <w:spacing w:after="160" w:line="300"/>
      </w:pPr>
      <w:r>
        <w:rPr>
          <w:color w:val="263B4D"/>
          <w:sz w:val="21"/>
          <w:szCs w:val="21"/>
        </w:rPr>
        <w:t xml:space="preserve">Owner: Country Director / Programme Executive | Timeline: 6–18 months | Budget: Low to medium — validate through the formal planning cycle</w:t>
      </w:r>
    </w:p>
    <w:p>
      <w:pPr>
        <w:spacing w:after="160" w:line="300"/>
      </w:pPr>
      <w:r>
        <w:rPr>
          <w:color w:val="263B4D"/>
          <w:sz w:val="21"/>
          <w:szCs w:val="21"/>
        </w:rPr>
        <w:t xml:space="preserve">Monitoring indicator: Percentage of agreed milestones completed for DEC-MAR-05</w:t>
      </w:r>
    </w:p>
    <w:p>
      <w:pPr>
        <w:pStyle w:val="Heading1"/>
        <w:pageBreakBefore/>
      </w:pPr>
      <w:r>
        <w:t xml:space="preserve">Methodology and Statistical Intelligence</w:t>
      </w:r>
    </w:p>
    <w:p>
      <w:pPr>
        <w:spacing w:after="120"/>
      </w:pPr>
      <w:r>
        <w:rPr>
          <w:b/>
          <w:bCs/>
        </w:rPr>
        <w:t xml:space="preserve">sampling design: </w:t>
      </w:r>
      <w:r>
        <w:t xml:space="preserve">Stratified multi-stage synthetic demonstration design</w:t>
      </w:r>
    </w:p>
    <w:p>
      <w:pPr>
        <w:spacing w:after="120"/>
      </w:pPr>
      <w:r>
        <w:rPr>
          <w:b/>
          <w:bCs/>
        </w:rPr>
        <w:t xml:space="preserve">sampling frame: </w:t>
      </w:r>
      <w:r>
        <w:t xml:space="preserve">Synthetic frame covering programme-relevant population groups in Ghana</w:t>
      </w:r>
    </w:p>
    <w:p>
      <w:pPr>
        <w:spacing w:after="120"/>
      </w:pPr>
      <w:r>
        <w:rPr>
          <w:b/>
          <w:bCs/>
        </w:rPr>
        <w:t xml:space="preserve">stratification: </w:t>
      </w:r>
      <w:r>
        <w:t xml:space="preserve">["Region","Urban/rural","Sex","Age","Disability status"]</w:t>
      </w:r>
    </w:p>
    <w:p>
      <w:pPr>
        <w:spacing w:after="120"/>
      </w:pPr>
      <w:r>
        <w:rPr>
          <w:b/>
          <w:bCs/>
        </w:rPr>
        <w:t xml:space="preserve">sample size: </w:t>
      </w:r>
      <w:r>
        <w:t xml:space="preserve">2398</w:t>
      </w:r>
    </w:p>
    <w:p>
      <w:pPr>
        <w:spacing w:after="120"/>
      </w:pPr>
      <w:r>
        <w:rPr>
          <w:b/>
          <w:bCs/>
        </w:rPr>
        <w:t xml:space="preserve">weighting: </w:t>
      </w:r>
      <w:r>
        <w:t xml:space="preserve">Post-stratification weights normalized to the synthetic population frame</w:t>
      </w:r>
    </w:p>
    <w:p>
      <w:pPr>
        <w:spacing w:after="120"/>
      </w:pPr>
      <w:r>
        <w:rPr>
          <w:b/>
          <w:bCs/>
        </w:rPr>
        <w:t xml:space="preserve">confidence intervals: </w:t>
      </w:r>
      <w:r>
        <w:t xml:space="preserve">95% confidence intervals shown for eligible weighted estimates</w:t>
      </w:r>
    </w:p>
    <w:p>
      <w:pPr>
        <w:spacing w:after="120"/>
      </w:pPr>
      <w:r>
        <w:rPr>
          <w:b/>
          <w:bCs/>
        </w:rPr>
        <w:t xml:space="preserve">response rate: </w:t>
      </w:r>
      <w:r>
        <w:t xml:space="preserve">81</w:t>
      </w:r>
    </w:p>
    <w:p>
      <w:pPr>
        <w:spacing w:after="120"/>
      </w:pPr>
      <w:r>
        <w:rPr>
          <w:b/>
          <w:bCs/>
        </w:rPr>
        <w:t xml:space="preserve">reliability: </w:t>
      </w:r>
      <w:r>
        <w:t xml:space="preserve">{"cronbach_alpha":0.86,"status":"acceptable"}</w:t>
      </w:r>
    </w:p>
    <w:p>
      <w:pPr>
        <w:spacing w:after="120"/>
      </w:pPr>
      <w:r>
        <w:rPr>
          <w:b/>
          <w:bCs/>
        </w:rPr>
        <w:t xml:space="preserve">validity: </w:t>
      </w:r>
      <w:r>
        <w:t xml:space="preserve">{"content":"expert-mapped synthetic instrument","construct":"factor structure reviewed for demonstration"}</w:t>
      </w:r>
    </w:p>
    <w:p>
      <w:pPr>
        <w:spacing w:after="120"/>
      </w:pPr>
      <w:r>
        <w:rPr>
          <w:b/>
          <w:bCs/>
        </w:rPr>
        <w:t xml:space="preserve">regression: </w:t>
      </w:r>
      <w:r>
        <w:t xml:space="preserve">Multivariable regression included where outcome and assumptions are suitable</w:t>
      </w:r>
    </w:p>
    <w:p>
      <w:pPr>
        <w:spacing w:after="120"/>
      </w:pPr>
      <w:r>
        <w:rPr>
          <w:b/>
          <w:bCs/>
        </w:rPr>
        <w:t xml:space="preserve">trend analysis: </w:t>
      </w:r>
      <w:r>
        <w:t xml:space="preserve">Three-period synthetic trend series</w:t>
      </w:r>
    </w:p>
    <w:p>
      <w:pPr>
        <w:spacing w:after="120"/>
      </w:pPr>
      <w:r>
        <w:rPr>
          <w:b/>
          <w:bCs/>
        </w:rPr>
        <w:t xml:space="preserve">cross tabulation: </w:t>
      </w:r>
      <w:r>
        <w:t xml:space="preserve">["Sex × location","Age × service access","Disability × satisfaction"]</w:t>
      </w:r>
    </w:p>
    <w:p>
      <w:pPr>
        <w:spacing w:after="120"/>
      </w:pPr>
      <w:r>
        <w:rPr>
          <w:b/>
          <w:bCs/>
        </w:rPr>
        <w:t xml:space="preserve">segmentation: </w:t>
      </w:r>
      <w:r>
        <w:t xml:space="preserve">Five evidence-led respondent segments</w:t>
      </w:r>
    </w:p>
    <w:p>
      <w:pPr>
        <w:spacing w:after="120"/>
      </w:pPr>
      <w:r>
        <w:rPr>
          <w:b/>
          <w:bCs/>
        </w:rPr>
        <w:t xml:space="preserve">missing data analysis: </w:t>
      </w:r>
      <w:r>
        <w:t xml:space="preserve">{"item_nonresponse_percent":2.4,"treatment":"multiple imputation for eligible analytical variables; complete-case sensitivity check"}</w:t>
      </w:r>
    </w:p>
    <w:p>
      <w:pPr>
        <w:spacing w:after="120"/>
      </w:pPr>
      <w:r>
        <w:rPr>
          <w:b/>
          <w:bCs/>
        </w:rPr>
        <w:t xml:space="preserve">outlier detection: </w:t>
      </w:r>
      <w:r>
        <w:t xml:space="preserve">IQR, leverage and influence diagnostics</w:t>
      </w:r>
    </w:p>
    <w:p>
      <w:pPr>
        <w:spacing w:after="120"/>
      </w:pPr>
      <w:r>
        <w:rPr>
          <w:b/>
          <w:bCs/>
        </w:rPr>
        <w:t xml:space="preserve">design effect: </w:t>
      </w:r>
      <w:r>
        <w:t xml:space="preserve">1.3</w:t>
      </w:r>
    </w:p>
    <w:p>
      <w:pPr>
        <w:spacing w:after="120"/>
      </w:pPr>
      <w:r>
        <w:rPr>
          <w:b/>
          <w:bCs/>
        </w:rPr>
        <w:t xml:space="preserve">data quality assessment: </w:t>
      </w:r>
      <w:r>
        <w:t xml:space="preserve">Passed synthetic consistency, range, duplicate and contradiction checks</w:t>
      </w:r>
    </w:p>
    <w:p>
      <w:pPr>
        <w:spacing w:after="120"/>
      </w:pPr>
      <w:r>
        <w:rPr>
          <w:b/>
          <w:bCs/>
        </w:rPr>
        <w:t xml:space="preserve">reproducibility notes: </w:t>
      </w:r>
      <w:r>
        <w:t xml:space="preserve">Deterministic generator, documented transformations and export manifest</w:t>
      </w:r>
    </w:p>
    <w:p>
      <w:pPr>
        <w:spacing w:after="120"/>
      </w:pPr>
      <w:r>
        <w:rPr>
          <w:b/>
          <w:bCs/>
        </w:rPr>
        <w:t xml:space="preserve">methodological limitations: </w:t>
      </w:r>
      <w:r>
        <w:t xml:space="preserve">["Synthetic data cannot support population inference","No institutional endorsement is implied","Cost estimates require external validation"]</w:t>
      </w:r>
    </w:p>
    <w:p>
      <w:pPr>
        <w:pStyle w:val="Heading1"/>
        <w:pageBreakBefore/>
      </w:pPr>
      <w:r>
        <w:t xml:space="preserve">International Standards Applicability</w:t>
      </w:r>
    </w:p>
    <w:p>
      <w:pPr>
        <w:pStyle w:val="Heading2"/>
      </w:pPr>
      <w:r>
        <w:t xml:space="preserve">Data Protection and Privacy Controls — APPLICABLE</w:t>
      </w:r>
    </w:p>
    <w:p>
      <w:pPr>
        <w:spacing w:after="160" w:line="300"/>
      </w:pPr>
      <w:r>
        <w:rPr>
          <w:color w:val="263B4D"/>
          <w:sz w:val="21"/>
          <w:szCs w:val="21"/>
        </w:rPr>
        <w:t xml:space="preserve">The publication uses governed response, evidence and export data.</w:t>
      </w:r>
    </w:p>
    <w:p>
      <w:pPr>
        <w:spacing w:after="160" w:line="300"/>
      </w:pPr>
      <w:r>
        <w:rPr>
          <w:color w:val="263B4D"/>
          <w:sz w:val="21"/>
          <w:szCs w:val="21"/>
        </w:rPr>
        <w:t xml:space="preserve">Criteria: Purpose limitation, Data minimisation, Access control, Retention, Disclosure control</w:t>
      </w:r>
    </w:p>
    <w:p>
      <w:pPr>
        <w:spacing w:after="160" w:line="300"/>
      </w:pPr>
      <w:r>
        <w:rPr>
          <w:color w:val="263B4D"/>
          <w:sz w:val="21"/>
          <w:szCs w:val="21"/>
        </w:rPr>
        <w:t xml:space="preserve">Limitation: Synthetic demonstration; no institutional endorsement.</w:t>
      </w:r>
    </w:p>
    <w:p>
      <w:pPr>
        <w:pStyle w:val="Heading2"/>
      </w:pPr>
      <w:r>
        <w:t xml:space="preserve">Responsible AI — APPLICABLE</w:t>
      </w:r>
    </w:p>
    <w:p>
      <w:pPr>
        <w:spacing w:after="160" w:line="300"/>
      </w:pPr>
      <w:r>
        <w:rPr>
          <w:color w:val="263B4D"/>
          <w:sz w:val="21"/>
          <w:szCs w:val="21"/>
        </w:rPr>
        <w:t xml:space="preserve">AI-assisted interpretation requires grounding, human review, privacy and limitations.</w:t>
      </w:r>
    </w:p>
    <w:p>
      <w:pPr>
        <w:spacing w:after="160" w:line="300"/>
      </w:pPr>
      <w:r>
        <w:rPr>
          <w:color w:val="263B4D"/>
          <w:sz w:val="21"/>
          <w:szCs w:val="21"/>
        </w:rPr>
        <w:t xml:space="preserve">Criteria: Model provenance, Evidence grounding, Bias review, Human oversight, Override log</w:t>
      </w:r>
    </w:p>
    <w:p>
      <w:pPr>
        <w:spacing w:after="160" w:line="300"/>
      </w:pPr>
      <w:r>
        <w:rPr>
          <w:color w:val="263B4D"/>
          <w:sz w:val="21"/>
          <w:szCs w:val="21"/>
        </w:rPr>
        <w:t xml:space="preserve">Limitation: Synthetic demonstration; no institutional endorsement.</w:t>
      </w:r>
    </w:p>
    <w:p>
      <w:pPr>
        <w:pStyle w:val="Heading2"/>
      </w:pPr>
      <w:r>
        <w:t xml:space="preserve">Accessibility — APPLICABLE</w:t>
      </w:r>
    </w:p>
    <w:p>
      <w:pPr>
        <w:spacing w:after="160" w:line="300"/>
      </w:pPr>
      <w:r>
        <w:rPr>
          <w:color w:val="263B4D"/>
          <w:sz w:val="21"/>
          <w:szCs w:val="21"/>
        </w:rPr>
        <w:t xml:space="preserve">Publications must be readable and operable across formats and assistive technologies.</w:t>
      </w:r>
    </w:p>
    <w:p>
      <w:pPr>
        <w:spacing w:after="160" w:line="300"/>
      </w:pPr>
      <w:r>
        <w:rPr>
          <w:color w:val="263B4D"/>
          <w:sz w:val="21"/>
          <w:szCs w:val="21"/>
        </w:rPr>
        <w:t xml:space="preserve">Criteria: Contrast, Reading order, Alt text, Table headers, Keyboard access</w:t>
      </w:r>
    </w:p>
    <w:p>
      <w:pPr>
        <w:spacing w:after="160" w:line="300"/>
      </w:pPr>
      <w:r>
        <w:rPr>
          <w:color w:val="263B4D"/>
          <w:sz w:val="21"/>
          <w:szCs w:val="21"/>
        </w:rPr>
        <w:t xml:space="preserve">Limitation: Synthetic demonstration; no institutional endorsement.</w:t>
      </w:r>
    </w:p>
    <w:p>
      <w:pPr>
        <w:pStyle w:val="Heading1"/>
        <w:pageBreakBefore/>
      </w:pPr>
      <w:r>
        <w:t xml:space="preserve">Evidence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Evidence ID</w:t>
            </w:r>
          </w:p>
        </w:tc>
        <w:tc>
          <w:tcPr>
            <w:tcW w:type="pct" w:w="50%"/>
            <w:shd w:fill="DCEFE5" w:val="clear"/>
          </w:tcPr>
          <w:p>
            <w:r>
              <w:rPr>
                <w:b/>
                <w:bCs/>
                <w:color w:val="102A43"/>
                <w:sz w:val="20"/>
                <w:szCs w:val="20"/>
              </w:rPr>
              <w:t xml:space="preserve">Source / confidence</w:t>
            </w:r>
          </w:p>
        </w:tc>
      </w:tr>
      <w:tr>
        <w:tc>
          <w:tcPr>
            <w:tcW w:type="pct" w:w="50%"/>
            <w:shd w:fill="FFFFFF" w:val="clear"/>
          </w:tcPr>
          <w:p>
            <w:r>
              <w:rPr>
                <w:b w:val="false"/>
                <w:bCs w:val="false"/>
                <w:color w:val="102A43"/>
                <w:sz w:val="20"/>
                <w:szCs w:val="20"/>
              </w:rPr>
              <w:t xml:space="preserve">EVI-MAR-001</w:t>
            </w:r>
          </w:p>
        </w:tc>
        <w:tc>
          <w:tcPr>
            <w:tcW w:type="pct" w:w="50%"/>
            <w:shd w:fill="FFFFFF" w:val="clear"/>
          </w:tcPr>
          <w:p>
            <w:r>
              <w:rPr>
                <w:b w:val="false"/>
                <w:bCs w:val="false"/>
                <w:color w:val="102A43"/>
                <w:sz w:val="20"/>
                <w:szCs w:val="20"/>
              </w:rPr>
              <w:t xml:space="preserve">SYN-MARK-0001 | 93%</w:t>
            </w:r>
          </w:p>
        </w:tc>
      </w:tr>
      <w:tr>
        <w:tc>
          <w:tcPr>
            <w:tcW w:type="pct" w:w="50%"/>
            <w:shd w:fill="FFFFFF" w:val="clear"/>
          </w:tcPr>
          <w:p>
            <w:r>
              <w:rPr>
                <w:b w:val="false"/>
                <w:bCs w:val="false"/>
                <w:color w:val="102A43"/>
                <w:sz w:val="20"/>
                <w:szCs w:val="20"/>
              </w:rPr>
              <w:t xml:space="preserve">EVI-MAR-002</w:t>
            </w:r>
          </w:p>
        </w:tc>
        <w:tc>
          <w:tcPr>
            <w:tcW w:type="pct" w:w="50%"/>
            <w:shd w:fill="FFFFFF" w:val="clear"/>
          </w:tcPr>
          <w:p>
            <w:r>
              <w:rPr>
                <w:b w:val="false"/>
                <w:bCs w:val="false"/>
                <w:color w:val="102A43"/>
                <w:sz w:val="20"/>
                <w:szCs w:val="20"/>
              </w:rPr>
              <w:t xml:space="preserve">SYN-MARK-0002 | 94%</w:t>
            </w:r>
          </w:p>
        </w:tc>
      </w:tr>
      <w:tr>
        <w:tc>
          <w:tcPr>
            <w:tcW w:type="pct" w:w="50%"/>
            <w:shd w:fill="FFFFFF" w:val="clear"/>
          </w:tcPr>
          <w:p>
            <w:r>
              <w:rPr>
                <w:b w:val="false"/>
                <w:bCs w:val="false"/>
                <w:color w:val="102A43"/>
                <w:sz w:val="20"/>
                <w:szCs w:val="20"/>
              </w:rPr>
              <w:t xml:space="preserve">EVI-MAR-003</w:t>
            </w:r>
          </w:p>
        </w:tc>
        <w:tc>
          <w:tcPr>
            <w:tcW w:type="pct" w:w="50%"/>
            <w:shd w:fill="FFFFFF" w:val="clear"/>
          </w:tcPr>
          <w:p>
            <w:r>
              <w:rPr>
                <w:b w:val="false"/>
                <w:bCs w:val="false"/>
                <w:color w:val="102A43"/>
                <w:sz w:val="20"/>
                <w:szCs w:val="20"/>
              </w:rPr>
              <w:t xml:space="preserve">SYN-MARK-0003 | 95%</w:t>
            </w:r>
          </w:p>
        </w:tc>
      </w:tr>
      <w:tr>
        <w:tc>
          <w:tcPr>
            <w:tcW w:type="pct" w:w="50%"/>
            <w:shd w:fill="FFFFFF" w:val="clear"/>
          </w:tcPr>
          <w:p>
            <w:r>
              <w:rPr>
                <w:b w:val="false"/>
                <w:bCs w:val="false"/>
                <w:color w:val="102A43"/>
                <w:sz w:val="20"/>
                <w:szCs w:val="20"/>
              </w:rPr>
              <w:t xml:space="preserve">EVI-MAR-004</w:t>
            </w:r>
          </w:p>
        </w:tc>
        <w:tc>
          <w:tcPr>
            <w:tcW w:type="pct" w:w="50%"/>
            <w:shd w:fill="FFFFFF" w:val="clear"/>
          </w:tcPr>
          <w:p>
            <w:r>
              <w:rPr>
                <w:b w:val="false"/>
                <w:bCs w:val="false"/>
                <w:color w:val="102A43"/>
                <w:sz w:val="20"/>
                <w:szCs w:val="20"/>
              </w:rPr>
              <w:t xml:space="preserve">SYN-MARK-0004 | 96%</w:t>
            </w:r>
          </w:p>
        </w:tc>
      </w:tr>
      <w:tr>
        <w:tc>
          <w:tcPr>
            <w:tcW w:type="pct" w:w="50%"/>
            <w:shd w:fill="FFFFFF" w:val="clear"/>
          </w:tcPr>
          <w:p>
            <w:r>
              <w:rPr>
                <w:b w:val="false"/>
                <w:bCs w:val="false"/>
                <w:color w:val="102A43"/>
                <w:sz w:val="20"/>
                <w:szCs w:val="20"/>
              </w:rPr>
              <w:t xml:space="preserve">EVI-MAR-005</w:t>
            </w:r>
          </w:p>
        </w:tc>
        <w:tc>
          <w:tcPr>
            <w:tcW w:type="pct" w:w="50%"/>
            <w:shd w:fill="FFFFFF" w:val="clear"/>
          </w:tcPr>
          <w:p>
            <w:r>
              <w:rPr>
                <w:b w:val="false"/>
                <w:bCs w:val="false"/>
                <w:color w:val="102A43"/>
                <w:sz w:val="20"/>
                <w:szCs w:val="20"/>
              </w:rPr>
              <w:t xml:space="preserve">SYN-MARK-0005 | 97%</w:t>
            </w:r>
          </w:p>
        </w:tc>
      </w:tr>
      <w:tr>
        <w:tc>
          <w:tcPr>
            <w:tcW w:type="pct" w:w="50%"/>
            <w:shd w:fill="FFFFFF" w:val="clear"/>
          </w:tcPr>
          <w:p>
            <w:r>
              <w:rPr>
                <w:b w:val="false"/>
                <w:bCs w:val="false"/>
                <w:color w:val="102A43"/>
                <w:sz w:val="20"/>
                <w:szCs w:val="20"/>
              </w:rPr>
              <w:t xml:space="preserve">EVI-MAR-006</w:t>
            </w:r>
          </w:p>
        </w:tc>
        <w:tc>
          <w:tcPr>
            <w:tcW w:type="pct" w:w="50%"/>
            <w:shd w:fill="FFFFFF" w:val="clear"/>
          </w:tcPr>
          <w:p>
            <w:r>
              <w:rPr>
                <w:b w:val="false"/>
                <w:bCs w:val="false"/>
                <w:color w:val="102A43"/>
                <w:sz w:val="20"/>
                <w:szCs w:val="20"/>
              </w:rPr>
              <w:t xml:space="preserve">SYN-MARK-0006 | 98%</w:t>
            </w:r>
          </w:p>
        </w:tc>
      </w:tr>
      <w:tr>
        <w:tc>
          <w:tcPr>
            <w:tcW w:type="pct" w:w="50%"/>
            <w:shd w:fill="FFFFFF" w:val="clear"/>
          </w:tcPr>
          <w:p>
            <w:r>
              <w:rPr>
                <w:b w:val="false"/>
                <w:bCs w:val="false"/>
                <w:color w:val="102A43"/>
                <w:sz w:val="20"/>
                <w:szCs w:val="20"/>
              </w:rPr>
              <w:t xml:space="preserve">EVI-MAR-007</w:t>
            </w:r>
          </w:p>
        </w:tc>
        <w:tc>
          <w:tcPr>
            <w:tcW w:type="pct" w:w="50%"/>
            <w:shd w:fill="FFFFFF" w:val="clear"/>
          </w:tcPr>
          <w:p>
            <w:r>
              <w:rPr>
                <w:b w:val="false"/>
                <w:bCs w:val="false"/>
                <w:color w:val="102A43"/>
                <w:sz w:val="20"/>
                <w:szCs w:val="20"/>
              </w:rPr>
              <w:t xml:space="preserve">SYN-MARK-0007 | 88%</w:t>
            </w:r>
          </w:p>
        </w:tc>
      </w:tr>
      <w:tr>
        <w:tc>
          <w:tcPr>
            <w:tcW w:type="pct" w:w="50%"/>
            <w:shd w:fill="FFFFFF" w:val="clear"/>
          </w:tcPr>
          <w:p>
            <w:r>
              <w:rPr>
                <w:b w:val="false"/>
                <w:bCs w:val="false"/>
                <w:color w:val="102A43"/>
                <w:sz w:val="20"/>
                <w:szCs w:val="20"/>
              </w:rPr>
              <w:t xml:space="preserve">EVI-MAR-008</w:t>
            </w:r>
          </w:p>
        </w:tc>
        <w:tc>
          <w:tcPr>
            <w:tcW w:type="pct" w:w="50%"/>
            <w:shd w:fill="FFFFFF" w:val="clear"/>
          </w:tcPr>
          <w:p>
            <w:r>
              <w:rPr>
                <w:b w:val="false"/>
                <w:bCs w:val="false"/>
                <w:color w:val="102A43"/>
                <w:sz w:val="20"/>
                <w:szCs w:val="20"/>
              </w:rPr>
              <w:t xml:space="preserve">SYN-MARK-0008 | 89%</w:t>
            </w:r>
          </w:p>
        </w:tc>
      </w:tr>
      <w:tr>
        <w:tc>
          <w:tcPr>
            <w:tcW w:type="pct" w:w="50%"/>
            <w:shd w:fill="FFFFFF" w:val="clear"/>
          </w:tcPr>
          <w:p>
            <w:r>
              <w:rPr>
                <w:b w:val="false"/>
                <w:bCs w:val="false"/>
                <w:color w:val="102A43"/>
                <w:sz w:val="20"/>
                <w:szCs w:val="20"/>
              </w:rPr>
              <w:t xml:space="preserve">EVI-MAR-009</w:t>
            </w:r>
          </w:p>
        </w:tc>
        <w:tc>
          <w:tcPr>
            <w:tcW w:type="pct" w:w="50%"/>
            <w:shd w:fill="FFFFFF" w:val="clear"/>
          </w:tcPr>
          <w:p>
            <w:r>
              <w:rPr>
                <w:b w:val="false"/>
                <w:bCs w:val="false"/>
                <w:color w:val="102A43"/>
                <w:sz w:val="20"/>
                <w:szCs w:val="20"/>
              </w:rPr>
              <w:t xml:space="preserve">SYN-MARK-0009 | 90%</w:t>
            </w:r>
          </w:p>
        </w:tc>
      </w:tr>
      <w:tr>
        <w:tc>
          <w:tcPr>
            <w:tcW w:type="pct" w:w="50%"/>
            <w:shd w:fill="FFFFFF" w:val="clear"/>
          </w:tcPr>
          <w:p>
            <w:r>
              <w:rPr>
                <w:b w:val="false"/>
                <w:bCs w:val="false"/>
                <w:color w:val="102A43"/>
                <w:sz w:val="20"/>
                <w:szCs w:val="20"/>
              </w:rPr>
              <w:t xml:space="preserve">EVI-MAR-010</w:t>
            </w:r>
          </w:p>
        </w:tc>
        <w:tc>
          <w:tcPr>
            <w:tcW w:type="pct" w:w="50%"/>
            <w:shd w:fill="FFFFFF" w:val="clear"/>
          </w:tcPr>
          <w:p>
            <w:r>
              <w:rPr>
                <w:b w:val="false"/>
                <w:bCs w:val="false"/>
                <w:color w:val="102A43"/>
                <w:sz w:val="20"/>
                <w:szCs w:val="20"/>
              </w:rPr>
              <w:t xml:space="preserve">SYN-MARK-0010 | 91%</w:t>
            </w:r>
          </w:p>
        </w:tc>
      </w:tr>
    </w:tbl>
    <w:p>
      <w:pPr>
        <w:pStyle w:val="Heading1"/>
        <w:pageBreakBefore/>
      </w:pPr>
      <w:r>
        <w:t xml:space="preserve">Limitations and Responsible Use</w:t>
      </w:r>
    </w:p>
    <w:p>
      <w:pPr>
        <w:pStyle w:val="ListParagraph"/>
        <w:numPr>
          <w:ilvl w:val="0"/>
          <w:numId w:val="1"/>
        </w:numPr>
        <w:spacing w:after="100"/>
      </w:pPr>
      <w:r>
        <w:t xml:space="preserve">All content is synthetic and must not be interpreted as official statistics</w:t>
      </w:r>
    </w:p>
    <w:p>
      <w:pPr>
        <w:pStyle w:val="ListParagraph"/>
        <w:numPr>
          <w:ilvl w:val="0"/>
          <w:numId w:val="1"/>
        </w:numPr>
        <w:spacing w:after="100"/>
      </w:pPr>
      <w:r>
        <w:t xml:space="preserve">Geographic references are illustrative</w:t>
      </w:r>
    </w:p>
    <w:p>
      <w:pPr>
        <w:pStyle w:val="ListParagraph"/>
        <w:numPr>
          <w:ilvl w:val="0"/>
          <w:numId w:val="1"/>
        </w:numPr>
        <w:spacing w:after="100"/>
      </w:pPr>
      <w:r>
        <w:t xml:space="preserve">Budget implications are directional and require formal costing</w:t>
      </w:r>
    </w:p>
    <w:p>
      <w:pPr>
        <w:pStyle w:val="ListParagraph"/>
        <w:numPr>
          <w:ilvl w:val="0"/>
          <w:numId w:val="1"/>
        </w:numPr>
        <w:spacing w:after="100"/>
      </w:pPr>
      <w:r>
        <w:t xml:space="preserve">Causal claims are not made without an appropriate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VIA-FLAGSHIP-MARKET-INTELLIGENCE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7883F"/>
        <w:sz w:val="16"/>
        <w:szCs w:val="16"/>
      </w:rPr>
      <w:t xml:space="preserve">VOICEINSIGHTS AFRICA | GOVERNED FLAGSHIP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B4D"/>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ptos Display" w:cs="Aptos Display" w:eastAsia="Aptos Display" w:hAnsi="Aptos Display"/>
      <w:b/>
      <w:bCs/>
      <w:color w:val="082B55"/>
      <w:sz w:val="36"/>
      <w:szCs w:val="36"/>
    </w:rPr>
  </w:style>
  <w:style w:type="paragraph" w:styleId="Heading2">
    <w:name w:val="Heading 2"/>
    <w:basedOn w:val="Normal"/>
    <w:next w:val="Normal"/>
    <w:qFormat/>
    <w:pPr>
      <w:spacing w:after="100" w:before="180"/>
      <w:outlineLvl w:val="1"/>
    </w:pPr>
    <w:rPr>
      <w:rFonts w:ascii="Aptos" w:cs="Aptos" w:eastAsia="Aptos" w:hAnsi="Aptos"/>
      <w:b/>
      <w:bCs/>
      <w:color w:val="07883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b12379a205cc7712dc0e06240b123dddeea71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Intelligence Report</dc:title>
  <dc:creator>VoiceInsights Africa</dc:creator>
  <dc:description>Synthetic Demonstration Publication</dc:description>
  <cp:lastModifiedBy>Un-named</cp:lastModifiedBy>
  <cp:revision>1</cp:revision>
  <dcterms:created xsi:type="dcterms:W3CDTF">2026-07-12T22:51:25.651Z</dcterms:created>
  <dcterms:modified xsi:type="dcterms:W3CDTF">2026-07-12T22:51:25.651Z</dcterms:modified>
</cp:coreProperties>
</file>

<file path=docProps/custom.xml><?xml version="1.0" encoding="utf-8"?>
<Properties xmlns="http://schemas.openxmlformats.org/officeDocument/2006/custom-properties" xmlns:vt="http://schemas.openxmlformats.org/officeDocument/2006/docPropsVTypes"/>
</file>