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900"/>
        <w:jc w:val="center"/>
      </w:pPr>
      <w:r>
        <w:drawing>
          <wp:inline distT="0" distB="0" distL="0" distR="0">
            <wp:extent cx="1143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800100"/>
                    </a:xfrm>
                    <a:prstGeom prst="rect">
                      <a:avLst/>
                    </a:prstGeom>
                  </pic:spPr>
                </pic:pic>
              </a:graphicData>
            </a:graphic>
          </wp:inline>
        </w:drawing>
      </w:r>
    </w:p>
    <w:p>
      <w:pPr>
        <w:jc w:val="center"/>
      </w:pPr>
      <w:r>
        <w:rPr>
          <w:b/>
          <w:bCs/>
          <w:color w:val="07883F"/>
          <w:sz w:val="24"/>
          <w:szCs w:val="24"/>
        </w:rPr>
        <w:t xml:space="preserve">VOICEINSIGHTS AFRICA</w:t>
      </w:r>
    </w:p>
    <w:p>
      <w:pPr>
        <w:spacing w:after="300" w:before="1500"/>
        <w:jc w:val="center"/>
      </w:pPr>
      <w:r>
        <w:rPr>
          <w:b/>
          <w:bCs/>
          <w:color w:val="174c3c"/>
          <w:sz w:val="48"/>
          <w:szCs w:val="48"/>
        </w:rPr>
        <w:t xml:space="preserve">Community Scorecard Intelligence Report</w:t>
      </w:r>
    </w:p>
    <w:p>
      <w:pPr>
        <w:jc w:val="center"/>
      </w:pPr>
      <w:r>
        <w:rPr>
          <w:color w:val="52667A"/>
          <w:sz w:val="24"/>
          <w:szCs w:val="24"/>
        </w:rPr>
        <w:t xml:space="preserve">Malawi | Primary Healthcare</w:t>
      </w:r>
    </w:p>
    <w:p>
      <w:pPr>
        <w:spacing w:before="1000"/>
        <w:jc w:val="center"/>
      </w:pPr>
      <w:r>
        <w:rPr>
          <w:b/>
          <w:bCs/>
          <w:color w:val="B07D00"/>
          <w:sz w:val="20"/>
          <w:szCs w:val="20"/>
        </w:rPr>
        <w:t xml:space="preserve">Synthetic Demonstration Publication</w:t>
      </w:r>
    </w:p>
    <w:p>
      <w:pPr>
        <w:jc w:val="center"/>
      </w:pPr>
      <w:r>
        <w:rPr>
          <w:sz w:val="18"/>
          <w:szCs w:val="18"/>
        </w:rPr>
        <w:t xml:space="preserve">Prepared by VoiceInsights Africa | Every Voice. Every Language. Every Insight.</w:t>
      </w:r>
    </w:p>
    <w:p>
      <w:r>
        <w:br w:type="page"/>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t xml:space="preserve">Executive Intelligence Book</w:t>
      </w:r>
    </w:p>
    <w:p>
      <w:pPr>
        <w:spacing w:after="160" w:line="300"/>
      </w:pPr>
      <w:r>
        <w:rPr>
          <w:color w:val="263B4D"/>
          <w:sz w:val="21"/>
          <w:szCs w:val="21"/>
        </w:rPr>
        <w:t xml:space="preserve">This flagship synthetic demonstration publication examines primary healthcare performance in Malawi. The governed evidence model identifies uneven progress, concentrated risks and actionable opportunities. Findings are linked to synthetic source records, recommendations carry named accountability fields, and all statistical claims are generated from one internally consistent dataset.</w:t>
      </w:r>
    </w:p>
    <w:p>
      <w:pPr>
        <w:pStyle w:val="Heading2"/>
      </w:pPr>
      <w:r>
        <w:t xml:space="preserve">Decision snapshot</w:t>
      </w:r>
    </w:p>
    <w:p>
      <w:pPr>
        <w:pStyle w:val="ListParagraph"/>
        <w:numPr>
          <w:ilvl w:val="0"/>
          <w:numId w:val="1"/>
        </w:numPr>
        <w:spacing w:after="100"/>
      </w:pPr>
      <w:r>
        <w:t xml:space="preserve">Agree facility-level service improvement contracts for primary healthcare.</w:t>
      </w:r>
    </w:p>
    <w:p>
      <w:pPr>
        <w:pStyle w:val="ListParagraph"/>
        <w:numPr>
          <w:ilvl w:val="0"/>
          <w:numId w:val="1"/>
        </w:numPr>
        <w:spacing w:after="100"/>
      </w:pPr>
      <w:r>
        <w:t xml:space="preserve">Stabilise tracer-medicine availability for primary healthcare.</w:t>
      </w:r>
    </w:p>
    <w:p>
      <w:pPr>
        <w:pStyle w:val="ListParagraph"/>
        <w:numPr>
          <w:ilvl w:val="0"/>
          <w:numId w:val="1"/>
        </w:numPr>
        <w:spacing w:after="100"/>
      </w:pPr>
      <w:r>
        <w:t xml:space="preserve">Introduce visible wait-time and triage standards for primary healthcare.</w:t>
      </w:r>
    </w:p>
    <w:p>
      <w:pPr>
        <w:pStyle w:val="Heading2"/>
      </w:pPr>
      <w:r>
        <w:t xml:space="preserve">Executive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CEFE5" w:val="clear"/>
          </w:tcPr>
          <w:p>
            <w:r>
              <w:rPr>
                <w:b/>
                <w:bCs/>
                <w:color w:val="102A43"/>
                <w:sz w:val="20"/>
                <w:szCs w:val="20"/>
              </w:rPr>
              <w:t xml:space="preserve">Metric</w:t>
            </w:r>
          </w:p>
        </w:tc>
        <w:tc>
          <w:tcPr>
            <w:tcW w:type="pct" w:w="50%"/>
            <w:shd w:fill="DCEFE5" w:val="clear"/>
          </w:tcPr>
          <w:p>
            <w:r>
              <w:rPr>
                <w:b/>
                <w:bCs/>
                <w:color w:val="102A43"/>
                <w:sz w:val="20"/>
                <w:szCs w:val="20"/>
              </w:rPr>
              <w:t xml:space="preserve">Value</w:t>
            </w:r>
          </w:p>
        </w:tc>
      </w:tr>
      <w:tr>
        <w:tc>
          <w:tcPr>
            <w:tcW w:type="pct" w:w="50%"/>
            <w:shd w:fill="FFFFFF" w:val="clear"/>
          </w:tcPr>
          <w:p>
            <w:r>
              <w:rPr>
                <w:b w:val="false"/>
                <w:bCs w:val="false"/>
                <w:color w:val="102A43"/>
                <w:sz w:val="20"/>
                <w:szCs w:val="20"/>
              </w:rPr>
              <w:t xml:space="preserve">sample size</w:t>
            </w:r>
          </w:p>
        </w:tc>
        <w:tc>
          <w:tcPr>
            <w:tcW w:type="pct" w:w="50%"/>
            <w:shd w:fill="FFFFFF" w:val="clear"/>
          </w:tcPr>
          <w:p>
            <w:r>
              <w:rPr>
                <w:b w:val="false"/>
                <w:bCs w:val="false"/>
                <w:color w:val="102A43"/>
                <w:sz w:val="20"/>
                <w:szCs w:val="20"/>
              </w:rPr>
              <w:t xml:space="preserve">2437</w:t>
            </w:r>
          </w:p>
        </w:tc>
      </w:tr>
      <w:tr>
        <w:tc>
          <w:tcPr>
            <w:tcW w:type="pct" w:w="50%"/>
            <w:shd w:fill="FFFFFF" w:val="clear"/>
          </w:tcPr>
          <w:p>
            <w:r>
              <w:rPr>
                <w:b w:val="false"/>
                <w:bCs w:val="false"/>
                <w:color w:val="102A43"/>
                <w:sz w:val="20"/>
                <w:szCs w:val="20"/>
              </w:rPr>
              <w:t xml:space="preserve">response rate</w:t>
            </w:r>
          </w:p>
        </w:tc>
        <w:tc>
          <w:tcPr>
            <w:tcW w:type="pct" w:w="50%"/>
            <w:shd w:fill="FFFFFF" w:val="clear"/>
          </w:tcPr>
          <w:p>
            <w:r>
              <w:rPr>
                <w:b w:val="false"/>
                <w:bCs w:val="false"/>
                <w:color w:val="102A43"/>
                <w:sz w:val="20"/>
                <w:szCs w:val="20"/>
              </w:rPr>
              <w:t xml:space="preserve">86</w:t>
            </w:r>
          </w:p>
        </w:tc>
      </w:tr>
      <w:tr>
        <w:tc>
          <w:tcPr>
            <w:tcW w:type="pct" w:w="50%"/>
            <w:shd w:fill="FFFFFF" w:val="clear"/>
          </w:tcPr>
          <w:p>
            <w:r>
              <w:rPr>
                <w:b w:val="false"/>
                <w:bCs w:val="false"/>
                <w:color w:val="102A43"/>
                <w:sz w:val="20"/>
                <w:szCs w:val="20"/>
              </w:rPr>
              <w:t xml:space="preserve">verified findings</w:t>
            </w:r>
          </w:p>
        </w:tc>
        <w:tc>
          <w:tcPr>
            <w:tcW w:type="pct" w:w="50%"/>
            <w:shd w:fill="FFFFFF" w:val="clear"/>
          </w:tcPr>
          <w:p>
            <w:r>
              <w:rPr>
                <w:b w:val="false"/>
                <w:bCs w:val="false"/>
                <w:color w:val="102A43"/>
                <w:sz w:val="20"/>
                <w:szCs w:val="20"/>
              </w:rPr>
              <w:t xml:space="preserve">5</w:t>
            </w:r>
          </w:p>
        </w:tc>
      </w:tr>
      <w:tr>
        <w:tc>
          <w:tcPr>
            <w:tcW w:type="pct" w:w="50%"/>
            <w:shd w:fill="FFFFFF" w:val="clear"/>
          </w:tcPr>
          <w:p>
            <w:r>
              <w:rPr>
                <w:b w:val="false"/>
                <w:bCs w:val="false"/>
                <w:color w:val="102A43"/>
                <w:sz w:val="20"/>
                <w:szCs w:val="20"/>
              </w:rPr>
              <w:t xml:space="preserve">priority decisions</w:t>
            </w:r>
          </w:p>
        </w:tc>
        <w:tc>
          <w:tcPr>
            <w:tcW w:type="pct" w:w="50%"/>
            <w:shd w:fill="FFFFFF" w:val="clear"/>
          </w:tcPr>
          <w:p>
            <w:r>
              <w:rPr>
                <w:b w:val="false"/>
                <w:bCs w:val="false"/>
                <w:color w:val="102A43"/>
                <w:sz w:val="20"/>
                <w:szCs w:val="20"/>
              </w:rPr>
              <w:t xml:space="preserve">5</w:t>
            </w:r>
          </w:p>
        </w:tc>
      </w:tr>
    </w:tbl>
    <w:p>
      <w:pPr>
        <w:pStyle w:val="Heading1"/>
        <w:pageBreakBefore/>
      </w:pPr>
      <w:r>
        <w:t xml:space="preserve">Critical Findings</w:t>
      </w:r>
    </w:p>
    <w:p>
      <w:pPr>
        <w:pStyle w:val="Heading2"/>
      </w:pPr>
      <w:r>
        <w:t xml:space="preserve">FND-COM-01 — Critical finding 1: respectful care</w:t>
      </w:r>
    </w:p>
    <w:p>
      <w:pPr>
        <w:spacing w:after="160" w:line="300"/>
      </w:pPr>
      <w:r>
        <w:rPr>
          <w:color w:val="263B4D"/>
          <w:sz w:val="21"/>
          <w:szCs w:val="21"/>
        </w:rPr>
        <w:t xml:space="preserve">Across Malawi's synthetic study areas, respectful care is the clearest differentiator of primary healthcare performance. The evidence is strongest in Central Facilities, where rural women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EVI-COM-001, EVI-COM-004 | Confidence 89.5%</w:t>
      </w:r>
    </w:p>
    <w:p>
      <w:pPr>
        <w:pStyle w:val="Heading2"/>
      </w:pPr>
      <w:r>
        <w:t xml:space="preserve">FND-COM-02 — Critical finding 2: medicine availability</w:t>
      </w:r>
    </w:p>
    <w:p>
      <w:pPr>
        <w:spacing w:after="160" w:line="300"/>
      </w:pPr>
      <w:r>
        <w:rPr>
          <w:color w:val="263B4D"/>
          <w:sz w:val="21"/>
          <w:szCs w:val="21"/>
        </w:rPr>
        <w:t xml:space="preserve">Across Malawi's synthetic study areas, medicine availability is the clearest differentiator of primary healthcare performance. The evidence is strongest in Northern Facilities, where young adults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EVI-COM-002, EVI-COM-005 | Confidence 90.5%</w:t>
      </w:r>
    </w:p>
    <w:p>
      <w:pPr>
        <w:pStyle w:val="Heading2"/>
      </w:pPr>
      <w:r>
        <w:t xml:space="preserve">FND-COM-03 — Critical finding 3: wait-time reliability</w:t>
      </w:r>
    </w:p>
    <w:p>
      <w:pPr>
        <w:spacing w:after="160" w:line="300"/>
      </w:pPr>
      <w:r>
        <w:rPr>
          <w:color w:val="263B4D"/>
          <w:sz w:val="21"/>
          <w:szCs w:val="21"/>
        </w:rPr>
        <w:t xml:space="preserve">Across Malawi's synthetic study areas, wait-time reliability is the clearest differentiator of primary healthcare performance. The evidence is strongest in Southern Facilities, where persons with disabilities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EVI-COM-003, EVI-COM-006 | Confidence 91.5%</w:t>
      </w:r>
    </w:p>
    <w:p>
      <w:pPr>
        <w:pStyle w:val="Heading2"/>
      </w:pPr>
      <w:r>
        <w:t xml:space="preserve">FND-COM-04 — Critical finding 4: disability access</w:t>
      </w:r>
    </w:p>
    <w:p>
      <w:pPr>
        <w:spacing w:after="160" w:line="300"/>
      </w:pPr>
      <w:r>
        <w:rPr>
          <w:color w:val="263B4D"/>
          <w:sz w:val="21"/>
          <w:szCs w:val="21"/>
        </w:rPr>
        <w:t xml:space="preserve">Across Malawi's synthetic study areas, disability access is the clearest differentiator of primary healthcare performance. The evidence is strongest in Hard-to-Reach Facilities, where frontline workers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EVI-COM-004, EVI-COM-007 | Confidence 92.5%</w:t>
      </w:r>
    </w:p>
    <w:p>
      <w:pPr>
        <w:pStyle w:val="Heading2"/>
      </w:pPr>
      <w:r>
        <w:t xml:space="preserve">FND-COM-05 — Critical finding 5: provider-community accountability</w:t>
      </w:r>
    </w:p>
    <w:p>
      <w:pPr>
        <w:spacing w:after="160" w:line="300"/>
      </w:pPr>
      <w:r>
        <w:rPr>
          <w:color w:val="263B4D"/>
          <w:sz w:val="21"/>
          <w:szCs w:val="21"/>
        </w:rPr>
        <w:t xml:space="preserve">Across Malawi's synthetic study areas, provider-community accountability is the clearest differentiator of primary healthcare performance. The evidence is strongest in Central Facilities, where low-income households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EVI-COM-005, EVI-COM-008 | Confidence 93.5%</w:t>
      </w:r>
    </w:p>
    <w:p>
      <w:pPr>
        <w:pStyle w:val="Heading1"/>
        <w:pageBreakBefore/>
      </w:pPr>
      <w:r>
        <w:t xml:space="preserve">Decision Intelligence</w:t>
      </w:r>
    </w:p>
    <w:p>
      <w:pPr>
        <w:pStyle w:val="Heading2"/>
      </w:pPr>
      <w:r>
        <w:t xml:space="preserve">DEC-COM-01 — CRITICAL</w:t>
      </w:r>
    </w:p>
    <w:p>
      <w:pPr>
        <w:spacing w:after="160" w:line="300"/>
      </w:pPr>
      <w:r>
        <w:rPr>
          <w:color w:val="263B4D"/>
          <w:sz w:val="21"/>
          <w:szCs w:val="21"/>
        </w:rPr>
        <w:t xml:space="preserve">Agree facility-level service improvement contracts for primary healthcare.</w:t>
      </w:r>
    </w:p>
    <w:p>
      <w:pPr>
        <w:spacing w:after="160" w:line="300"/>
      </w:pPr>
      <w:r>
        <w:rPr>
          <w:color w:val="263B4D"/>
          <w:sz w:val="21"/>
          <w:szCs w:val="21"/>
        </w:rPr>
        <w:t xml:space="preserve">Owner: Country Director / Programme Executive | Timeline: 0–90 days | Budget: Medium — detailed costing and fiduciary review required</w:t>
      </w:r>
    </w:p>
    <w:p>
      <w:pPr>
        <w:spacing w:after="160" w:line="300"/>
      </w:pPr>
      <w:r>
        <w:rPr>
          <w:color w:val="263B4D"/>
          <w:sz w:val="21"/>
          <w:szCs w:val="21"/>
        </w:rPr>
        <w:t xml:space="preserve">Monitoring indicator: Percentage of agreed milestones completed for DEC-COM-01</w:t>
      </w:r>
    </w:p>
    <w:p>
      <w:pPr>
        <w:pStyle w:val="Heading2"/>
      </w:pPr>
      <w:r>
        <w:t xml:space="preserve">DEC-COM-02 — CRITICAL</w:t>
      </w:r>
    </w:p>
    <w:p>
      <w:pPr>
        <w:spacing w:after="160" w:line="300"/>
      </w:pPr>
      <w:r>
        <w:rPr>
          <w:color w:val="263B4D"/>
          <w:sz w:val="21"/>
          <w:szCs w:val="21"/>
        </w:rPr>
        <w:t xml:space="preserve">Stabilise tracer-medicine availability for primary healthcare.</w:t>
      </w:r>
    </w:p>
    <w:p>
      <w:pPr>
        <w:spacing w:after="160" w:line="300"/>
      </w:pPr>
      <w:r>
        <w:rPr>
          <w:color w:val="263B4D"/>
          <w:sz w:val="21"/>
          <w:szCs w:val="21"/>
        </w:rPr>
        <w:t xml:space="preserve">Owner: Country Director / Programme Executive | Timeline: 3–12 months | Budget: Low to medium — validate through the formal planning cycle</w:t>
      </w:r>
    </w:p>
    <w:p>
      <w:pPr>
        <w:spacing w:after="160" w:line="300"/>
      </w:pPr>
      <w:r>
        <w:rPr>
          <w:color w:val="263B4D"/>
          <w:sz w:val="21"/>
          <w:szCs w:val="21"/>
        </w:rPr>
        <w:t xml:space="preserve">Monitoring indicator: Percentage of agreed milestones completed for DEC-COM-02</w:t>
      </w:r>
    </w:p>
    <w:p>
      <w:pPr>
        <w:pStyle w:val="Heading2"/>
      </w:pPr>
      <w:r>
        <w:t xml:space="preserve">DEC-COM-03 — HIGH</w:t>
      </w:r>
    </w:p>
    <w:p>
      <w:pPr>
        <w:spacing w:after="160" w:line="300"/>
      </w:pPr>
      <w:r>
        <w:rPr>
          <w:color w:val="263B4D"/>
          <w:sz w:val="21"/>
          <w:szCs w:val="21"/>
        </w:rPr>
        <w:t xml:space="preserve">Introduce visible wait-time and triage standards for primary healthcare.</w:t>
      </w:r>
    </w:p>
    <w:p>
      <w:pPr>
        <w:spacing w:after="160" w:line="300"/>
      </w:pPr>
      <w:r>
        <w:rPr>
          <w:color w:val="263B4D"/>
          <w:sz w:val="21"/>
          <w:szCs w:val="21"/>
        </w:rPr>
        <w:t xml:space="preserve">Owner: Country Director / Programme Executive | Timeline: 3–12 months | Budget: Low to medium — validate through the formal planning cycle</w:t>
      </w:r>
    </w:p>
    <w:p>
      <w:pPr>
        <w:spacing w:after="160" w:line="300"/>
      </w:pPr>
      <w:r>
        <w:rPr>
          <w:color w:val="263B4D"/>
          <w:sz w:val="21"/>
          <w:szCs w:val="21"/>
        </w:rPr>
        <w:t xml:space="preserve">Monitoring indicator: Percentage of agreed milestones completed for DEC-COM-03</w:t>
      </w:r>
    </w:p>
    <w:p>
      <w:pPr>
        <w:pStyle w:val="Heading2"/>
      </w:pPr>
      <w:r>
        <w:t xml:space="preserve">DEC-COM-04 — HIGH</w:t>
      </w:r>
    </w:p>
    <w:p>
      <w:pPr>
        <w:spacing w:after="160" w:line="300"/>
      </w:pPr>
      <w:r>
        <w:rPr>
          <w:color w:val="263B4D"/>
          <w:sz w:val="21"/>
          <w:szCs w:val="21"/>
        </w:rPr>
        <w:t xml:space="preserve">Fund priority disability-access adaptations for primary healthcare.</w:t>
      </w:r>
    </w:p>
    <w:p>
      <w:pPr>
        <w:spacing w:after="160" w:line="300"/>
      </w:pPr>
      <w:r>
        <w:rPr>
          <w:color w:val="263B4D"/>
          <w:sz w:val="21"/>
          <w:szCs w:val="21"/>
        </w:rPr>
        <w:t xml:space="preserve">Owner: Country Director / Programme Executive | Timeline: 3–12 months | Budget: Low to medium — validate through the formal planning cycle</w:t>
      </w:r>
    </w:p>
    <w:p>
      <w:pPr>
        <w:spacing w:after="160" w:line="300"/>
      </w:pPr>
      <w:r>
        <w:rPr>
          <w:color w:val="263B4D"/>
          <w:sz w:val="21"/>
          <w:szCs w:val="21"/>
        </w:rPr>
        <w:t xml:space="preserve">Monitoring indicator: Percentage of agreed milestones completed for DEC-COM-04</w:t>
      </w:r>
    </w:p>
    <w:p>
      <w:pPr>
        <w:pStyle w:val="Heading2"/>
      </w:pPr>
      <w:r>
        <w:t xml:space="preserve">DEC-COM-05 — MEDIUM</w:t>
      </w:r>
    </w:p>
    <w:p>
      <w:pPr>
        <w:spacing w:after="160" w:line="300"/>
      </w:pPr>
      <w:r>
        <w:rPr>
          <w:color w:val="263B4D"/>
          <w:sz w:val="21"/>
          <w:szCs w:val="21"/>
        </w:rPr>
        <w:t xml:space="preserve">Hold quarterly community-provider evidence reviews for primary healthcare.</w:t>
      </w:r>
    </w:p>
    <w:p>
      <w:pPr>
        <w:spacing w:after="160" w:line="300"/>
      </w:pPr>
      <w:r>
        <w:rPr>
          <w:color w:val="263B4D"/>
          <w:sz w:val="21"/>
          <w:szCs w:val="21"/>
        </w:rPr>
        <w:t xml:space="preserve">Owner: Country Director / Programme Executive | Timeline: 6–18 months | Budget: Low to medium — validate through the formal planning cycle</w:t>
      </w:r>
    </w:p>
    <w:p>
      <w:pPr>
        <w:spacing w:after="160" w:line="300"/>
      </w:pPr>
      <w:r>
        <w:rPr>
          <w:color w:val="263B4D"/>
          <w:sz w:val="21"/>
          <w:szCs w:val="21"/>
        </w:rPr>
        <w:t xml:space="preserve">Monitoring indicator: Percentage of agreed milestones completed for DEC-COM-05</w:t>
      </w:r>
    </w:p>
    <w:p>
      <w:pPr>
        <w:pStyle w:val="Heading1"/>
        <w:pageBreakBefore/>
      </w:pPr>
      <w:r>
        <w:t xml:space="preserve">Methodology and Statistical Intelligence</w:t>
      </w:r>
    </w:p>
    <w:p>
      <w:pPr>
        <w:spacing w:after="120"/>
      </w:pPr>
      <w:r>
        <w:rPr>
          <w:b/>
          <w:bCs/>
        </w:rPr>
        <w:t xml:space="preserve">sampling design: </w:t>
      </w:r>
      <w:r>
        <w:t xml:space="preserve">Stratified multi-stage synthetic demonstration design</w:t>
      </w:r>
    </w:p>
    <w:p>
      <w:pPr>
        <w:spacing w:after="120"/>
      </w:pPr>
      <w:r>
        <w:rPr>
          <w:b/>
          <w:bCs/>
        </w:rPr>
        <w:t xml:space="preserve">sampling frame: </w:t>
      </w:r>
      <w:r>
        <w:t xml:space="preserve">Synthetic frame covering programme-relevant population groups in Malawi</w:t>
      </w:r>
    </w:p>
    <w:p>
      <w:pPr>
        <w:spacing w:after="120"/>
      </w:pPr>
      <w:r>
        <w:rPr>
          <w:b/>
          <w:bCs/>
        </w:rPr>
        <w:t xml:space="preserve">stratification: </w:t>
      </w:r>
      <w:r>
        <w:t xml:space="preserve">["Region","Urban/rural","Sex","Age","Disability status"]</w:t>
      </w:r>
    </w:p>
    <w:p>
      <w:pPr>
        <w:spacing w:after="120"/>
      </w:pPr>
      <w:r>
        <w:rPr>
          <w:b/>
          <w:bCs/>
        </w:rPr>
        <w:t xml:space="preserve">sample size: </w:t>
      </w:r>
      <w:r>
        <w:t xml:space="preserve">2437</w:t>
      </w:r>
    </w:p>
    <w:p>
      <w:pPr>
        <w:spacing w:after="120"/>
      </w:pPr>
      <w:r>
        <w:rPr>
          <w:b/>
          <w:bCs/>
        </w:rPr>
        <w:t xml:space="preserve">weighting: </w:t>
      </w:r>
      <w:r>
        <w:t xml:space="preserve">Post-stratification weights normalized to the synthetic population frame</w:t>
      </w:r>
    </w:p>
    <w:p>
      <w:pPr>
        <w:spacing w:after="120"/>
      </w:pPr>
      <w:r>
        <w:rPr>
          <w:b/>
          <w:bCs/>
        </w:rPr>
        <w:t xml:space="preserve">confidence intervals: </w:t>
      </w:r>
      <w:r>
        <w:t xml:space="preserve">95% confidence intervals shown for eligible weighted estimates</w:t>
      </w:r>
    </w:p>
    <w:p>
      <w:pPr>
        <w:spacing w:after="120"/>
      </w:pPr>
      <w:r>
        <w:rPr>
          <w:b/>
          <w:bCs/>
        </w:rPr>
        <w:t xml:space="preserve">response rate: </w:t>
      </w:r>
      <w:r>
        <w:t xml:space="preserve">86</w:t>
      </w:r>
    </w:p>
    <w:p>
      <w:pPr>
        <w:spacing w:after="120"/>
      </w:pPr>
      <w:r>
        <w:rPr>
          <w:b/>
          <w:bCs/>
        </w:rPr>
        <w:t xml:space="preserve">reliability: </w:t>
      </w:r>
      <w:r>
        <w:t xml:space="preserve">{"cronbach_alpha":0.86,"status":"acceptable"}</w:t>
      </w:r>
    </w:p>
    <w:p>
      <w:pPr>
        <w:spacing w:after="120"/>
      </w:pPr>
      <w:r>
        <w:rPr>
          <w:b/>
          <w:bCs/>
        </w:rPr>
        <w:t xml:space="preserve">validity: </w:t>
      </w:r>
      <w:r>
        <w:t xml:space="preserve">{"content":"expert-mapped synthetic instrument","construct":"factor structure reviewed for demonstration"}</w:t>
      </w:r>
    </w:p>
    <w:p>
      <w:pPr>
        <w:spacing w:after="120"/>
      </w:pPr>
      <w:r>
        <w:rPr>
          <w:b/>
          <w:bCs/>
        </w:rPr>
        <w:t xml:space="preserve">regression: </w:t>
      </w:r>
      <w:r>
        <w:t xml:space="preserve">Multivariable regression included where outcome and assumptions are suitable</w:t>
      </w:r>
    </w:p>
    <w:p>
      <w:pPr>
        <w:spacing w:after="120"/>
      </w:pPr>
      <w:r>
        <w:rPr>
          <w:b/>
          <w:bCs/>
        </w:rPr>
        <w:t xml:space="preserve">trend analysis: </w:t>
      </w:r>
      <w:r>
        <w:t xml:space="preserve">Three-period synthetic trend series</w:t>
      </w:r>
    </w:p>
    <w:p>
      <w:pPr>
        <w:spacing w:after="120"/>
      </w:pPr>
      <w:r>
        <w:rPr>
          <w:b/>
          <w:bCs/>
        </w:rPr>
        <w:t xml:space="preserve">cross tabulation: </w:t>
      </w:r>
      <w:r>
        <w:t xml:space="preserve">["Sex × location","Age × service access","Disability × satisfaction"]</w:t>
      </w:r>
    </w:p>
    <w:p>
      <w:pPr>
        <w:spacing w:after="120"/>
      </w:pPr>
      <w:r>
        <w:rPr>
          <w:b/>
          <w:bCs/>
        </w:rPr>
        <w:t xml:space="preserve">segmentation: </w:t>
      </w:r>
      <w:r>
        <w:t xml:space="preserve">Five evidence-led respondent segments</w:t>
      </w:r>
    </w:p>
    <w:p>
      <w:pPr>
        <w:spacing w:after="120"/>
      </w:pPr>
      <w:r>
        <w:rPr>
          <w:b/>
          <w:bCs/>
        </w:rPr>
        <w:t xml:space="preserve">missing data analysis: </w:t>
      </w:r>
      <w:r>
        <w:t xml:space="preserve">{"item_nonresponse_percent":2.4,"treatment":"multiple imputation for eligible analytical variables; complete-case sensitivity check"}</w:t>
      </w:r>
    </w:p>
    <w:p>
      <w:pPr>
        <w:spacing w:after="120"/>
      </w:pPr>
      <w:r>
        <w:rPr>
          <w:b/>
          <w:bCs/>
        </w:rPr>
        <w:t xml:space="preserve">outlier detection: </w:t>
      </w:r>
      <w:r>
        <w:t xml:space="preserve">IQR, leverage and influence diagnostics</w:t>
      </w:r>
    </w:p>
    <w:p>
      <w:pPr>
        <w:spacing w:after="120"/>
      </w:pPr>
      <w:r>
        <w:rPr>
          <w:b/>
          <w:bCs/>
        </w:rPr>
        <w:t xml:space="preserve">design effect: </w:t>
      </w:r>
      <w:r>
        <w:t xml:space="preserve">1.3</w:t>
      </w:r>
    </w:p>
    <w:p>
      <w:pPr>
        <w:spacing w:after="120"/>
      </w:pPr>
      <w:r>
        <w:rPr>
          <w:b/>
          <w:bCs/>
        </w:rPr>
        <w:t xml:space="preserve">data quality assessment: </w:t>
      </w:r>
      <w:r>
        <w:t xml:space="preserve">Passed synthetic consistency, range, duplicate and contradiction checks</w:t>
      </w:r>
    </w:p>
    <w:p>
      <w:pPr>
        <w:spacing w:after="120"/>
      </w:pPr>
      <w:r>
        <w:rPr>
          <w:b/>
          <w:bCs/>
        </w:rPr>
        <w:t xml:space="preserve">reproducibility notes: </w:t>
      </w:r>
      <w:r>
        <w:t xml:space="preserve">Deterministic generator, documented transformations and export manifest</w:t>
      </w:r>
    </w:p>
    <w:p>
      <w:pPr>
        <w:spacing w:after="120"/>
      </w:pPr>
      <w:r>
        <w:rPr>
          <w:b/>
          <w:bCs/>
        </w:rPr>
        <w:t xml:space="preserve">methodological limitations: </w:t>
      </w:r>
      <w:r>
        <w:t xml:space="preserve">["Synthetic data cannot support population inference","No institutional endorsement is implied","Cost estimates require external validation"]</w:t>
      </w:r>
    </w:p>
    <w:p>
      <w:pPr>
        <w:pStyle w:val="Heading1"/>
        <w:pageBreakBefore/>
      </w:pPr>
      <w:r>
        <w:t xml:space="preserve">International Standards Applicability</w:t>
      </w:r>
    </w:p>
    <w:p>
      <w:pPr>
        <w:pStyle w:val="Heading2"/>
      </w:pPr>
      <w:r>
        <w:t xml:space="preserve">Data Protection and Privacy Controls — APPLICABLE</w:t>
      </w:r>
    </w:p>
    <w:p>
      <w:pPr>
        <w:spacing w:after="160" w:line="300"/>
      </w:pPr>
      <w:r>
        <w:rPr>
          <w:color w:val="263B4D"/>
          <w:sz w:val="21"/>
          <w:szCs w:val="21"/>
        </w:rPr>
        <w:t xml:space="preserve">The publication uses governed response, evidence and export data.</w:t>
      </w:r>
    </w:p>
    <w:p>
      <w:pPr>
        <w:spacing w:after="160" w:line="300"/>
      </w:pPr>
      <w:r>
        <w:rPr>
          <w:color w:val="263B4D"/>
          <w:sz w:val="21"/>
          <w:szCs w:val="21"/>
        </w:rPr>
        <w:t xml:space="preserve">Criteria: Purpose limitation, Data minimisation, Access control, Retention, Disclosure control</w:t>
      </w:r>
    </w:p>
    <w:p>
      <w:pPr>
        <w:spacing w:after="160" w:line="300"/>
      </w:pPr>
      <w:r>
        <w:rPr>
          <w:color w:val="263B4D"/>
          <w:sz w:val="21"/>
          <w:szCs w:val="21"/>
        </w:rPr>
        <w:t xml:space="preserve">Limitation: Synthetic demonstration; no institutional endorsement.</w:t>
      </w:r>
    </w:p>
    <w:p>
      <w:pPr>
        <w:pStyle w:val="Heading2"/>
      </w:pPr>
      <w:r>
        <w:t xml:space="preserve">Results-Based Management — APPLICABLE</w:t>
      </w:r>
    </w:p>
    <w:p>
      <w:pPr>
        <w:spacing w:after="160" w:line="300"/>
      </w:pPr>
      <w:r>
        <w:rPr>
          <w:color w:val="263B4D"/>
          <w:sz w:val="21"/>
          <w:szCs w:val="21"/>
        </w:rPr>
        <w:t xml:space="preserve">Findings and recommendations are connected to outputs, outcomes and indicators.</w:t>
      </w:r>
    </w:p>
    <w:p>
      <w:pPr>
        <w:spacing w:after="160" w:line="300"/>
      </w:pPr>
      <w:r>
        <w:rPr>
          <w:color w:val="263B4D"/>
          <w:sz w:val="21"/>
          <w:szCs w:val="21"/>
        </w:rPr>
        <w:t xml:space="preserve">Criteria: Results chain, Indicators, Assumptions, Monitoring</w:t>
      </w:r>
    </w:p>
    <w:p>
      <w:pPr>
        <w:spacing w:after="160" w:line="300"/>
      </w:pPr>
      <w:r>
        <w:rPr>
          <w:color w:val="263B4D"/>
          <w:sz w:val="21"/>
          <w:szCs w:val="21"/>
        </w:rPr>
        <w:t xml:space="preserve">Limitation: Synthetic demonstration; no institutional endorsement.</w:t>
      </w:r>
    </w:p>
    <w:p>
      <w:pPr>
        <w:pStyle w:val="Heading2"/>
      </w:pPr>
      <w:r>
        <w:t xml:space="preserve">Theory of Change — APPLICABLE</w:t>
      </w:r>
    </w:p>
    <w:p>
      <w:pPr>
        <w:spacing w:after="160" w:line="300"/>
      </w:pPr>
      <w:r>
        <w:rPr>
          <w:color w:val="263B4D"/>
          <w:sz w:val="21"/>
          <w:szCs w:val="21"/>
        </w:rPr>
        <w:t xml:space="preserve">The report tests causal pathways, assumptions and risks without claiming unsupported attribution.</w:t>
      </w:r>
    </w:p>
    <w:p>
      <w:pPr>
        <w:spacing w:after="160" w:line="300"/>
      </w:pPr>
      <w:r>
        <w:rPr>
          <w:color w:val="263B4D"/>
          <w:sz w:val="21"/>
          <w:szCs w:val="21"/>
        </w:rPr>
        <w:t xml:space="preserve">Criteria: Inputs, Activities, Outputs, Outcomes, Impact, Assumptions</w:t>
      </w:r>
    </w:p>
    <w:p>
      <w:pPr>
        <w:spacing w:after="160" w:line="300"/>
      </w:pPr>
      <w:r>
        <w:rPr>
          <w:color w:val="263B4D"/>
          <w:sz w:val="21"/>
          <w:szCs w:val="21"/>
        </w:rPr>
        <w:t xml:space="preserve">Limitation: Synthetic demonstration; no institutional endorsement.</w:t>
      </w:r>
    </w:p>
    <w:p>
      <w:pPr>
        <w:pStyle w:val="Heading1"/>
        <w:pageBreakBefore/>
      </w:pPr>
      <w:r>
        <w:t xml:space="preserve">Evidence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CEFE5" w:val="clear"/>
          </w:tcPr>
          <w:p>
            <w:r>
              <w:rPr>
                <w:b/>
                <w:bCs/>
                <w:color w:val="102A43"/>
                <w:sz w:val="20"/>
                <w:szCs w:val="20"/>
              </w:rPr>
              <w:t xml:space="preserve">Evidence ID</w:t>
            </w:r>
          </w:p>
        </w:tc>
        <w:tc>
          <w:tcPr>
            <w:tcW w:type="pct" w:w="50%"/>
            <w:shd w:fill="DCEFE5" w:val="clear"/>
          </w:tcPr>
          <w:p>
            <w:r>
              <w:rPr>
                <w:b/>
                <w:bCs/>
                <w:color w:val="102A43"/>
                <w:sz w:val="20"/>
                <w:szCs w:val="20"/>
              </w:rPr>
              <w:t xml:space="preserve">Source / confidence</w:t>
            </w:r>
          </w:p>
        </w:tc>
      </w:tr>
      <w:tr>
        <w:tc>
          <w:tcPr>
            <w:tcW w:type="pct" w:w="50%"/>
            <w:shd w:fill="FFFFFF" w:val="clear"/>
          </w:tcPr>
          <w:p>
            <w:r>
              <w:rPr>
                <w:b w:val="false"/>
                <w:bCs w:val="false"/>
                <w:color w:val="102A43"/>
                <w:sz w:val="20"/>
                <w:szCs w:val="20"/>
              </w:rPr>
              <w:t xml:space="preserve">EVI-COM-001</w:t>
            </w:r>
          </w:p>
        </w:tc>
        <w:tc>
          <w:tcPr>
            <w:tcW w:type="pct" w:w="50%"/>
            <w:shd w:fill="FFFFFF" w:val="clear"/>
          </w:tcPr>
          <w:p>
            <w:r>
              <w:rPr>
                <w:b w:val="false"/>
                <w:bCs w:val="false"/>
                <w:color w:val="102A43"/>
                <w:sz w:val="20"/>
                <w:szCs w:val="20"/>
              </w:rPr>
              <w:t xml:space="preserve">SYN-COMM-0001 | 88%</w:t>
            </w:r>
          </w:p>
        </w:tc>
      </w:tr>
      <w:tr>
        <w:tc>
          <w:tcPr>
            <w:tcW w:type="pct" w:w="50%"/>
            <w:shd w:fill="FFFFFF" w:val="clear"/>
          </w:tcPr>
          <w:p>
            <w:r>
              <w:rPr>
                <w:b w:val="false"/>
                <w:bCs w:val="false"/>
                <w:color w:val="102A43"/>
                <w:sz w:val="20"/>
                <w:szCs w:val="20"/>
              </w:rPr>
              <w:t xml:space="preserve">EVI-COM-002</w:t>
            </w:r>
          </w:p>
        </w:tc>
        <w:tc>
          <w:tcPr>
            <w:tcW w:type="pct" w:w="50%"/>
            <w:shd w:fill="FFFFFF" w:val="clear"/>
          </w:tcPr>
          <w:p>
            <w:r>
              <w:rPr>
                <w:b w:val="false"/>
                <w:bCs w:val="false"/>
                <w:color w:val="102A43"/>
                <w:sz w:val="20"/>
                <w:szCs w:val="20"/>
              </w:rPr>
              <w:t xml:space="preserve">SYN-COMM-0002 | 89%</w:t>
            </w:r>
          </w:p>
        </w:tc>
      </w:tr>
      <w:tr>
        <w:tc>
          <w:tcPr>
            <w:tcW w:type="pct" w:w="50%"/>
            <w:shd w:fill="FFFFFF" w:val="clear"/>
          </w:tcPr>
          <w:p>
            <w:r>
              <w:rPr>
                <w:b w:val="false"/>
                <w:bCs w:val="false"/>
                <w:color w:val="102A43"/>
                <w:sz w:val="20"/>
                <w:szCs w:val="20"/>
              </w:rPr>
              <w:t xml:space="preserve">EVI-COM-003</w:t>
            </w:r>
          </w:p>
        </w:tc>
        <w:tc>
          <w:tcPr>
            <w:tcW w:type="pct" w:w="50%"/>
            <w:shd w:fill="FFFFFF" w:val="clear"/>
          </w:tcPr>
          <w:p>
            <w:r>
              <w:rPr>
                <w:b w:val="false"/>
                <w:bCs w:val="false"/>
                <w:color w:val="102A43"/>
                <w:sz w:val="20"/>
                <w:szCs w:val="20"/>
              </w:rPr>
              <w:t xml:space="preserve">SYN-COMM-0003 | 90%</w:t>
            </w:r>
          </w:p>
        </w:tc>
      </w:tr>
      <w:tr>
        <w:tc>
          <w:tcPr>
            <w:tcW w:type="pct" w:w="50%"/>
            <w:shd w:fill="FFFFFF" w:val="clear"/>
          </w:tcPr>
          <w:p>
            <w:r>
              <w:rPr>
                <w:b w:val="false"/>
                <w:bCs w:val="false"/>
                <w:color w:val="102A43"/>
                <w:sz w:val="20"/>
                <w:szCs w:val="20"/>
              </w:rPr>
              <w:t xml:space="preserve">EVI-COM-004</w:t>
            </w:r>
          </w:p>
        </w:tc>
        <w:tc>
          <w:tcPr>
            <w:tcW w:type="pct" w:w="50%"/>
            <w:shd w:fill="FFFFFF" w:val="clear"/>
          </w:tcPr>
          <w:p>
            <w:r>
              <w:rPr>
                <w:b w:val="false"/>
                <w:bCs w:val="false"/>
                <w:color w:val="102A43"/>
                <w:sz w:val="20"/>
                <w:szCs w:val="20"/>
              </w:rPr>
              <w:t xml:space="preserve">SYN-COMM-0004 | 91%</w:t>
            </w:r>
          </w:p>
        </w:tc>
      </w:tr>
      <w:tr>
        <w:tc>
          <w:tcPr>
            <w:tcW w:type="pct" w:w="50%"/>
            <w:shd w:fill="FFFFFF" w:val="clear"/>
          </w:tcPr>
          <w:p>
            <w:r>
              <w:rPr>
                <w:b w:val="false"/>
                <w:bCs w:val="false"/>
                <w:color w:val="102A43"/>
                <w:sz w:val="20"/>
                <w:szCs w:val="20"/>
              </w:rPr>
              <w:t xml:space="preserve">EVI-COM-005</w:t>
            </w:r>
          </w:p>
        </w:tc>
        <w:tc>
          <w:tcPr>
            <w:tcW w:type="pct" w:w="50%"/>
            <w:shd w:fill="FFFFFF" w:val="clear"/>
          </w:tcPr>
          <w:p>
            <w:r>
              <w:rPr>
                <w:b w:val="false"/>
                <w:bCs w:val="false"/>
                <w:color w:val="102A43"/>
                <w:sz w:val="20"/>
                <w:szCs w:val="20"/>
              </w:rPr>
              <w:t xml:space="preserve">SYN-COMM-0005 | 92%</w:t>
            </w:r>
          </w:p>
        </w:tc>
      </w:tr>
      <w:tr>
        <w:tc>
          <w:tcPr>
            <w:tcW w:type="pct" w:w="50%"/>
            <w:shd w:fill="FFFFFF" w:val="clear"/>
          </w:tcPr>
          <w:p>
            <w:r>
              <w:rPr>
                <w:b w:val="false"/>
                <w:bCs w:val="false"/>
                <w:color w:val="102A43"/>
                <w:sz w:val="20"/>
                <w:szCs w:val="20"/>
              </w:rPr>
              <w:t xml:space="preserve">EVI-COM-006</w:t>
            </w:r>
          </w:p>
        </w:tc>
        <w:tc>
          <w:tcPr>
            <w:tcW w:type="pct" w:w="50%"/>
            <w:shd w:fill="FFFFFF" w:val="clear"/>
          </w:tcPr>
          <w:p>
            <w:r>
              <w:rPr>
                <w:b w:val="false"/>
                <w:bCs w:val="false"/>
                <w:color w:val="102A43"/>
                <w:sz w:val="20"/>
                <w:szCs w:val="20"/>
              </w:rPr>
              <w:t xml:space="preserve">SYN-COMM-0006 | 93%</w:t>
            </w:r>
          </w:p>
        </w:tc>
      </w:tr>
      <w:tr>
        <w:tc>
          <w:tcPr>
            <w:tcW w:type="pct" w:w="50%"/>
            <w:shd w:fill="FFFFFF" w:val="clear"/>
          </w:tcPr>
          <w:p>
            <w:r>
              <w:rPr>
                <w:b w:val="false"/>
                <w:bCs w:val="false"/>
                <w:color w:val="102A43"/>
                <w:sz w:val="20"/>
                <w:szCs w:val="20"/>
              </w:rPr>
              <w:t xml:space="preserve">EVI-COM-007</w:t>
            </w:r>
          </w:p>
        </w:tc>
        <w:tc>
          <w:tcPr>
            <w:tcW w:type="pct" w:w="50%"/>
            <w:shd w:fill="FFFFFF" w:val="clear"/>
          </w:tcPr>
          <w:p>
            <w:r>
              <w:rPr>
                <w:b w:val="false"/>
                <w:bCs w:val="false"/>
                <w:color w:val="102A43"/>
                <w:sz w:val="20"/>
                <w:szCs w:val="20"/>
              </w:rPr>
              <w:t xml:space="preserve">SYN-COMM-0007 | 94%</w:t>
            </w:r>
          </w:p>
        </w:tc>
      </w:tr>
      <w:tr>
        <w:tc>
          <w:tcPr>
            <w:tcW w:type="pct" w:w="50%"/>
            <w:shd w:fill="FFFFFF" w:val="clear"/>
          </w:tcPr>
          <w:p>
            <w:r>
              <w:rPr>
                <w:b w:val="false"/>
                <w:bCs w:val="false"/>
                <w:color w:val="102A43"/>
                <w:sz w:val="20"/>
                <w:szCs w:val="20"/>
              </w:rPr>
              <w:t xml:space="preserve">EVI-COM-008</w:t>
            </w:r>
          </w:p>
        </w:tc>
        <w:tc>
          <w:tcPr>
            <w:tcW w:type="pct" w:w="50%"/>
            <w:shd w:fill="FFFFFF" w:val="clear"/>
          </w:tcPr>
          <w:p>
            <w:r>
              <w:rPr>
                <w:b w:val="false"/>
                <w:bCs w:val="false"/>
                <w:color w:val="102A43"/>
                <w:sz w:val="20"/>
                <w:szCs w:val="20"/>
              </w:rPr>
              <w:t xml:space="preserve">SYN-COMM-0008 | 95%</w:t>
            </w:r>
          </w:p>
        </w:tc>
      </w:tr>
      <w:tr>
        <w:tc>
          <w:tcPr>
            <w:tcW w:type="pct" w:w="50%"/>
            <w:shd w:fill="FFFFFF" w:val="clear"/>
          </w:tcPr>
          <w:p>
            <w:r>
              <w:rPr>
                <w:b w:val="false"/>
                <w:bCs w:val="false"/>
                <w:color w:val="102A43"/>
                <w:sz w:val="20"/>
                <w:szCs w:val="20"/>
              </w:rPr>
              <w:t xml:space="preserve">EVI-COM-009</w:t>
            </w:r>
          </w:p>
        </w:tc>
        <w:tc>
          <w:tcPr>
            <w:tcW w:type="pct" w:w="50%"/>
            <w:shd w:fill="FFFFFF" w:val="clear"/>
          </w:tcPr>
          <w:p>
            <w:r>
              <w:rPr>
                <w:b w:val="false"/>
                <w:bCs w:val="false"/>
                <w:color w:val="102A43"/>
                <w:sz w:val="20"/>
                <w:szCs w:val="20"/>
              </w:rPr>
              <w:t xml:space="preserve">SYN-COMM-0009 | 96%</w:t>
            </w:r>
          </w:p>
        </w:tc>
      </w:tr>
      <w:tr>
        <w:tc>
          <w:tcPr>
            <w:tcW w:type="pct" w:w="50%"/>
            <w:shd w:fill="FFFFFF" w:val="clear"/>
          </w:tcPr>
          <w:p>
            <w:r>
              <w:rPr>
                <w:b w:val="false"/>
                <w:bCs w:val="false"/>
                <w:color w:val="102A43"/>
                <w:sz w:val="20"/>
                <w:szCs w:val="20"/>
              </w:rPr>
              <w:t xml:space="preserve">EVI-COM-010</w:t>
            </w:r>
          </w:p>
        </w:tc>
        <w:tc>
          <w:tcPr>
            <w:tcW w:type="pct" w:w="50%"/>
            <w:shd w:fill="FFFFFF" w:val="clear"/>
          </w:tcPr>
          <w:p>
            <w:r>
              <w:rPr>
                <w:b w:val="false"/>
                <w:bCs w:val="false"/>
                <w:color w:val="102A43"/>
                <w:sz w:val="20"/>
                <w:szCs w:val="20"/>
              </w:rPr>
              <w:t xml:space="preserve">SYN-COMM-0010 | 97%</w:t>
            </w:r>
          </w:p>
        </w:tc>
      </w:tr>
    </w:tbl>
    <w:p>
      <w:pPr>
        <w:pStyle w:val="Heading1"/>
        <w:pageBreakBefore/>
      </w:pPr>
      <w:r>
        <w:t xml:space="preserve">Limitations and Responsible Use</w:t>
      </w:r>
    </w:p>
    <w:p>
      <w:pPr>
        <w:pStyle w:val="ListParagraph"/>
        <w:numPr>
          <w:ilvl w:val="0"/>
          <w:numId w:val="1"/>
        </w:numPr>
        <w:spacing w:after="100"/>
      </w:pPr>
      <w:r>
        <w:t xml:space="preserve">All content is synthetic and must not be interpreted as official statistics</w:t>
      </w:r>
    </w:p>
    <w:p>
      <w:pPr>
        <w:pStyle w:val="ListParagraph"/>
        <w:numPr>
          <w:ilvl w:val="0"/>
          <w:numId w:val="1"/>
        </w:numPr>
        <w:spacing w:after="100"/>
      </w:pPr>
      <w:r>
        <w:t xml:space="preserve">Geographic references are illustrative</w:t>
      </w:r>
    </w:p>
    <w:p>
      <w:pPr>
        <w:pStyle w:val="ListParagraph"/>
        <w:numPr>
          <w:ilvl w:val="0"/>
          <w:numId w:val="1"/>
        </w:numPr>
        <w:spacing w:after="100"/>
      </w:pPr>
      <w:r>
        <w:t xml:space="preserve">Budget implications are directional and require formal costing</w:t>
      </w:r>
    </w:p>
    <w:p>
      <w:pPr>
        <w:pStyle w:val="ListParagraph"/>
        <w:numPr>
          <w:ilvl w:val="0"/>
          <w:numId w:val="1"/>
        </w:numPr>
        <w:spacing w:after="100"/>
      </w:pPr>
      <w:r>
        <w:t xml:space="preserve">Causal claims are not made without an appropriate design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VIA-FLAGSHIP-COMMUNITY-SCORECARD-INTELLIGENCE |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07883F"/>
        <w:sz w:val="16"/>
        <w:szCs w:val="16"/>
      </w:rPr>
      <w:t xml:space="preserve">VOICEINSIGHTS AFRICA | GOVERNED FLAGSHIP PUBLICATION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63B4D"/>
        <w:sz w:val="21"/>
        <w:szCs w:val="21"/>
      </w:rPr>
    </w:rPrDefault>
    <w:pPrDefault>
      <w:pPr>
        <w:spacing w:after="12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ptos Display" w:cs="Aptos Display" w:eastAsia="Aptos Display" w:hAnsi="Aptos Display"/>
      <w:b/>
      <w:bCs/>
      <w:color w:val="082B55"/>
      <w:sz w:val="36"/>
      <w:szCs w:val="36"/>
    </w:rPr>
  </w:style>
  <w:style w:type="paragraph" w:styleId="Heading2">
    <w:name w:val="Heading 2"/>
    <w:basedOn w:val="Normal"/>
    <w:next w:val="Normal"/>
    <w:qFormat/>
    <w:pPr>
      <w:spacing w:after="100" w:before="180"/>
      <w:outlineLvl w:val="1"/>
    </w:pPr>
    <w:rPr>
      <w:rFonts w:ascii="Aptos" w:cs="Aptos" w:eastAsia="Aptos" w:hAnsi="Aptos"/>
      <w:b/>
      <w:bCs/>
      <w:color w:val="07883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4b12379a205cc7712dc0e06240b123dddeea71e.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Scorecard Intelligence Report</dc:title>
  <dc:creator>VoiceInsights Africa</dc:creator>
  <dc:description>Synthetic Demonstration Publication</dc:description>
  <cp:lastModifiedBy>Un-named</cp:lastModifiedBy>
  <cp:revision>1</cp:revision>
  <dcterms:created xsi:type="dcterms:W3CDTF">2026-07-12T22:51:25.276Z</dcterms:created>
  <dcterms:modified xsi:type="dcterms:W3CDTF">2026-07-12T22:51:25.276Z</dcterms:modified>
</cp:coreProperties>
</file>

<file path=docProps/custom.xml><?xml version="1.0" encoding="utf-8"?>
<Properties xmlns="http://schemas.openxmlformats.org/officeDocument/2006/custom-properties" xmlns:vt="http://schemas.openxmlformats.org/officeDocument/2006/docPropsVTypes"/>
</file>