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111827"/>
          <w:sz w:val="48"/>
          <w:szCs w:val="48"/>
        </w:rPr>
        <w:t xml:space="preserve">Executive Board Intelligence Report</w:t>
      </w:r>
    </w:p>
    <w:p>
      <w:pPr>
        <w:jc w:val="center"/>
      </w:pPr>
      <w:r>
        <w:rPr>
          <w:color w:val="52667A"/>
          <w:sz w:val="24"/>
          <w:szCs w:val="24"/>
        </w:rPr>
        <w:t xml:space="preserve">South Africa | Enterprise Performance</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enterprise performance performance in South Africa.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Approve a value-creation plan with quarterly board gates for enterprise performance.</w:t>
      </w:r>
    </w:p>
    <w:p>
      <w:pPr>
        <w:pStyle w:val="ListParagraph"/>
        <w:numPr>
          <w:ilvl w:val="0"/>
          <w:numId w:val="1"/>
        </w:numPr>
        <w:spacing w:after="100"/>
      </w:pPr>
      <w:r>
        <w:t xml:space="preserve">Exit structurally low-return activities for enterprise performance.</w:t>
      </w:r>
    </w:p>
    <w:p>
      <w:pPr>
        <w:pStyle w:val="ListParagraph"/>
        <w:numPr>
          <w:ilvl w:val="0"/>
          <w:numId w:val="1"/>
        </w:numPr>
        <w:spacing w:after="100"/>
      </w:pPr>
      <w:r>
        <w:t xml:space="preserve">Create one enterprise execution office for enterprise performance.</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1433</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85</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FND-EXE-01 — Critical finding 1: profitable growth quality</w:t>
      </w:r>
    </w:p>
    <w:p>
      <w:pPr>
        <w:spacing w:after="160" w:line="300"/>
      </w:pPr>
      <w:r>
        <w:rPr>
          <w:color w:val="263B4D"/>
          <w:sz w:val="21"/>
          <w:szCs w:val="21"/>
        </w:rPr>
        <w:t xml:space="preserve">Across South Africa's synthetic study areas, profitable growth quality is the clearest differentiator of enterprise performance performance. The evidence is strongest in Southern Africa,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EVI-EXE-001, EVI-EXE-004 | Confidence 92.5%</w:t>
      </w:r>
    </w:p>
    <w:p>
      <w:pPr>
        <w:pStyle w:val="Heading2"/>
      </w:pPr>
      <w:r>
        <w:t xml:space="preserve">FND-EXE-02 — Critical finding 2: operating leverage</w:t>
      </w:r>
    </w:p>
    <w:p>
      <w:pPr>
        <w:spacing w:after="160" w:line="300"/>
      </w:pPr>
      <w:r>
        <w:rPr>
          <w:color w:val="263B4D"/>
          <w:sz w:val="21"/>
          <w:szCs w:val="21"/>
        </w:rPr>
        <w:t xml:space="preserve">Across South Africa's synthetic study areas, operating leverage is the clearest differentiator of enterprise performance performance. The evidence is strongest in East Africa,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EVI-EXE-002, EVI-EXE-005 | Confidence 93.5%</w:t>
      </w:r>
    </w:p>
    <w:p>
      <w:pPr>
        <w:pStyle w:val="Heading2"/>
      </w:pPr>
      <w:r>
        <w:t xml:space="preserve">FND-EXE-03 — Critical finding 3: strategic execution</w:t>
      </w:r>
    </w:p>
    <w:p>
      <w:pPr>
        <w:spacing w:after="160" w:line="300"/>
      </w:pPr>
      <w:r>
        <w:rPr>
          <w:color w:val="263B4D"/>
          <w:sz w:val="21"/>
          <w:szCs w:val="21"/>
        </w:rPr>
        <w:t xml:space="preserve">Across South Africa's synthetic study areas, strategic execution is the clearest differentiator of enterprise performance performance. The evidence is strongest in West Africa,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EVI-EXE-003, EVI-EXE-006 | Confidence 94.5%</w:t>
      </w:r>
    </w:p>
    <w:p>
      <w:pPr>
        <w:pStyle w:val="Heading2"/>
      </w:pPr>
      <w:r>
        <w:t xml:space="preserve">FND-EXE-04 — Critical finding 4: enterprise risk concentration</w:t>
      </w:r>
    </w:p>
    <w:p>
      <w:pPr>
        <w:spacing w:after="160" w:line="300"/>
      </w:pPr>
      <w:r>
        <w:rPr>
          <w:color w:val="263B4D"/>
          <w:sz w:val="21"/>
          <w:szCs w:val="21"/>
        </w:rPr>
        <w:t xml:space="preserve">Across South Africa's synthetic study areas, enterprise risk concentration is the clearest differentiator of enterprise performance performance. The evidence is strongest in Central Functions,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EVI-EXE-004, EVI-EXE-007 | Confidence 95.5%</w:t>
      </w:r>
    </w:p>
    <w:p>
      <w:pPr>
        <w:pStyle w:val="Heading2"/>
      </w:pPr>
      <w:r>
        <w:t xml:space="preserve">FND-EXE-05 — Critical finding 5: capital allocation discipline</w:t>
      </w:r>
    </w:p>
    <w:p>
      <w:pPr>
        <w:spacing w:after="160" w:line="300"/>
      </w:pPr>
      <w:r>
        <w:rPr>
          <w:color w:val="263B4D"/>
          <w:sz w:val="21"/>
          <w:szCs w:val="21"/>
        </w:rPr>
        <w:t xml:space="preserve">Across South Africa's synthetic study areas, capital allocation discipline is the clearest differentiator of enterprise performance performance. The evidence is strongest in Southern Africa,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EVI-EXE-005, EVI-EXE-008 | Confidence 96.5%</w:t>
      </w:r>
    </w:p>
    <w:p>
      <w:pPr>
        <w:pStyle w:val="Heading1"/>
        <w:pageBreakBefore/>
      </w:pPr>
      <w:r>
        <w:t xml:space="preserve">Decision Intelligence</w:t>
      </w:r>
    </w:p>
    <w:p>
      <w:pPr>
        <w:pStyle w:val="Heading2"/>
      </w:pPr>
      <w:r>
        <w:t xml:space="preserve">DEC-EXE-01 — CRITICAL</w:t>
      </w:r>
    </w:p>
    <w:p>
      <w:pPr>
        <w:spacing w:after="160" w:line="300"/>
      </w:pPr>
      <w:r>
        <w:rPr>
          <w:color w:val="263B4D"/>
          <w:sz w:val="21"/>
          <w:szCs w:val="21"/>
        </w:rPr>
        <w:t xml:space="preserve">Approve a value-creation plan with quarterly board gates for enterprise performance.</w:t>
      </w:r>
    </w:p>
    <w:p>
      <w:pPr>
        <w:spacing w:after="160" w:line="300"/>
      </w:pPr>
      <w:r>
        <w:rPr>
          <w:color w:val="263B4D"/>
          <w:sz w:val="21"/>
          <w:szCs w:val="21"/>
        </w:rPr>
        <w:t xml:space="preserve">Owner: Chief Executive Officer / Board Sponsor | Timeline: 0–90 days | Budget: Medium — detailed costing and fiduciary review required</w:t>
      </w:r>
    </w:p>
    <w:p>
      <w:pPr>
        <w:spacing w:after="160" w:line="300"/>
      </w:pPr>
      <w:r>
        <w:rPr>
          <w:color w:val="263B4D"/>
          <w:sz w:val="21"/>
          <w:szCs w:val="21"/>
        </w:rPr>
        <w:t xml:space="preserve">Monitoring indicator: Percentage of agreed milestones completed for DEC-EXE-01</w:t>
      </w:r>
    </w:p>
    <w:p>
      <w:pPr>
        <w:pStyle w:val="Heading2"/>
      </w:pPr>
      <w:r>
        <w:t xml:space="preserve">DEC-EXE-02 — CRITICAL</w:t>
      </w:r>
    </w:p>
    <w:p>
      <w:pPr>
        <w:spacing w:after="160" w:line="300"/>
      </w:pPr>
      <w:r>
        <w:rPr>
          <w:color w:val="263B4D"/>
          <w:sz w:val="21"/>
          <w:szCs w:val="21"/>
        </w:rPr>
        <w:t xml:space="preserve">Exit structurally low-return activities for enterprise performance.</w:t>
      </w:r>
    </w:p>
    <w:p>
      <w:pPr>
        <w:spacing w:after="160" w:line="300"/>
      </w:pPr>
      <w:r>
        <w:rPr>
          <w:color w:val="263B4D"/>
          <w:sz w:val="21"/>
          <w:szCs w:val="21"/>
        </w:rPr>
        <w:t xml:space="preserve">Owner: Chief Executive Officer / Board Sponsor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DEC-EXE-02</w:t>
      </w:r>
    </w:p>
    <w:p>
      <w:pPr>
        <w:pStyle w:val="Heading2"/>
      </w:pPr>
      <w:r>
        <w:t xml:space="preserve">DEC-EXE-03 — HIGH</w:t>
      </w:r>
    </w:p>
    <w:p>
      <w:pPr>
        <w:spacing w:after="160" w:line="300"/>
      </w:pPr>
      <w:r>
        <w:rPr>
          <w:color w:val="263B4D"/>
          <w:sz w:val="21"/>
          <w:szCs w:val="21"/>
        </w:rPr>
        <w:t xml:space="preserve">Create one enterprise execution office for enterprise performance.</w:t>
      </w:r>
    </w:p>
    <w:p>
      <w:pPr>
        <w:spacing w:after="160" w:line="300"/>
      </w:pPr>
      <w:r>
        <w:rPr>
          <w:color w:val="263B4D"/>
          <w:sz w:val="21"/>
          <w:szCs w:val="21"/>
        </w:rPr>
        <w:t xml:space="preserve">Owner: Chief Executive Officer / Board Sponsor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DEC-EXE-03</w:t>
      </w:r>
    </w:p>
    <w:p>
      <w:pPr>
        <w:pStyle w:val="Heading2"/>
      </w:pPr>
      <w:r>
        <w:t xml:space="preserve">DEC-EXE-04 — HIGH</w:t>
      </w:r>
    </w:p>
    <w:p>
      <w:pPr>
        <w:spacing w:after="160" w:line="300"/>
      </w:pPr>
      <w:r>
        <w:rPr>
          <w:color w:val="263B4D"/>
          <w:sz w:val="21"/>
          <w:szCs w:val="21"/>
        </w:rPr>
        <w:t xml:space="preserve">Reduce the three largest unmanaged risk concentrations for enterprise performance.</w:t>
      </w:r>
    </w:p>
    <w:p>
      <w:pPr>
        <w:spacing w:after="160" w:line="300"/>
      </w:pPr>
      <w:r>
        <w:rPr>
          <w:color w:val="263B4D"/>
          <w:sz w:val="21"/>
          <w:szCs w:val="21"/>
        </w:rPr>
        <w:t xml:space="preserve">Owner: Chief Executive Officer / Board Sponsor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DEC-EXE-04</w:t>
      </w:r>
    </w:p>
    <w:p>
      <w:pPr>
        <w:pStyle w:val="Heading2"/>
      </w:pPr>
      <w:r>
        <w:t xml:space="preserve">DEC-EXE-05 — MEDIUM</w:t>
      </w:r>
    </w:p>
    <w:p>
      <w:pPr>
        <w:spacing w:after="160" w:line="300"/>
      </w:pPr>
      <w:r>
        <w:rPr>
          <w:color w:val="263B4D"/>
          <w:sz w:val="21"/>
          <w:szCs w:val="21"/>
        </w:rPr>
        <w:t xml:space="preserve">Tie capital release to evidence-backed milestones for enterprise performance.</w:t>
      </w:r>
    </w:p>
    <w:p>
      <w:pPr>
        <w:spacing w:after="160" w:line="300"/>
      </w:pPr>
      <w:r>
        <w:rPr>
          <w:color w:val="263B4D"/>
          <w:sz w:val="21"/>
          <w:szCs w:val="21"/>
        </w:rPr>
        <w:t xml:space="preserve">Owner: Chief Executive Officer / Board Sponsor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DEC-EXE-05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South Africa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1433</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85</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1.7</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Responsible AI — APPLICABLE</w:t>
      </w:r>
    </w:p>
    <w:p>
      <w:pPr>
        <w:spacing w:after="160" w:line="300"/>
      </w:pPr>
      <w:r>
        <w:rPr>
          <w:color w:val="263B4D"/>
          <w:sz w:val="21"/>
          <w:szCs w:val="21"/>
        </w:rPr>
        <w:t xml:space="preserve">AI-assisted interpretation requires grounding, human review, privacy and limitations.</w:t>
      </w:r>
    </w:p>
    <w:p>
      <w:pPr>
        <w:spacing w:after="160" w:line="300"/>
      </w:pPr>
      <w:r>
        <w:rPr>
          <w:color w:val="263B4D"/>
          <w:sz w:val="21"/>
          <w:szCs w:val="21"/>
        </w:rPr>
        <w:t xml:space="preserve">Criteria: Model provenance, Evidence grounding, Bias review, Human oversight, Override log</w:t>
      </w:r>
    </w:p>
    <w:p>
      <w:pPr>
        <w:spacing w:after="160" w:line="300"/>
      </w:pPr>
      <w:r>
        <w:rPr>
          <w:color w:val="263B4D"/>
          <w:sz w:val="21"/>
          <w:szCs w:val="21"/>
        </w:rPr>
        <w:t xml:space="preserve">Limitation: Synthetic demonstration; no institutional endorsement.</w:t>
      </w:r>
    </w:p>
    <w:p>
      <w:pPr>
        <w:pStyle w:val="Heading2"/>
      </w:pPr>
      <w:r>
        <w:t xml:space="preserve">Accessibility — APPLICABLE</w:t>
      </w:r>
    </w:p>
    <w:p>
      <w:pPr>
        <w:spacing w:after="160" w:line="300"/>
      </w:pPr>
      <w:r>
        <w:rPr>
          <w:color w:val="263B4D"/>
          <w:sz w:val="21"/>
          <w:szCs w:val="21"/>
        </w:rPr>
        <w:t xml:space="preserve">Publications must be readable and operable across formats and assistive technologies.</w:t>
      </w:r>
    </w:p>
    <w:p>
      <w:pPr>
        <w:spacing w:after="160" w:line="300"/>
      </w:pPr>
      <w:r>
        <w:rPr>
          <w:color w:val="263B4D"/>
          <w:sz w:val="21"/>
          <w:szCs w:val="21"/>
        </w:rPr>
        <w:t xml:space="preserve">Criteria: Contrast, Reading order, Alt text, Table headers, Keyboard access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EVI-EXE-001</w:t>
            </w:r>
          </w:p>
        </w:tc>
        <w:tc>
          <w:tcPr>
            <w:tcW w:type="pct" w:w="50%"/>
            <w:shd w:fill="FFFFFF" w:val="clear"/>
          </w:tcPr>
          <w:p>
            <w:r>
              <w:rPr>
                <w:b w:val="false"/>
                <w:bCs w:val="false"/>
                <w:color w:val="102A43"/>
                <w:sz w:val="20"/>
                <w:szCs w:val="20"/>
              </w:rPr>
              <w:t xml:space="preserve">SYN-EXEC-0001 | 91%</w:t>
            </w:r>
          </w:p>
        </w:tc>
      </w:tr>
      <w:tr>
        <w:tc>
          <w:tcPr>
            <w:tcW w:type="pct" w:w="50%"/>
            <w:shd w:fill="FFFFFF" w:val="clear"/>
          </w:tcPr>
          <w:p>
            <w:r>
              <w:rPr>
                <w:b w:val="false"/>
                <w:bCs w:val="false"/>
                <w:color w:val="102A43"/>
                <w:sz w:val="20"/>
                <w:szCs w:val="20"/>
              </w:rPr>
              <w:t xml:space="preserve">EVI-EXE-002</w:t>
            </w:r>
          </w:p>
        </w:tc>
        <w:tc>
          <w:tcPr>
            <w:tcW w:type="pct" w:w="50%"/>
            <w:shd w:fill="FFFFFF" w:val="clear"/>
          </w:tcPr>
          <w:p>
            <w:r>
              <w:rPr>
                <w:b w:val="false"/>
                <w:bCs w:val="false"/>
                <w:color w:val="102A43"/>
                <w:sz w:val="20"/>
                <w:szCs w:val="20"/>
              </w:rPr>
              <w:t xml:space="preserve">SYN-EXEC-0002 | 92%</w:t>
            </w:r>
          </w:p>
        </w:tc>
      </w:tr>
      <w:tr>
        <w:tc>
          <w:tcPr>
            <w:tcW w:type="pct" w:w="50%"/>
            <w:shd w:fill="FFFFFF" w:val="clear"/>
          </w:tcPr>
          <w:p>
            <w:r>
              <w:rPr>
                <w:b w:val="false"/>
                <w:bCs w:val="false"/>
                <w:color w:val="102A43"/>
                <w:sz w:val="20"/>
                <w:szCs w:val="20"/>
              </w:rPr>
              <w:t xml:space="preserve">EVI-EXE-003</w:t>
            </w:r>
          </w:p>
        </w:tc>
        <w:tc>
          <w:tcPr>
            <w:tcW w:type="pct" w:w="50%"/>
            <w:shd w:fill="FFFFFF" w:val="clear"/>
          </w:tcPr>
          <w:p>
            <w:r>
              <w:rPr>
                <w:b w:val="false"/>
                <w:bCs w:val="false"/>
                <w:color w:val="102A43"/>
                <w:sz w:val="20"/>
                <w:szCs w:val="20"/>
              </w:rPr>
              <w:t xml:space="preserve">SYN-EXEC-0003 | 93%</w:t>
            </w:r>
          </w:p>
        </w:tc>
      </w:tr>
      <w:tr>
        <w:tc>
          <w:tcPr>
            <w:tcW w:type="pct" w:w="50%"/>
            <w:shd w:fill="FFFFFF" w:val="clear"/>
          </w:tcPr>
          <w:p>
            <w:r>
              <w:rPr>
                <w:b w:val="false"/>
                <w:bCs w:val="false"/>
                <w:color w:val="102A43"/>
                <w:sz w:val="20"/>
                <w:szCs w:val="20"/>
              </w:rPr>
              <w:t xml:space="preserve">EVI-EXE-004</w:t>
            </w:r>
          </w:p>
        </w:tc>
        <w:tc>
          <w:tcPr>
            <w:tcW w:type="pct" w:w="50%"/>
            <w:shd w:fill="FFFFFF" w:val="clear"/>
          </w:tcPr>
          <w:p>
            <w:r>
              <w:rPr>
                <w:b w:val="false"/>
                <w:bCs w:val="false"/>
                <w:color w:val="102A43"/>
                <w:sz w:val="20"/>
                <w:szCs w:val="20"/>
              </w:rPr>
              <w:t xml:space="preserve">SYN-EXEC-0004 | 94%</w:t>
            </w:r>
          </w:p>
        </w:tc>
      </w:tr>
      <w:tr>
        <w:tc>
          <w:tcPr>
            <w:tcW w:type="pct" w:w="50%"/>
            <w:shd w:fill="FFFFFF" w:val="clear"/>
          </w:tcPr>
          <w:p>
            <w:r>
              <w:rPr>
                <w:b w:val="false"/>
                <w:bCs w:val="false"/>
                <w:color w:val="102A43"/>
                <w:sz w:val="20"/>
                <w:szCs w:val="20"/>
              </w:rPr>
              <w:t xml:space="preserve">EVI-EXE-005</w:t>
            </w:r>
          </w:p>
        </w:tc>
        <w:tc>
          <w:tcPr>
            <w:tcW w:type="pct" w:w="50%"/>
            <w:shd w:fill="FFFFFF" w:val="clear"/>
          </w:tcPr>
          <w:p>
            <w:r>
              <w:rPr>
                <w:b w:val="false"/>
                <w:bCs w:val="false"/>
                <w:color w:val="102A43"/>
                <w:sz w:val="20"/>
                <w:szCs w:val="20"/>
              </w:rPr>
              <w:t xml:space="preserve">SYN-EXEC-0005 | 95%</w:t>
            </w:r>
          </w:p>
        </w:tc>
      </w:tr>
      <w:tr>
        <w:tc>
          <w:tcPr>
            <w:tcW w:type="pct" w:w="50%"/>
            <w:shd w:fill="FFFFFF" w:val="clear"/>
          </w:tcPr>
          <w:p>
            <w:r>
              <w:rPr>
                <w:b w:val="false"/>
                <w:bCs w:val="false"/>
                <w:color w:val="102A43"/>
                <w:sz w:val="20"/>
                <w:szCs w:val="20"/>
              </w:rPr>
              <w:t xml:space="preserve">EVI-EXE-006</w:t>
            </w:r>
          </w:p>
        </w:tc>
        <w:tc>
          <w:tcPr>
            <w:tcW w:type="pct" w:w="50%"/>
            <w:shd w:fill="FFFFFF" w:val="clear"/>
          </w:tcPr>
          <w:p>
            <w:r>
              <w:rPr>
                <w:b w:val="false"/>
                <w:bCs w:val="false"/>
                <w:color w:val="102A43"/>
                <w:sz w:val="20"/>
                <w:szCs w:val="20"/>
              </w:rPr>
              <w:t xml:space="preserve">SYN-EXEC-0006 | 96%</w:t>
            </w:r>
          </w:p>
        </w:tc>
      </w:tr>
      <w:tr>
        <w:tc>
          <w:tcPr>
            <w:tcW w:type="pct" w:w="50%"/>
            <w:shd w:fill="FFFFFF" w:val="clear"/>
          </w:tcPr>
          <w:p>
            <w:r>
              <w:rPr>
                <w:b w:val="false"/>
                <w:bCs w:val="false"/>
                <w:color w:val="102A43"/>
                <w:sz w:val="20"/>
                <w:szCs w:val="20"/>
              </w:rPr>
              <w:t xml:space="preserve">EVI-EXE-007</w:t>
            </w:r>
          </w:p>
        </w:tc>
        <w:tc>
          <w:tcPr>
            <w:tcW w:type="pct" w:w="50%"/>
            <w:shd w:fill="FFFFFF" w:val="clear"/>
          </w:tcPr>
          <w:p>
            <w:r>
              <w:rPr>
                <w:b w:val="false"/>
                <w:bCs w:val="false"/>
                <w:color w:val="102A43"/>
                <w:sz w:val="20"/>
                <w:szCs w:val="20"/>
              </w:rPr>
              <w:t xml:space="preserve">SYN-EXEC-0007 | 97%</w:t>
            </w:r>
          </w:p>
        </w:tc>
      </w:tr>
      <w:tr>
        <w:tc>
          <w:tcPr>
            <w:tcW w:type="pct" w:w="50%"/>
            <w:shd w:fill="FFFFFF" w:val="clear"/>
          </w:tcPr>
          <w:p>
            <w:r>
              <w:rPr>
                <w:b w:val="false"/>
                <w:bCs w:val="false"/>
                <w:color w:val="102A43"/>
                <w:sz w:val="20"/>
                <w:szCs w:val="20"/>
              </w:rPr>
              <w:t xml:space="preserve">EVI-EXE-008</w:t>
            </w:r>
          </w:p>
        </w:tc>
        <w:tc>
          <w:tcPr>
            <w:tcW w:type="pct" w:w="50%"/>
            <w:shd w:fill="FFFFFF" w:val="clear"/>
          </w:tcPr>
          <w:p>
            <w:r>
              <w:rPr>
                <w:b w:val="false"/>
                <w:bCs w:val="false"/>
                <w:color w:val="102A43"/>
                <w:sz w:val="20"/>
                <w:szCs w:val="20"/>
              </w:rPr>
              <w:t xml:space="preserve">SYN-EXEC-0008 | 98%</w:t>
            </w:r>
          </w:p>
        </w:tc>
      </w:tr>
      <w:tr>
        <w:tc>
          <w:tcPr>
            <w:tcW w:type="pct" w:w="50%"/>
            <w:shd w:fill="FFFFFF" w:val="clear"/>
          </w:tcPr>
          <w:p>
            <w:r>
              <w:rPr>
                <w:b w:val="false"/>
                <w:bCs w:val="false"/>
                <w:color w:val="102A43"/>
                <w:sz w:val="20"/>
                <w:szCs w:val="20"/>
              </w:rPr>
              <w:t xml:space="preserve">EVI-EXE-009</w:t>
            </w:r>
          </w:p>
        </w:tc>
        <w:tc>
          <w:tcPr>
            <w:tcW w:type="pct" w:w="50%"/>
            <w:shd w:fill="FFFFFF" w:val="clear"/>
          </w:tcPr>
          <w:p>
            <w:r>
              <w:rPr>
                <w:b w:val="false"/>
                <w:bCs w:val="false"/>
                <w:color w:val="102A43"/>
                <w:sz w:val="20"/>
                <w:szCs w:val="20"/>
              </w:rPr>
              <w:t xml:space="preserve">SYN-EXEC-0009 | 88%</w:t>
            </w:r>
          </w:p>
        </w:tc>
      </w:tr>
      <w:tr>
        <w:tc>
          <w:tcPr>
            <w:tcW w:type="pct" w:w="50%"/>
            <w:shd w:fill="FFFFFF" w:val="clear"/>
          </w:tcPr>
          <w:p>
            <w:r>
              <w:rPr>
                <w:b w:val="false"/>
                <w:bCs w:val="false"/>
                <w:color w:val="102A43"/>
                <w:sz w:val="20"/>
                <w:szCs w:val="20"/>
              </w:rPr>
              <w:t xml:space="preserve">EVI-EXE-010</w:t>
            </w:r>
          </w:p>
        </w:tc>
        <w:tc>
          <w:tcPr>
            <w:tcW w:type="pct" w:w="50%"/>
            <w:shd w:fill="FFFFFF" w:val="clear"/>
          </w:tcPr>
          <w:p>
            <w:r>
              <w:rPr>
                <w:b w:val="false"/>
                <w:bCs w:val="false"/>
                <w:color w:val="102A43"/>
                <w:sz w:val="20"/>
                <w:szCs w:val="20"/>
              </w:rPr>
              <w:t xml:space="preserve">SYN-EXEC-0010 | 89%</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VIA-FLAGSHIP-EXECUTIVE-BOARD-INTELLIGENCE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Board Intelligence Report</dc:title>
  <dc:creator>VoiceInsights Africa</dc:creator>
  <dc:description>Synthetic Demonstration Publication</dc:description>
  <cp:lastModifiedBy>Un-named</cp:lastModifiedBy>
  <cp:revision>1</cp:revision>
  <dcterms:created xsi:type="dcterms:W3CDTF">2026-07-12T22:51:24.927Z</dcterms:created>
  <dcterms:modified xsi:type="dcterms:W3CDTF">2026-07-12T22:51:24.927Z</dcterms:modified>
</cp:coreProperties>
</file>

<file path=docProps/custom.xml><?xml version="1.0" encoding="utf-8"?>
<Properties xmlns="http://schemas.openxmlformats.org/officeDocument/2006/custom-properties" xmlns:vt="http://schemas.openxmlformats.org/officeDocument/2006/docPropsVTypes"/>
</file>