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0b4f6c"/>
          <w:sz w:val="48"/>
          <w:szCs w:val="48"/>
        </w:rPr>
        <w:t xml:space="preserve">Humanitarian Needs Assessment Report</w:t>
      </w:r>
    </w:p>
    <w:p>
      <w:pPr>
        <w:jc w:val="center"/>
      </w:pPr>
      <w:r>
        <w:rPr>
          <w:color w:val="52667A"/>
          <w:sz w:val="24"/>
          <w:szCs w:val="24"/>
        </w:rPr>
        <w:t xml:space="preserve">Somalia | Humanitarian Response</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humanitarian response performance in Somalia.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Prioritise severity-four locations in the next allocation round for humanitarian response.</w:t>
      </w:r>
    </w:p>
    <w:p>
      <w:pPr>
        <w:pStyle w:val="ListParagraph"/>
        <w:numPr>
          <w:ilvl w:val="0"/>
          <w:numId w:val="1"/>
        </w:numPr>
        <w:spacing w:after="100"/>
      </w:pPr>
      <w:r>
        <w:t xml:space="preserve">Scale protection referral and safe disclosure pathways for humanitarian response.</w:t>
      </w:r>
    </w:p>
    <w:p>
      <w:pPr>
        <w:pStyle w:val="ListParagraph"/>
        <w:numPr>
          <w:ilvl w:val="0"/>
          <w:numId w:val="1"/>
        </w:numPr>
        <w:spacing w:after="100"/>
      </w:pPr>
      <w:r>
        <w:t xml:space="preserve">Restore minimum safe-water coverage at priority sites for humanitarian response.</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1281</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86</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FND-HUM-01 — Critical finding 1: multisector severity</w:t>
      </w:r>
    </w:p>
    <w:p>
      <w:pPr>
        <w:spacing w:after="160" w:line="300"/>
      </w:pPr>
      <w:r>
        <w:rPr>
          <w:color w:val="263B4D"/>
          <w:sz w:val="21"/>
          <w:szCs w:val="21"/>
        </w:rPr>
        <w:t xml:space="preserve">Across Somalia's synthetic study areas, multisector severity is the clearest differentiator of humanitarian response performance. The evidence is strongest in Bay Cluster,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EVI-HUM-001, EVI-HUM-004 | Confidence 96.5%</w:t>
      </w:r>
    </w:p>
    <w:p>
      <w:pPr>
        <w:pStyle w:val="Heading2"/>
      </w:pPr>
      <w:r>
        <w:t xml:space="preserve">FND-HUM-02 — Critical finding 2: protection exposure</w:t>
      </w:r>
    </w:p>
    <w:p>
      <w:pPr>
        <w:spacing w:after="160" w:line="300"/>
      </w:pPr>
      <w:r>
        <w:rPr>
          <w:color w:val="263B4D"/>
          <w:sz w:val="21"/>
          <w:szCs w:val="21"/>
        </w:rPr>
        <w:t xml:space="preserve">Across Somalia's synthetic study areas, protection exposure is the clearest differentiator of humanitarian response performance. The evidence is strongest in Gedo Cluster,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EVI-HUM-002, EVI-HUM-005 | Confidence 92%</w:t>
      </w:r>
    </w:p>
    <w:p>
      <w:pPr>
        <w:pStyle w:val="Heading2"/>
      </w:pPr>
      <w:r>
        <w:t xml:space="preserve">FND-HUM-03 — Critical finding 3: safe water access</w:t>
      </w:r>
    </w:p>
    <w:p>
      <w:pPr>
        <w:spacing w:after="160" w:line="300"/>
      </w:pPr>
      <w:r>
        <w:rPr>
          <w:color w:val="263B4D"/>
          <w:sz w:val="21"/>
          <w:szCs w:val="21"/>
        </w:rPr>
        <w:t xml:space="preserve">Across Somalia's synthetic study areas, safe water access is the clearest differentiator of humanitarian response performance. The evidence is strongest in Lower Shabelle Cluster,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EVI-HUM-003, EVI-HUM-006 | Confidence 93%</w:t>
      </w:r>
    </w:p>
    <w:p>
      <w:pPr>
        <w:pStyle w:val="Heading2"/>
      </w:pPr>
      <w:r>
        <w:t xml:space="preserve">FND-HUM-04 — Critical finding 4: acute livelihood stress</w:t>
      </w:r>
    </w:p>
    <w:p>
      <w:pPr>
        <w:spacing w:after="160" w:line="300"/>
      </w:pPr>
      <w:r>
        <w:rPr>
          <w:color w:val="263B4D"/>
          <w:sz w:val="21"/>
          <w:szCs w:val="21"/>
        </w:rPr>
        <w:t xml:space="preserve">Across Somalia's synthetic study areas, acute livelihood stress is the clearest differentiator of humanitarian response performance. The evidence is strongest in Banadir Displacement Sites,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EVI-HUM-004, EVI-HUM-007 | Confidence 94%</w:t>
      </w:r>
    </w:p>
    <w:p>
      <w:pPr>
        <w:pStyle w:val="Heading2"/>
      </w:pPr>
      <w:r>
        <w:t xml:space="preserve">FND-HUM-05 — Critical finding 5: accountability to affected people</w:t>
      </w:r>
    </w:p>
    <w:p>
      <w:pPr>
        <w:spacing w:after="160" w:line="300"/>
      </w:pPr>
      <w:r>
        <w:rPr>
          <w:color w:val="263B4D"/>
          <w:sz w:val="21"/>
          <w:szCs w:val="21"/>
        </w:rPr>
        <w:t xml:space="preserve">Across Somalia's synthetic study areas, accountability to affected people is the clearest differentiator of humanitarian response performance. The evidence is strongest in Bay Cluster,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EVI-HUM-005, EVI-HUM-008 | Confidence 89.5%</w:t>
      </w:r>
    </w:p>
    <w:p>
      <w:pPr>
        <w:pStyle w:val="Heading1"/>
        <w:pageBreakBefore/>
      </w:pPr>
      <w:r>
        <w:t xml:space="preserve">Decision Intelligence</w:t>
      </w:r>
    </w:p>
    <w:p>
      <w:pPr>
        <w:pStyle w:val="Heading2"/>
      </w:pPr>
      <w:r>
        <w:t xml:space="preserve">DEC-HUM-01 — CRITICAL</w:t>
      </w:r>
    </w:p>
    <w:p>
      <w:pPr>
        <w:spacing w:after="160" w:line="300"/>
      </w:pPr>
      <w:r>
        <w:rPr>
          <w:color w:val="263B4D"/>
          <w:sz w:val="21"/>
          <w:szCs w:val="21"/>
        </w:rPr>
        <w:t xml:space="preserve">Prioritise severity-four locations in the next allocation round for humanitarian response.</w:t>
      </w:r>
    </w:p>
    <w:p>
      <w:pPr>
        <w:spacing w:after="160" w:line="300"/>
      </w:pPr>
      <w:r>
        <w:rPr>
          <w:color w:val="263B4D"/>
          <w:sz w:val="21"/>
          <w:szCs w:val="21"/>
        </w:rPr>
        <w:t xml:space="preserve">Owner: Humanitarian Coordinator / Cluster Lead | Timeline: 0–90 days | Budget: Medium — detailed costing and fiduciary review required</w:t>
      </w:r>
    </w:p>
    <w:p>
      <w:pPr>
        <w:spacing w:after="160" w:line="300"/>
      </w:pPr>
      <w:r>
        <w:rPr>
          <w:color w:val="263B4D"/>
          <w:sz w:val="21"/>
          <w:szCs w:val="21"/>
        </w:rPr>
        <w:t xml:space="preserve">Monitoring indicator: Percentage of agreed milestones completed for DEC-HUM-01</w:t>
      </w:r>
    </w:p>
    <w:p>
      <w:pPr>
        <w:pStyle w:val="Heading2"/>
      </w:pPr>
      <w:r>
        <w:t xml:space="preserve">DEC-HUM-02 — CRITICAL</w:t>
      </w:r>
    </w:p>
    <w:p>
      <w:pPr>
        <w:spacing w:after="160" w:line="300"/>
      </w:pPr>
      <w:r>
        <w:rPr>
          <w:color w:val="263B4D"/>
          <w:sz w:val="21"/>
          <w:szCs w:val="21"/>
        </w:rPr>
        <w:t xml:space="preserve">Scale protection referral and safe disclosure pathways for humanitarian response.</w:t>
      </w:r>
    </w:p>
    <w:p>
      <w:pPr>
        <w:spacing w:after="160" w:line="300"/>
      </w:pPr>
      <w:r>
        <w:rPr>
          <w:color w:val="263B4D"/>
          <w:sz w:val="21"/>
          <w:szCs w:val="21"/>
        </w:rPr>
        <w:t xml:space="preserve">Owner: Humanitarian Coordinator / Cluster Lead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DEC-HUM-02</w:t>
      </w:r>
    </w:p>
    <w:p>
      <w:pPr>
        <w:pStyle w:val="Heading2"/>
      </w:pPr>
      <w:r>
        <w:t xml:space="preserve">DEC-HUM-03 — HIGH</w:t>
      </w:r>
    </w:p>
    <w:p>
      <w:pPr>
        <w:spacing w:after="160" w:line="300"/>
      </w:pPr>
      <w:r>
        <w:rPr>
          <w:color w:val="263B4D"/>
          <w:sz w:val="21"/>
          <w:szCs w:val="21"/>
        </w:rPr>
        <w:t xml:space="preserve">Restore minimum safe-water coverage at priority sites for humanitarian response.</w:t>
      </w:r>
    </w:p>
    <w:p>
      <w:pPr>
        <w:spacing w:after="160" w:line="300"/>
      </w:pPr>
      <w:r>
        <w:rPr>
          <w:color w:val="263B4D"/>
          <w:sz w:val="21"/>
          <w:szCs w:val="21"/>
        </w:rPr>
        <w:t xml:space="preserve">Owner: Humanitarian Coordinator / Cluster Lead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DEC-HUM-03</w:t>
      </w:r>
    </w:p>
    <w:p>
      <w:pPr>
        <w:pStyle w:val="Heading2"/>
      </w:pPr>
      <w:r>
        <w:t xml:space="preserve">DEC-HUM-04 — HIGH</w:t>
      </w:r>
    </w:p>
    <w:p>
      <w:pPr>
        <w:spacing w:after="160" w:line="300"/>
      </w:pPr>
      <w:r>
        <w:rPr>
          <w:color w:val="263B4D"/>
          <w:sz w:val="21"/>
          <w:szCs w:val="21"/>
        </w:rPr>
        <w:t xml:space="preserve">Expand shock-responsive cash with market monitoring for humanitarian response.</w:t>
      </w:r>
    </w:p>
    <w:p>
      <w:pPr>
        <w:spacing w:after="160" w:line="300"/>
      </w:pPr>
      <w:r>
        <w:rPr>
          <w:color w:val="263B4D"/>
          <w:sz w:val="21"/>
          <w:szCs w:val="21"/>
        </w:rPr>
        <w:t xml:space="preserve">Owner: Humanitarian Coordinator / Cluster Lead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DEC-HUM-04</w:t>
      </w:r>
    </w:p>
    <w:p>
      <w:pPr>
        <w:pStyle w:val="Heading2"/>
      </w:pPr>
      <w:r>
        <w:t xml:space="preserve">DEC-HUM-05 — MEDIUM</w:t>
      </w:r>
    </w:p>
    <w:p>
      <w:pPr>
        <w:spacing w:after="160" w:line="300"/>
      </w:pPr>
      <w:r>
        <w:rPr>
          <w:color w:val="263B4D"/>
          <w:sz w:val="21"/>
          <w:szCs w:val="21"/>
        </w:rPr>
        <w:t xml:space="preserve">Close the community feedback loop within fourteen days for humanitarian response.</w:t>
      </w:r>
    </w:p>
    <w:p>
      <w:pPr>
        <w:spacing w:after="160" w:line="300"/>
      </w:pPr>
      <w:r>
        <w:rPr>
          <w:color w:val="263B4D"/>
          <w:sz w:val="21"/>
          <w:szCs w:val="21"/>
        </w:rPr>
        <w:t xml:space="preserve">Owner: Humanitarian Coordinator / Cluster Lead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DEC-HUM-05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Somalia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1281</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86</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1.2</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Results-Based Management — APPLICABLE</w:t>
      </w:r>
    </w:p>
    <w:p>
      <w:pPr>
        <w:spacing w:after="160" w:line="300"/>
      </w:pPr>
      <w:r>
        <w:rPr>
          <w:color w:val="263B4D"/>
          <w:sz w:val="21"/>
          <w:szCs w:val="21"/>
        </w:rPr>
        <w:t xml:space="preserve">Findings and recommendations are connected to outputs, outcomes and indicators.</w:t>
      </w:r>
    </w:p>
    <w:p>
      <w:pPr>
        <w:spacing w:after="160" w:line="300"/>
      </w:pPr>
      <w:r>
        <w:rPr>
          <w:color w:val="263B4D"/>
          <w:sz w:val="21"/>
          <w:szCs w:val="21"/>
        </w:rPr>
        <w:t xml:space="preserve">Criteria: Results chain, Indicators, Assumptions, Monitoring</w:t>
      </w:r>
    </w:p>
    <w:p>
      <w:pPr>
        <w:spacing w:after="160" w:line="300"/>
      </w:pPr>
      <w:r>
        <w:rPr>
          <w:color w:val="263B4D"/>
          <w:sz w:val="21"/>
          <w:szCs w:val="21"/>
        </w:rPr>
        <w:t xml:space="preserve">Limitation: Synthetic demonstration; no institutional endorsement.</w:t>
      </w:r>
    </w:p>
    <w:p>
      <w:pPr>
        <w:pStyle w:val="Heading2"/>
      </w:pPr>
      <w:r>
        <w:t xml:space="preserve">Theory of Change — APPLICABLE</w:t>
      </w:r>
    </w:p>
    <w:p>
      <w:pPr>
        <w:spacing w:after="160" w:line="300"/>
      </w:pPr>
      <w:r>
        <w:rPr>
          <w:color w:val="263B4D"/>
          <w:sz w:val="21"/>
          <w:szCs w:val="21"/>
        </w:rPr>
        <w:t xml:space="preserve">The report tests causal pathways, assumptions and risks without claiming unsupported attribution.</w:t>
      </w:r>
    </w:p>
    <w:p>
      <w:pPr>
        <w:spacing w:after="160" w:line="300"/>
      </w:pPr>
      <w:r>
        <w:rPr>
          <w:color w:val="263B4D"/>
          <w:sz w:val="21"/>
          <w:szCs w:val="21"/>
        </w:rPr>
        <w:t xml:space="preserve">Criteria: Inputs, Activities, Outputs, Outcomes, Impact, Assumptions</w:t>
      </w:r>
    </w:p>
    <w:p>
      <w:pPr>
        <w:spacing w:after="160" w:line="300"/>
      </w:pPr>
      <w:r>
        <w:rPr>
          <w:color w:val="263B4D"/>
          <w:sz w:val="21"/>
          <w:szCs w:val="21"/>
        </w:rPr>
        <w:t xml:space="preserve">Limitation: Synthetic demonstration; no institutional endorsement.</w:t>
      </w:r>
    </w:p>
    <w:p>
      <w:pPr>
        <w:pStyle w:val="Heading2"/>
      </w:pPr>
      <w:r>
        <w:t xml:space="preserve">Core Humanitarian Standard — APPLICABLE</w:t>
      </w:r>
    </w:p>
    <w:p>
      <w:pPr>
        <w:spacing w:after="160" w:line="300"/>
      </w:pPr>
      <w:r>
        <w:rPr>
          <w:color w:val="263B4D"/>
          <w:sz w:val="21"/>
          <w:szCs w:val="21"/>
        </w:rPr>
        <w:t xml:space="preserve">The report assesses quality and accountability to crisis-affected people.</w:t>
      </w:r>
    </w:p>
    <w:p>
      <w:pPr>
        <w:spacing w:after="160" w:line="300"/>
      </w:pPr>
      <w:r>
        <w:rPr>
          <w:color w:val="263B4D"/>
          <w:sz w:val="21"/>
          <w:szCs w:val="21"/>
        </w:rPr>
        <w:t xml:space="preserve">Criteria: Commitment 1, Commitment 2, Commitment 3, Commitment 4, Commitment 5, Commitment 6, Commitment 7, Commitment 8, Commitment 9</w:t>
      </w:r>
    </w:p>
    <w:p>
      <w:pPr>
        <w:spacing w:after="160" w:line="300"/>
      </w:pPr>
      <w:r>
        <w:rPr>
          <w:color w:val="263B4D"/>
          <w:sz w:val="21"/>
          <w:szCs w:val="21"/>
        </w:rPr>
        <w:t xml:space="preserve">Limitation: Synthetic demonstration; no institutional endorsement.</w:t>
      </w:r>
    </w:p>
    <w:p>
      <w:pPr>
        <w:pStyle w:val="Heading2"/>
      </w:pPr>
      <w:r>
        <w:t xml:space="preserve">Protection, Safeguarding and Human Rights Based Approach — APPLICABLE</w:t>
      </w:r>
    </w:p>
    <w:p>
      <w:pPr>
        <w:spacing w:after="160" w:line="300"/>
      </w:pPr>
      <w:r>
        <w:rPr>
          <w:color w:val="263B4D"/>
          <w:sz w:val="21"/>
          <w:szCs w:val="21"/>
        </w:rPr>
        <w:t xml:space="preserve">Severity analysis includes safety, participation, non-discrimination and referral considerations.</w:t>
      </w:r>
    </w:p>
    <w:p>
      <w:pPr>
        <w:spacing w:after="160" w:line="300"/>
      </w:pPr>
      <w:r>
        <w:rPr>
          <w:color w:val="263B4D"/>
          <w:sz w:val="21"/>
          <w:szCs w:val="21"/>
        </w:rPr>
        <w:t xml:space="preserve">Criteria: Do no harm, Participation, Complaints, PSEA, Referral pathways, Inclusion</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EVI-HUM-001</w:t>
            </w:r>
          </w:p>
        </w:tc>
        <w:tc>
          <w:tcPr>
            <w:tcW w:type="pct" w:w="50%"/>
            <w:shd w:fill="FFFFFF" w:val="clear"/>
          </w:tcPr>
          <w:p>
            <w:r>
              <w:rPr>
                <w:b w:val="false"/>
                <w:bCs w:val="false"/>
                <w:color w:val="102A43"/>
                <w:sz w:val="20"/>
                <w:szCs w:val="20"/>
              </w:rPr>
              <w:t xml:space="preserve">SYN-HUMA-0001 | 95%</w:t>
            </w:r>
          </w:p>
        </w:tc>
      </w:tr>
      <w:tr>
        <w:tc>
          <w:tcPr>
            <w:tcW w:type="pct" w:w="50%"/>
            <w:shd w:fill="FFFFFF" w:val="clear"/>
          </w:tcPr>
          <w:p>
            <w:r>
              <w:rPr>
                <w:b w:val="false"/>
                <w:bCs w:val="false"/>
                <w:color w:val="102A43"/>
                <w:sz w:val="20"/>
                <w:szCs w:val="20"/>
              </w:rPr>
              <w:t xml:space="preserve">EVI-HUM-002</w:t>
            </w:r>
          </w:p>
        </w:tc>
        <w:tc>
          <w:tcPr>
            <w:tcW w:type="pct" w:w="50%"/>
            <w:shd w:fill="FFFFFF" w:val="clear"/>
          </w:tcPr>
          <w:p>
            <w:r>
              <w:rPr>
                <w:b w:val="false"/>
                <w:bCs w:val="false"/>
                <w:color w:val="102A43"/>
                <w:sz w:val="20"/>
                <w:szCs w:val="20"/>
              </w:rPr>
              <w:t xml:space="preserve">SYN-HUMA-0002 | 96%</w:t>
            </w:r>
          </w:p>
        </w:tc>
      </w:tr>
      <w:tr>
        <w:tc>
          <w:tcPr>
            <w:tcW w:type="pct" w:w="50%"/>
            <w:shd w:fill="FFFFFF" w:val="clear"/>
          </w:tcPr>
          <w:p>
            <w:r>
              <w:rPr>
                <w:b w:val="false"/>
                <w:bCs w:val="false"/>
                <w:color w:val="102A43"/>
                <w:sz w:val="20"/>
                <w:szCs w:val="20"/>
              </w:rPr>
              <w:t xml:space="preserve">EVI-HUM-003</w:t>
            </w:r>
          </w:p>
        </w:tc>
        <w:tc>
          <w:tcPr>
            <w:tcW w:type="pct" w:w="50%"/>
            <w:shd w:fill="FFFFFF" w:val="clear"/>
          </w:tcPr>
          <w:p>
            <w:r>
              <w:rPr>
                <w:b w:val="false"/>
                <w:bCs w:val="false"/>
                <w:color w:val="102A43"/>
                <w:sz w:val="20"/>
                <w:szCs w:val="20"/>
              </w:rPr>
              <w:t xml:space="preserve">SYN-HUMA-0003 | 97%</w:t>
            </w:r>
          </w:p>
        </w:tc>
      </w:tr>
      <w:tr>
        <w:tc>
          <w:tcPr>
            <w:tcW w:type="pct" w:w="50%"/>
            <w:shd w:fill="FFFFFF" w:val="clear"/>
          </w:tcPr>
          <w:p>
            <w:r>
              <w:rPr>
                <w:b w:val="false"/>
                <w:bCs w:val="false"/>
                <w:color w:val="102A43"/>
                <w:sz w:val="20"/>
                <w:szCs w:val="20"/>
              </w:rPr>
              <w:t xml:space="preserve">EVI-HUM-004</w:t>
            </w:r>
          </w:p>
        </w:tc>
        <w:tc>
          <w:tcPr>
            <w:tcW w:type="pct" w:w="50%"/>
            <w:shd w:fill="FFFFFF" w:val="clear"/>
          </w:tcPr>
          <w:p>
            <w:r>
              <w:rPr>
                <w:b w:val="false"/>
                <w:bCs w:val="false"/>
                <w:color w:val="102A43"/>
                <w:sz w:val="20"/>
                <w:szCs w:val="20"/>
              </w:rPr>
              <w:t xml:space="preserve">SYN-HUMA-0004 | 98%</w:t>
            </w:r>
          </w:p>
        </w:tc>
      </w:tr>
      <w:tr>
        <w:tc>
          <w:tcPr>
            <w:tcW w:type="pct" w:w="50%"/>
            <w:shd w:fill="FFFFFF" w:val="clear"/>
          </w:tcPr>
          <w:p>
            <w:r>
              <w:rPr>
                <w:b w:val="false"/>
                <w:bCs w:val="false"/>
                <w:color w:val="102A43"/>
                <w:sz w:val="20"/>
                <w:szCs w:val="20"/>
              </w:rPr>
              <w:t xml:space="preserve">EVI-HUM-005</w:t>
            </w:r>
          </w:p>
        </w:tc>
        <w:tc>
          <w:tcPr>
            <w:tcW w:type="pct" w:w="50%"/>
            <w:shd w:fill="FFFFFF" w:val="clear"/>
          </w:tcPr>
          <w:p>
            <w:r>
              <w:rPr>
                <w:b w:val="false"/>
                <w:bCs w:val="false"/>
                <w:color w:val="102A43"/>
                <w:sz w:val="20"/>
                <w:szCs w:val="20"/>
              </w:rPr>
              <w:t xml:space="preserve">SYN-HUMA-0005 | 88%</w:t>
            </w:r>
          </w:p>
        </w:tc>
      </w:tr>
      <w:tr>
        <w:tc>
          <w:tcPr>
            <w:tcW w:type="pct" w:w="50%"/>
            <w:shd w:fill="FFFFFF" w:val="clear"/>
          </w:tcPr>
          <w:p>
            <w:r>
              <w:rPr>
                <w:b w:val="false"/>
                <w:bCs w:val="false"/>
                <w:color w:val="102A43"/>
                <w:sz w:val="20"/>
                <w:szCs w:val="20"/>
              </w:rPr>
              <w:t xml:space="preserve">EVI-HUM-006</w:t>
            </w:r>
          </w:p>
        </w:tc>
        <w:tc>
          <w:tcPr>
            <w:tcW w:type="pct" w:w="50%"/>
            <w:shd w:fill="FFFFFF" w:val="clear"/>
          </w:tcPr>
          <w:p>
            <w:r>
              <w:rPr>
                <w:b w:val="false"/>
                <w:bCs w:val="false"/>
                <w:color w:val="102A43"/>
                <w:sz w:val="20"/>
                <w:szCs w:val="20"/>
              </w:rPr>
              <w:t xml:space="preserve">SYN-HUMA-0006 | 89%</w:t>
            </w:r>
          </w:p>
        </w:tc>
      </w:tr>
      <w:tr>
        <w:tc>
          <w:tcPr>
            <w:tcW w:type="pct" w:w="50%"/>
            <w:shd w:fill="FFFFFF" w:val="clear"/>
          </w:tcPr>
          <w:p>
            <w:r>
              <w:rPr>
                <w:b w:val="false"/>
                <w:bCs w:val="false"/>
                <w:color w:val="102A43"/>
                <w:sz w:val="20"/>
                <w:szCs w:val="20"/>
              </w:rPr>
              <w:t xml:space="preserve">EVI-HUM-007</w:t>
            </w:r>
          </w:p>
        </w:tc>
        <w:tc>
          <w:tcPr>
            <w:tcW w:type="pct" w:w="50%"/>
            <w:shd w:fill="FFFFFF" w:val="clear"/>
          </w:tcPr>
          <w:p>
            <w:r>
              <w:rPr>
                <w:b w:val="false"/>
                <w:bCs w:val="false"/>
                <w:color w:val="102A43"/>
                <w:sz w:val="20"/>
                <w:szCs w:val="20"/>
              </w:rPr>
              <w:t xml:space="preserve">SYN-HUMA-0007 | 90%</w:t>
            </w:r>
          </w:p>
        </w:tc>
      </w:tr>
      <w:tr>
        <w:tc>
          <w:tcPr>
            <w:tcW w:type="pct" w:w="50%"/>
            <w:shd w:fill="FFFFFF" w:val="clear"/>
          </w:tcPr>
          <w:p>
            <w:r>
              <w:rPr>
                <w:b w:val="false"/>
                <w:bCs w:val="false"/>
                <w:color w:val="102A43"/>
                <w:sz w:val="20"/>
                <w:szCs w:val="20"/>
              </w:rPr>
              <w:t xml:space="preserve">EVI-HUM-008</w:t>
            </w:r>
          </w:p>
        </w:tc>
        <w:tc>
          <w:tcPr>
            <w:tcW w:type="pct" w:w="50%"/>
            <w:shd w:fill="FFFFFF" w:val="clear"/>
          </w:tcPr>
          <w:p>
            <w:r>
              <w:rPr>
                <w:b w:val="false"/>
                <w:bCs w:val="false"/>
                <w:color w:val="102A43"/>
                <w:sz w:val="20"/>
                <w:szCs w:val="20"/>
              </w:rPr>
              <w:t xml:space="preserve">SYN-HUMA-0008 | 91%</w:t>
            </w:r>
          </w:p>
        </w:tc>
      </w:tr>
      <w:tr>
        <w:tc>
          <w:tcPr>
            <w:tcW w:type="pct" w:w="50%"/>
            <w:shd w:fill="FFFFFF" w:val="clear"/>
          </w:tcPr>
          <w:p>
            <w:r>
              <w:rPr>
                <w:b w:val="false"/>
                <w:bCs w:val="false"/>
                <w:color w:val="102A43"/>
                <w:sz w:val="20"/>
                <w:szCs w:val="20"/>
              </w:rPr>
              <w:t xml:space="preserve">EVI-HUM-009</w:t>
            </w:r>
          </w:p>
        </w:tc>
        <w:tc>
          <w:tcPr>
            <w:tcW w:type="pct" w:w="50%"/>
            <w:shd w:fill="FFFFFF" w:val="clear"/>
          </w:tcPr>
          <w:p>
            <w:r>
              <w:rPr>
                <w:b w:val="false"/>
                <w:bCs w:val="false"/>
                <w:color w:val="102A43"/>
                <w:sz w:val="20"/>
                <w:szCs w:val="20"/>
              </w:rPr>
              <w:t xml:space="preserve">SYN-HUMA-0009 | 92%</w:t>
            </w:r>
          </w:p>
        </w:tc>
      </w:tr>
      <w:tr>
        <w:tc>
          <w:tcPr>
            <w:tcW w:type="pct" w:w="50%"/>
            <w:shd w:fill="FFFFFF" w:val="clear"/>
          </w:tcPr>
          <w:p>
            <w:r>
              <w:rPr>
                <w:b w:val="false"/>
                <w:bCs w:val="false"/>
                <w:color w:val="102A43"/>
                <w:sz w:val="20"/>
                <w:szCs w:val="20"/>
              </w:rPr>
              <w:t xml:space="preserve">EVI-HUM-010</w:t>
            </w:r>
          </w:p>
        </w:tc>
        <w:tc>
          <w:tcPr>
            <w:tcW w:type="pct" w:w="50%"/>
            <w:shd w:fill="FFFFFF" w:val="clear"/>
          </w:tcPr>
          <w:p>
            <w:r>
              <w:rPr>
                <w:b w:val="false"/>
                <w:bCs w:val="false"/>
                <w:color w:val="102A43"/>
                <w:sz w:val="20"/>
                <w:szCs w:val="20"/>
              </w:rPr>
              <w:t xml:space="preserve">SYN-HUMA-0010 | 93%</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VIA-FLAGSHIP-HUMANITARIAN-NEEDS-ASSESSMENT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Humanitarian Needs Assessment Report</dc:title>
  <dc:creator>VoiceInsights Africa</dc:creator>
  <dc:description>Synthetic Demonstration Publication</dc:description>
  <cp:lastModifiedBy>Un-named</cp:lastModifiedBy>
  <cp:revision>1</cp:revision>
  <dcterms:created xsi:type="dcterms:W3CDTF">2026-07-12T22:51:24.812Z</dcterms:created>
  <dcterms:modified xsi:type="dcterms:W3CDTF">2026-07-12T22:51:24.812Z</dcterms:modified>
</cp:coreProperties>
</file>

<file path=docProps/custom.xml><?xml version="1.0" encoding="utf-8"?>
<Properties xmlns="http://schemas.openxmlformats.org/officeDocument/2006/custom-properties" xmlns:vt="http://schemas.openxmlformats.org/officeDocument/2006/docPropsVTypes"/>
</file>