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062c24"/>
          <w:sz w:val="48"/>
          <w:szCs w:val="48"/>
        </w:rPr>
        <w:t xml:space="preserve">Interactive Intelligence Report</w:t>
      </w:r>
    </w:p>
    <w:p>
      <w:pPr>
        <w:jc w:val="center"/>
      </w:pPr>
      <w:r>
        <w:rPr>
          <w:color w:val="52667A"/>
          <w:sz w:val="24"/>
          <w:szCs w:val="24"/>
        </w:rPr>
        <w:t xml:space="preserve">East Africa | Regional Development</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regional development performance in East Africa.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Activate a regional exception-monitoring workspace for regional development.</w:t>
      </w:r>
    </w:p>
    <w:p>
      <w:pPr>
        <w:pStyle w:val="ListParagraph"/>
        <w:numPr>
          <w:ilvl w:val="0"/>
          <w:numId w:val="1"/>
        </w:numPr>
        <w:spacing w:after="100"/>
      </w:pPr>
      <w:r>
        <w:t xml:space="preserve">Create cross-border service continuity protocols for regional development.</w:t>
      </w:r>
    </w:p>
    <w:p>
      <w:pPr>
        <w:pStyle w:val="ListParagraph"/>
        <w:numPr>
          <w:ilvl w:val="0"/>
          <w:numId w:val="1"/>
        </w:numPr>
        <w:spacing w:after="100"/>
      </w:pPr>
      <w:r>
        <w:t xml:space="preserve">Expose claim-to-source knowledge graph links for regional development.</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4840</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92</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FND-INT-01 — Critical finding 1: regional divergence</w:t>
      </w:r>
    </w:p>
    <w:p>
      <w:pPr>
        <w:spacing w:after="160" w:line="300"/>
      </w:pPr>
      <w:r>
        <w:rPr>
          <w:color w:val="263B4D"/>
          <w:sz w:val="21"/>
          <w:szCs w:val="21"/>
        </w:rPr>
        <w:t xml:space="preserve">Across East Africa's synthetic study areas, regional divergence is the clearest differentiator of regional development performance. The evidence is strongest in Kenya,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EVI-INT-001, EVI-INT-004 | Confidence 94.5%</w:t>
      </w:r>
    </w:p>
    <w:p>
      <w:pPr>
        <w:pStyle w:val="Heading2"/>
      </w:pPr>
      <w:r>
        <w:t xml:space="preserve">FND-INT-02 — Critical finding 2: cross-border service access</w:t>
      </w:r>
    </w:p>
    <w:p>
      <w:pPr>
        <w:spacing w:after="160" w:line="300"/>
      </w:pPr>
      <w:r>
        <w:rPr>
          <w:color w:val="263B4D"/>
          <w:sz w:val="21"/>
          <w:szCs w:val="21"/>
        </w:rPr>
        <w:t xml:space="preserve">Across East Africa's synthetic study areas, cross-border service access is the clearest differentiator of regional development performance. The evidence is strongest in Tanzania,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EVI-INT-002, EVI-INT-005 | Confidence 95.5%</w:t>
      </w:r>
    </w:p>
    <w:p>
      <w:pPr>
        <w:pStyle w:val="Heading2"/>
      </w:pPr>
      <w:r>
        <w:t xml:space="preserve">FND-INT-03 — Critical finding 3: evidence connectivity</w:t>
      </w:r>
    </w:p>
    <w:p>
      <w:pPr>
        <w:spacing w:after="160" w:line="300"/>
      </w:pPr>
      <w:r>
        <w:rPr>
          <w:color w:val="263B4D"/>
          <w:sz w:val="21"/>
          <w:szCs w:val="21"/>
        </w:rPr>
        <w:t xml:space="preserve">Across East Africa's synthetic study areas, evidence connectivity is the clearest differentiator of regional development performance. The evidence is strongest in Uganda,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EVI-INT-003, EVI-INT-006 | Confidence 96.5%</w:t>
      </w:r>
    </w:p>
    <w:p>
      <w:pPr>
        <w:pStyle w:val="Heading2"/>
      </w:pPr>
      <w:r>
        <w:t xml:space="preserve">FND-INT-04 — Critical finding 4: decision latency</w:t>
      </w:r>
    </w:p>
    <w:p>
      <w:pPr>
        <w:spacing w:after="160" w:line="300"/>
      </w:pPr>
      <w:r>
        <w:rPr>
          <w:color w:val="263B4D"/>
          <w:sz w:val="21"/>
          <w:szCs w:val="21"/>
        </w:rPr>
        <w:t xml:space="preserve">Across East Africa's synthetic study areas, decision latency is the clearest differentiator of regional development performance. The evidence is strongest in Rwanda,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EVI-INT-004, EVI-INT-007 | Confidence 92%</w:t>
      </w:r>
    </w:p>
    <w:p>
      <w:pPr>
        <w:pStyle w:val="Heading2"/>
      </w:pPr>
      <w:r>
        <w:t xml:space="preserve">FND-INT-05 — Critical finding 5: scenario sensitivity</w:t>
      </w:r>
    </w:p>
    <w:p>
      <w:pPr>
        <w:spacing w:after="160" w:line="300"/>
      </w:pPr>
      <w:r>
        <w:rPr>
          <w:color w:val="263B4D"/>
          <w:sz w:val="21"/>
          <w:szCs w:val="21"/>
        </w:rPr>
        <w:t xml:space="preserve">Across East Africa's synthetic study areas, scenario sensitivity is the clearest differentiator of regional development performance. The evidence is strongest in Kenya,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EVI-INT-005, EVI-INT-008 | Confidence 93%</w:t>
      </w:r>
    </w:p>
    <w:p>
      <w:pPr>
        <w:pStyle w:val="Heading1"/>
        <w:pageBreakBefore/>
      </w:pPr>
      <w:r>
        <w:t xml:space="preserve">Decision Intelligence</w:t>
      </w:r>
    </w:p>
    <w:p>
      <w:pPr>
        <w:pStyle w:val="Heading2"/>
      </w:pPr>
      <w:r>
        <w:t xml:space="preserve">DEC-INT-01 — CRITICAL</w:t>
      </w:r>
    </w:p>
    <w:p>
      <w:pPr>
        <w:spacing w:after="160" w:line="300"/>
      </w:pPr>
      <w:r>
        <w:rPr>
          <w:color w:val="263B4D"/>
          <w:sz w:val="21"/>
          <w:szCs w:val="21"/>
        </w:rPr>
        <w:t xml:space="preserve">Activate a regional exception-monitoring workspace for regional development.</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DEC-INT-01</w:t>
      </w:r>
    </w:p>
    <w:p>
      <w:pPr>
        <w:pStyle w:val="Heading2"/>
      </w:pPr>
      <w:r>
        <w:t xml:space="preserve">DEC-INT-02 — CRITICAL</w:t>
      </w:r>
    </w:p>
    <w:p>
      <w:pPr>
        <w:spacing w:after="160" w:line="300"/>
      </w:pPr>
      <w:r>
        <w:rPr>
          <w:color w:val="263B4D"/>
          <w:sz w:val="21"/>
          <w:szCs w:val="21"/>
        </w:rPr>
        <w:t xml:space="preserve">Create cross-border service continuity protocols for regional development.</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DEC-INT-02</w:t>
      </w:r>
    </w:p>
    <w:p>
      <w:pPr>
        <w:pStyle w:val="Heading2"/>
      </w:pPr>
      <w:r>
        <w:t xml:space="preserve">DEC-INT-03 — HIGH</w:t>
      </w:r>
    </w:p>
    <w:p>
      <w:pPr>
        <w:spacing w:after="160" w:line="300"/>
      </w:pPr>
      <w:r>
        <w:rPr>
          <w:color w:val="263B4D"/>
          <w:sz w:val="21"/>
          <w:szCs w:val="21"/>
        </w:rPr>
        <w:t xml:space="preserve">Expose claim-to-source knowledge graph links for regional development.</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DEC-INT-03</w:t>
      </w:r>
    </w:p>
    <w:p>
      <w:pPr>
        <w:pStyle w:val="Heading2"/>
      </w:pPr>
      <w:r>
        <w:t xml:space="preserve">DEC-INT-04 — HIGH</w:t>
      </w:r>
    </w:p>
    <w:p>
      <w:pPr>
        <w:spacing w:after="160" w:line="300"/>
      </w:pPr>
      <w:r>
        <w:rPr>
          <w:color w:val="263B4D"/>
          <w:sz w:val="21"/>
          <w:szCs w:val="21"/>
        </w:rPr>
        <w:t xml:space="preserve">Set decision turnaround service levels for regional development.</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DEC-INT-04</w:t>
      </w:r>
    </w:p>
    <w:p>
      <w:pPr>
        <w:pStyle w:val="Heading2"/>
      </w:pPr>
      <w:r>
        <w:t xml:space="preserve">DEC-INT-05 — MEDIUM</w:t>
      </w:r>
    </w:p>
    <w:p>
      <w:pPr>
        <w:spacing w:after="160" w:line="300"/>
      </w:pPr>
      <w:r>
        <w:rPr>
          <w:color w:val="263B4D"/>
          <w:sz w:val="21"/>
          <w:szCs w:val="21"/>
        </w:rPr>
        <w:t xml:space="preserve">Publish scenario assumptions beside every forecast for regional development.</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DEC-INT-05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East Africa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4840</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92</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1.6</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Responsible AI — APPLICABLE</w:t>
      </w:r>
    </w:p>
    <w:p>
      <w:pPr>
        <w:spacing w:after="160" w:line="300"/>
      </w:pPr>
      <w:r>
        <w:rPr>
          <w:color w:val="263B4D"/>
          <w:sz w:val="21"/>
          <w:szCs w:val="21"/>
        </w:rPr>
        <w:t xml:space="preserve">AI-assisted interpretation requires grounding, human review, privacy and limitations.</w:t>
      </w:r>
    </w:p>
    <w:p>
      <w:pPr>
        <w:spacing w:after="160" w:line="300"/>
      </w:pPr>
      <w:r>
        <w:rPr>
          <w:color w:val="263B4D"/>
          <w:sz w:val="21"/>
          <w:szCs w:val="21"/>
        </w:rPr>
        <w:t xml:space="preserve">Criteria: Model provenance, Evidence grounding, Bias review, Human oversight, Override log</w:t>
      </w:r>
    </w:p>
    <w:p>
      <w:pPr>
        <w:spacing w:after="160" w:line="300"/>
      </w:pPr>
      <w:r>
        <w:rPr>
          <w:color w:val="263B4D"/>
          <w:sz w:val="21"/>
          <w:szCs w:val="21"/>
        </w:rPr>
        <w:t xml:space="preserve">Limitation: Synthetic demonstration; no institutional endorsement.</w:t>
      </w:r>
    </w:p>
    <w:p>
      <w:pPr>
        <w:pStyle w:val="Heading2"/>
      </w:pPr>
      <w:r>
        <w:t xml:space="preserve">Accessibility — APPLICABLE</w:t>
      </w:r>
    </w:p>
    <w:p>
      <w:pPr>
        <w:spacing w:after="160" w:line="300"/>
      </w:pPr>
      <w:r>
        <w:rPr>
          <w:color w:val="263B4D"/>
          <w:sz w:val="21"/>
          <w:szCs w:val="21"/>
        </w:rPr>
        <w:t xml:space="preserve">Publications must be readable and operable across formats and assistive technologies.</w:t>
      </w:r>
    </w:p>
    <w:p>
      <w:pPr>
        <w:spacing w:after="160" w:line="300"/>
      </w:pPr>
      <w:r>
        <w:rPr>
          <w:color w:val="263B4D"/>
          <w:sz w:val="21"/>
          <w:szCs w:val="21"/>
        </w:rPr>
        <w:t xml:space="preserve">Criteria: Contrast, Reading order, Alt text, Table headers, Keyboard access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EVI-INT-001</w:t>
            </w:r>
          </w:p>
        </w:tc>
        <w:tc>
          <w:tcPr>
            <w:tcW w:type="pct" w:w="50%"/>
            <w:shd w:fill="FFFFFF" w:val="clear"/>
          </w:tcPr>
          <w:p>
            <w:r>
              <w:rPr>
                <w:b w:val="false"/>
                <w:bCs w:val="false"/>
                <w:color w:val="102A43"/>
                <w:sz w:val="20"/>
                <w:szCs w:val="20"/>
              </w:rPr>
              <w:t xml:space="preserve">SYN-INTE-0001 | 93%</w:t>
            </w:r>
          </w:p>
        </w:tc>
      </w:tr>
      <w:tr>
        <w:tc>
          <w:tcPr>
            <w:tcW w:type="pct" w:w="50%"/>
            <w:shd w:fill="FFFFFF" w:val="clear"/>
          </w:tcPr>
          <w:p>
            <w:r>
              <w:rPr>
                <w:b w:val="false"/>
                <w:bCs w:val="false"/>
                <w:color w:val="102A43"/>
                <w:sz w:val="20"/>
                <w:szCs w:val="20"/>
              </w:rPr>
              <w:t xml:space="preserve">EVI-INT-002</w:t>
            </w:r>
          </w:p>
        </w:tc>
        <w:tc>
          <w:tcPr>
            <w:tcW w:type="pct" w:w="50%"/>
            <w:shd w:fill="FFFFFF" w:val="clear"/>
          </w:tcPr>
          <w:p>
            <w:r>
              <w:rPr>
                <w:b w:val="false"/>
                <w:bCs w:val="false"/>
                <w:color w:val="102A43"/>
                <w:sz w:val="20"/>
                <w:szCs w:val="20"/>
              </w:rPr>
              <w:t xml:space="preserve">SYN-INTE-0002 | 94%</w:t>
            </w:r>
          </w:p>
        </w:tc>
      </w:tr>
      <w:tr>
        <w:tc>
          <w:tcPr>
            <w:tcW w:type="pct" w:w="50%"/>
            <w:shd w:fill="FFFFFF" w:val="clear"/>
          </w:tcPr>
          <w:p>
            <w:r>
              <w:rPr>
                <w:b w:val="false"/>
                <w:bCs w:val="false"/>
                <w:color w:val="102A43"/>
                <w:sz w:val="20"/>
                <w:szCs w:val="20"/>
              </w:rPr>
              <w:t xml:space="preserve">EVI-INT-003</w:t>
            </w:r>
          </w:p>
        </w:tc>
        <w:tc>
          <w:tcPr>
            <w:tcW w:type="pct" w:w="50%"/>
            <w:shd w:fill="FFFFFF" w:val="clear"/>
          </w:tcPr>
          <w:p>
            <w:r>
              <w:rPr>
                <w:b w:val="false"/>
                <w:bCs w:val="false"/>
                <w:color w:val="102A43"/>
                <w:sz w:val="20"/>
                <w:szCs w:val="20"/>
              </w:rPr>
              <w:t xml:space="preserve">SYN-INTE-0003 | 95%</w:t>
            </w:r>
          </w:p>
        </w:tc>
      </w:tr>
      <w:tr>
        <w:tc>
          <w:tcPr>
            <w:tcW w:type="pct" w:w="50%"/>
            <w:shd w:fill="FFFFFF" w:val="clear"/>
          </w:tcPr>
          <w:p>
            <w:r>
              <w:rPr>
                <w:b w:val="false"/>
                <w:bCs w:val="false"/>
                <w:color w:val="102A43"/>
                <w:sz w:val="20"/>
                <w:szCs w:val="20"/>
              </w:rPr>
              <w:t xml:space="preserve">EVI-INT-004</w:t>
            </w:r>
          </w:p>
        </w:tc>
        <w:tc>
          <w:tcPr>
            <w:tcW w:type="pct" w:w="50%"/>
            <w:shd w:fill="FFFFFF" w:val="clear"/>
          </w:tcPr>
          <w:p>
            <w:r>
              <w:rPr>
                <w:b w:val="false"/>
                <w:bCs w:val="false"/>
                <w:color w:val="102A43"/>
                <w:sz w:val="20"/>
                <w:szCs w:val="20"/>
              </w:rPr>
              <w:t xml:space="preserve">SYN-INTE-0004 | 96%</w:t>
            </w:r>
          </w:p>
        </w:tc>
      </w:tr>
      <w:tr>
        <w:tc>
          <w:tcPr>
            <w:tcW w:type="pct" w:w="50%"/>
            <w:shd w:fill="FFFFFF" w:val="clear"/>
          </w:tcPr>
          <w:p>
            <w:r>
              <w:rPr>
                <w:b w:val="false"/>
                <w:bCs w:val="false"/>
                <w:color w:val="102A43"/>
                <w:sz w:val="20"/>
                <w:szCs w:val="20"/>
              </w:rPr>
              <w:t xml:space="preserve">EVI-INT-005</w:t>
            </w:r>
          </w:p>
        </w:tc>
        <w:tc>
          <w:tcPr>
            <w:tcW w:type="pct" w:w="50%"/>
            <w:shd w:fill="FFFFFF" w:val="clear"/>
          </w:tcPr>
          <w:p>
            <w:r>
              <w:rPr>
                <w:b w:val="false"/>
                <w:bCs w:val="false"/>
                <w:color w:val="102A43"/>
                <w:sz w:val="20"/>
                <w:szCs w:val="20"/>
              </w:rPr>
              <w:t xml:space="preserve">SYN-INTE-0005 | 97%</w:t>
            </w:r>
          </w:p>
        </w:tc>
      </w:tr>
      <w:tr>
        <w:tc>
          <w:tcPr>
            <w:tcW w:type="pct" w:w="50%"/>
            <w:shd w:fill="FFFFFF" w:val="clear"/>
          </w:tcPr>
          <w:p>
            <w:r>
              <w:rPr>
                <w:b w:val="false"/>
                <w:bCs w:val="false"/>
                <w:color w:val="102A43"/>
                <w:sz w:val="20"/>
                <w:szCs w:val="20"/>
              </w:rPr>
              <w:t xml:space="preserve">EVI-INT-006</w:t>
            </w:r>
          </w:p>
        </w:tc>
        <w:tc>
          <w:tcPr>
            <w:tcW w:type="pct" w:w="50%"/>
            <w:shd w:fill="FFFFFF" w:val="clear"/>
          </w:tcPr>
          <w:p>
            <w:r>
              <w:rPr>
                <w:b w:val="false"/>
                <w:bCs w:val="false"/>
                <w:color w:val="102A43"/>
                <w:sz w:val="20"/>
                <w:szCs w:val="20"/>
              </w:rPr>
              <w:t xml:space="preserve">SYN-INTE-0006 | 98%</w:t>
            </w:r>
          </w:p>
        </w:tc>
      </w:tr>
      <w:tr>
        <w:tc>
          <w:tcPr>
            <w:tcW w:type="pct" w:w="50%"/>
            <w:shd w:fill="FFFFFF" w:val="clear"/>
          </w:tcPr>
          <w:p>
            <w:r>
              <w:rPr>
                <w:b w:val="false"/>
                <w:bCs w:val="false"/>
                <w:color w:val="102A43"/>
                <w:sz w:val="20"/>
                <w:szCs w:val="20"/>
              </w:rPr>
              <w:t xml:space="preserve">EVI-INT-007</w:t>
            </w:r>
          </w:p>
        </w:tc>
        <w:tc>
          <w:tcPr>
            <w:tcW w:type="pct" w:w="50%"/>
            <w:shd w:fill="FFFFFF" w:val="clear"/>
          </w:tcPr>
          <w:p>
            <w:r>
              <w:rPr>
                <w:b w:val="false"/>
                <w:bCs w:val="false"/>
                <w:color w:val="102A43"/>
                <w:sz w:val="20"/>
                <w:szCs w:val="20"/>
              </w:rPr>
              <w:t xml:space="preserve">SYN-INTE-0007 | 88%</w:t>
            </w:r>
          </w:p>
        </w:tc>
      </w:tr>
      <w:tr>
        <w:tc>
          <w:tcPr>
            <w:tcW w:type="pct" w:w="50%"/>
            <w:shd w:fill="FFFFFF" w:val="clear"/>
          </w:tcPr>
          <w:p>
            <w:r>
              <w:rPr>
                <w:b w:val="false"/>
                <w:bCs w:val="false"/>
                <w:color w:val="102A43"/>
                <w:sz w:val="20"/>
                <w:szCs w:val="20"/>
              </w:rPr>
              <w:t xml:space="preserve">EVI-INT-008</w:t>
            </w:r>
          </w:p>
        </w:tc>
        <w:tc>
          <w:tcPr>
            <w:tcW w:type="pct" w:w="50%"/>
            <w:shd w:fill="FFFFFF" w:val="clear"/>
          </w:tcPr>
          <w:p>
            <w:r>
              <w:rPr>
                <w:b w:val="false"/>
                <w:bCs w:val="false"/>
                <w:color w:val="102A43"/>
                <w:sz w:val="20"/>
                <w:szCs w:val="20"/>
              </w:rPr>
              <w:t xml:space="preserve">SYN-INTE-0008 | 89%</w:t>
            </w:r>
          </w:p>
        </w:tc>
      </w:tr>
      <w:tr>
        <w:tc>
          <w:tcPr>
            <w:tcW w:type="pct" w:w="50%"/>
            <w:shd w:fill="FFFFFF" w:val="clear"/>
          </w:tcPr>
          <w:p>
            <w:r>
              <w:rPr>
                <w:b w:val="false"/>
                <w:bCs w:val="false"/>
                <w:color w:val="102A43"/>
                <w:sz w:val="20"/>
                <w:szCs w:val="20"/>
              </w:rPr>
              <w:t xml:space="preserve">EVI-INT-009</w:t>
            </w:r>
          </w:p>
        </w:tc>
        <w:tc>
          <w:tcPr>
            <w:tcW w:type="pct" w:w="50%"/>
            <w:shd w:fill="FFFFFF" w:val="clear"/>
          </w:tcPr>
          <w:p>
            <w:r>
              <w:rPr>
                <w:b w:val="false"/>
                <w:bCs w:val="false"/>
                <w:color w:val="102A43"/>
                <w:sz w:val="20"/>
                <w:szCs w:val="20"/>
              </w:rPr>
              <w:t xml:space="preserve">SYN-INTE-0009 | 90%</w:t>
            </w:r>
          </w:p>
        </w:tc>
      </w:tr>
      <w:tr>
        <w:tc>
          <w:tcPr>
            <w:tcW w:type="pct" w:w="50%"/>
            <w:shd w:fill="FFFFFF" w:val="clear"/>
          </w:tcPr>
          <w:p>
            <w:r>
              <w:rPr>
                <w:b w:val="false"/>
                <w:bCs w:val="false"/>
                <w:color w:val="102A43"/>
                <w:sz w:val="20"/>
                <w:szCs w:val="20"/>
              </w:rPr>
              <w:t xml:space="preserve">EVI-INT-010</w:t>
            </w:r>
          </w:p>
        </w:tc>
        <w:tc>
          <w:tcPr>
            <w:tcW w:type="pct" w:w="50%"/>
            <w:shd w:fill="FFFFFF" w:val="clear"/>
          </w:tcPr>
          <w:p>
            <w:r>
              <w:rPr>
                <w:b w:val="false"/>
                <w:bCs w:val="false"/>
                <w:color w:val="102A43"/>
                <w:sz w:val="20"/>
                <w:szCs w:val="20"/>
              </w:rPr>
              <w:t xml:space="preserve">SYN-INTE-0010 | 91%</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VIA-FLAGSHIP-INTERACTIVE-INTELLIGENCE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Intelligence Report</dc:title>
  <dc:creator>VoiceInsights Africa</dc:creator>
  <dc:description>Synthetic Demonstration Publication</dc:description>
  <cp:lastModifiedBy>Un-named</cp:lastModifiedBy>
  <cp:revision>1</cp:revision>
  <dcterms:created xsi:type="dcterms:W3CDTF">2026-07-12T22:51:25.991Z</dcterms:created>
  <dcterms:modified xsi:type="dcterms:W3CDTF">2026-07-12T22:51:25.991Z</dcterms:modified>
</cp:coreProperties>
</file>

<file path=docProps/custom.xml><?xml version="1.0" encoding="utf-8"?>
<Properties xmlns="http://schemas.openxmlformats.org/officeDocument/2006/custom-properties" xmlns:vt="http://schemas.openxmlformats.org/officeDocument/2006/docPropsVTypes"/>
</file>