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900"/>
        <w:jc w:val="center"/>
      </w:pPr>
      <w:r>
        <w:drawing>
          <wp:inline distT="0" distB="0" distL="0" distR="0">
            <wp:extent cx="1143000" cy="800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143000" cy="800100"/>
                    </a:xfrm>
                    <a:prstGeom prst="rect">
                      <a:avLst/>
                    </a:prstGeom>
                  </pic:spPr>
                </pic:pic>
              </a:graphicData>
            </a:graphic>
          </wp:inline>
        </w:drawing>
      </w:r>
    </w:p>
    <w:p>
      <w:pPr>
        <w:jc w:val="center"/>
      </w:pPr>
      <w:r>
        <w:rPr>
          <w:b/>
          <w:bCs/>
          <w:color w:val="07883F"/>
          <w:sz w:val="24"/>
          <w:szCs w:val="24"/>
        </w:rPr>
        <w:t xml:space="preserve">VOICEINSIGHTS AFRICA</w:t>
      </w:r>
    </w:p>
    <w:p>
      <w:pPr>
        <w:spacing w:after="300" w:before="1500"/>
        <w:jc w:val="center"/>
      </w:pPr>
      <w:r>
        <w:rPr>
          <w:b/>
          <w:bCs/>
          <w:color w:val="243b53"/>
          <w:sz w:val="48"/>
          <w:szCs w:val="48"/>
        </w:rPr>
        <w:t xml:space="preserve">Statistical Intelligence Report</w:t>
      </w:r>
    </w:p>
    <w:p>
      <w:pPr>
        <w:jc w:val="center"/>
      </w:pPr>
      <w:r>
        <w:rPr>
          <w:color w:val="52667A"/>
          <w:sz w:val="24"/>
          <w:szCs w:val="24"/>
        </w:rPr>
        <w:t xml:space="preserve">Tanzania | Health Systems</w:t>
      </w:r>
    </w:p>
    <w:p>
      <w:pPr>
        <w:spacing w:before="1000"/>
        <w:jc w:val="center"/>
      </w:pPr>
      <w:r>
        <w:rPr>
          <w:b/>
          <w:bCs/>
          <w:color w:val="B07D00"/>
          <w:sz w:val="20"/>
          <w:szCs w:val="20"/>
        </w:rPr>
        <w:t xml:space="preserve">Synthetic Demonstration Publication</w:t>
      </w:r>
    </w:p>
    <w:p>
      <w:pPr>
        <w:jc w:val="center"/>
      </w:pPr>
      <w:r>
        <w:rPr>
          <w:sz w:val="18"/>
          <w:szCs w:val="18"/>
        </w:rPr>
        <w:t xml:space="preserve">Prepared by VoiceInsights Africa | Every Voice. Every Language. Every Insight.</w:t>
      </w:r>
    </w:p>
    <w:p>
      <w:r>
        <w:br w:type="page"/>
      </w:r>
    </w:p>
    <w:sdt>
      <w:sdtPr>
        <w:alias w:val="Contents"/>
      </w:sdtPr>
      <w:sdtContent>
        <w:p>
          <w:r>
            <w:fldChar w:fldCharType="begin" w:dirty="true"/>
            <w:instrText xml:space="preserve">TOC \h \o "1-3"</w:instrText>
            <w:fldChar w:fldCharType="separate"/>
          </w:r>
        </w:p>
        <w:p>
          <w:r>
            <w:fldChar w:fldCharType="end"/>
          </w:r>
        </w:p>
      </w:sdtContent>
    </w:sdt>
    <w:p>
      <w:r>
        <w:br w:type="page"/>
      </w:r>
    </w:p>
    <w:p>
      <w:pPr>
        <w:pStyle w:val="Heading1"/>
        <w:pageBreakBefore/>
      </w:pPr>
      <w:r>
        <w:t xml:space="preserve">Executive Intelligence Book</w:t>
      </w:r>
    </w:p>
    <w:p>
      <w:pPr>
        <w:spacing w:after="160" w:line="300"/>
      </w:pPr>
      <w:r>
        <w:rPr>
          <w:color w:val="263B4D"/>
          <w:sz w:val="21"/>
          <w:szCs w:val="21"/>
        </w:rPr>
        <w:t xml:space="preserve">This flagship synthetic demonstration publication examines health systems performance in Tanzania. The governed evidence model identifies uneven progress, concentrated risks and actionable opportunities. Findings are linked to synthetic source records, recommendations carry named accountability fields, and all statistical claims are generated from one internally consistent dataset.</w:t>
      </w:r>
    </w:p>
    <w:p>
      <w:pPr>
        <w:pStyle w:val="Heading2"/>
      </w:pPr>
      <w:r>
        <w:t xml:space="preserve">Decision snapshot</w:t>
      </w:r>
    </w:p>
    <w:p>
      <w:pPr>
        <w:pStyle w:val="ListParagraph"/>
        <w:numPr>
          <w:ilvl w:val="0"/>
          <w:numId w:val="1"/>
        </w:numPr>
        <w:spacing w:after="100"/>
      </w:pPr>
      <w:r>
        <w:t xml:space="preserve">Publish weighted effective-coverage estimates for health systems.</w:t>
      </w:r>
    </w:p>
    <w:p>
      <w:pPr>
        <w:pStyle w:val="ListParagraph"/>
        <w:numPr>
          <w:ilvl w:val="0"/>
          <w:numId w:val="1"/>
        </w:numPr>
        <w:spacing w:after="100"/>
      </w:pPr>
      <w:r>
        <w:t xml:space="preserve">Target readiness investment using uncertainty bands for health systems.</w:t>
      </w:r>
    </w:p>
    <w:p>
      <w:pPr>
        <w:pStyle w:val="ListParagraph"/>
        <w:numPr>
          <w:ilvl w:val="0"/>
          <w:numId w:val="1"/>
        </w:numPr>
        <w:spacing w:after="100"/>
      </w:pPr>
      <w:r>
        <w:t xml:space="preserve">Institutionalise equity decomposition for health systems.</w:t>
      </w:r>
    </w:p>
    <w:p>
      <w:pPr>
        <w:pStyle w:val="Heading2"/>
      </w:pPr>
      <w:r>
        <w:t xml:space="preserve">Executive dashboard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shd w:fill="DCEFE5" w:val="clear"/>
          </w:tcPr>
          <w:p>
            <w:r>
              <w:rPr>
                <w:b/>
                <w:bCs/>
                <w:color w:val="102A43"/>
                <w:sz w:val="20"/>
                <w:szCs w:val="20"/>
              </w:rPr>
              <w:t xml:space="preserve">Metric</w:t>
            </w:r>
          </w:p>
        </w:tc>
        <w:tc>
          <w:tcPr>
            <w:tcW w:type="pct" w:w="50%"/>
            <w:shd w:fill="DCEFE5" w:val="clear"/>
          </w:tcPr>
          <w:p>
            <w:r>
              <w:rPr>
                <w:b/>
                <w:bCs/>
                <w:color w:val="102A43"/>
                <w:sz w:val="20"/>
                <w:szCs w:val="20"/>
              </w:rPr>
              <w:t xml:space="preserve">Value</w:t>
            </w:r>
          </w:p>
        </w:tc>
      </w:tr>
      <w:tr>
        <w:tc>
          <w:tcPr>
            <w:tcW w:type="pct" w:w="50%"/>
            <w:shd w:fill="FFFFFF" w:val="clear"/>
          </w:tcPr>
          <w:p>
            <w:r>
              <w:rPr>
                <w:b w:val="false"/>
                <w:bCs w:val="false"/>
                <w:color w:val="102A43"/>
                <w:sz w:val="20"/>
                <w:szCs w:val="20"/>
              </w:rPr>
              <w:t xml:space="preserve">sample size</w:t>
            </w:r>
          </w:p>
        </w:tc>
        <w:tc>
          <w:tcPr>
            <w:tcW w:type="pct" w:w="50%"/>
            <w:shd w:fill="FFFFFF" w:val="clear"/>
          </w:tcPr>
          <w:p>
            <w:r>
              <w:rPr>
                <w:b w:val="false"/>
                <w:bCs w:val="false"/>
                <w:color w:val="102A43"/>
                <w:sz w:val="20"/>
                <w:szCs w:val="20"/>
              </w:rPr>
              <w:t xml:space="preserve">4532</w:t>
            </w:r>
          </w:p>
        </w:tc>
      </w:tr>
      <w:tr>
        <w:tc>
          <w:tcPr>
            <w:tcW w:type="pct" w:w="50%"/>
            <w:shd w:fill="FFFFFF" w:val="clear"/>
          </w:tcPr>
          <w:p>
            <w:r>
              <w:rPr>
                <w:b w:val="false"/>
                <w:bCs w:val="false"/>
                <w:color w:val="102A43"/>
                <w:sz w:val="20"/>
                <w:szCs w:val="20"/>
              </w:rPr>
              <w:t xml:space="preserve">response rate</w:t>
            </w:r>
          </w:p>
        </w:tc>
        <w:tc>
          <w:tcPr>
            <w:tcW w:type="pct" w:w="50%"/>
            <w:shd w:fill="FFFFFF" w:val="clear"/>
          </w:tcPr>
          <w:p>
            <w:r>
              <w:rPr>
                <w:b w:val="false"/>
                <w:bCs w:val="false"/>
                <w:color w:val="102A43"/>
                <w:sz w:val="20"/>
                <w:szCs w:val="20"/>
              </w:rPr>
              <w:t xml:space="preserve">90</w:t>
            </w:r>
          </w:p>
        </w:tc>
      </w:tr>
      <w:tr>
        <w:tc>
          <w:tcPr>
            <w:tcW w:type="pct" w:w="50%"/>
            <w:shd w:fill="FFFFFF" w:val="clear"/>
          </w:tcPr>
          <w:p>
            <w:r>
              <w:rPr>
                <w:b w:val="false"/>
                <w:bCs w:val="false"/>
                <w:color w:val="102A43"/>
                <w:sz w:val="20"/>
                <w:szCs w:val="20"/>
              </w:rPr>
              <w:t xml:space="preserve">verified findings</w:t>
            </w:r>
          </w:p>
        </w:tc>
        <w:tc>
          <w:tcPr>
            <w:tcW w:type="pct" w:w="50%"/>
            <w:shd w:fill="FFFFFF" w:val="clear"/>
          </w:tcPr>
          <w:p>
            <w:r>
              <w:rPr>
                <w:b w:val="false"/>
                <w:bCs w:val="false"/>
                <w:color w:val="102A43"/>
                <w:sz w:val="20"/>
                <w:szCs w:val="20"/>
              </w:rPr>
              <w:t xml:space="preserve">5</w:t>
            </w:r>
          </w:p>
        </w:tc>
      </w:tr>
      <w:tr>
        <w:tc>
          <w:tcPr>
            <w:tcW w:type="pct" w:w="50%"/>
            <w:shd w:fill="FFFFFF" w:val="clear"/>
          </w:tcPr>
          <w:p>
            <w:r>
              <w:rPr>
                <w:b w:val="false"/>
                <w:bCs w:val="false"/>
                <w:color w:val="102A43"/>
                <w:sz w:val="20"/>
                <w:szCs w:val="20"/>
              </w:rPr>
              <w:t xml:space="preserve">priority decisions</w:t>
            </w:r>
          </w:p>
        </w:tc>
        <w:tc>
          <w:tcPr>
            <w:tcW w:type="pct" w:w="50%"/>
            <w:shd w:fill="FFFFFF" w:val="clear"/>
          </w:tcPr>
          <w:p>
            <w:r>
              <w:rPr>
                <w:b w:val="false"/>
                <w:bCs w:val="false"/>
                <w:color w:val="102A43"/>
                <w:sz w:val="20"/>
                <w:szCs w:val="20"/>
              </w:rPr>
              <w:t xml:space="preserve">5</w:t>
            </w:r>
          </w:p>
        </w:tc>
      </w:tr>
    </w:tbl>
    <w:p>
      <w:pPr>
        <w:pStyle w:val="Heading1"/>
        <w:pageBreakBefore/>
      </w:pPr>
      <w:r>
        <w:t xml:space="preserve">Critical Findings</w:t>
      </w:r>
    </w:p>
    <w:p>
      <w:pPr>
        <w:pStyle w:val="Heading2"/>
      </w:pPr>
      <w:r>
        <w:t xml:space="preserve">FND-STA-01 — Critical finding 1: effective coverage</w:t>
      </w:r>
    </w:p>
    <w:p>
      <w:pPr>
        <w:spacing w:after="160" w:line="300"/>
      </w:pPr>
      <w:r>
        <w:rPr>
          <w:color w:val="263B4D"/>
          <w:sz w:val="21"/>
          <w:szCs w:val="21"/>
        </w:rPr>
        <w:t xml:space="preserve">Across Tanzania's synthetic study areas, effective coverage is the clearest differentiator of health systems performance. The evidence is strongest in Eastern Zone, where rural women face the largest gap. If the pattern remains unaddressed for twelve months, it is likely to weaken equity, delivery confidence and the durability of outcomes.</w:t>
      </w:r>
    </w:p>
    <w:p>
      <w:pPr>
        <w:spacing w:after="160" w:line="300"/>
      </w:pPr>
      <w:r>
        <w:rPr>
          <w:color w:val="263B4D"/>
          <w:sz w:val="21"/>
          <w:szCs w:val="21"/>
        </w:rPr>
        <w:t xml:space="preserve">Evidence: EVI-STA-001, EVI-STA-004 | Confidence 94.5%</w:t>
      </w:r>
    </w:p>
    <w:p>
      <w:pPr>
        <w:pStyle w:val="Heading2"/>
      </w:pPr>
      <w:r>
        <w:t xml:space="preserve">FND-STA-02 — Critical finding 2: facility readiness</w:t>
      </w:r>
    </w:p>
    <w:p>
      <w:pPr>
        <w:spacing w:after="160" w:line="300"/>
      </w:pPr>
      <w:r>
        <w:rPr>
          <w:color w:val="263B4D"/>
          <w:sz w:val="21"/>
          <w:szCs w:val="21"/>
        </w:rPr>
        <w:t xml:space="preserve">Across Tanzania's synthetic study areas, facility readiness is the clearest differentiator of health systems performance. The evidence is strongest in Lake Zone, where young adults face the largest gap. If the pattern remains unaddressed for twelve months, it is likely to weaken equity, delivery confidence and the durability of outcomes.</w:t>
      </w:r>
    </w:p>
    <w:p>
      <w:pPr>
        <w:spacing w:after="160" w:line="300"/>
      </w:pPr>
      <w:r>
        <w:rPr>
          <w:color w:val="263B4D"/>
          <w:sz w:val="21"/>
          <w:szCs w:val="21"/>
        </w:rPr>
        <w:t xml:space="preserve">Evidence: EVI-STA-002, EVI-STA-005 | Confidence 95.5%</w:t>
      </w:r>
    </w:p>
    <w:p>
      <w:pPr>
        <w:pStyle w:val="Heading2"/>
      </w:pPr>
      <w:r>
        <w:t xml:space="preserve">FND-STA-03 — Critical finding 3: wealth-related inequity</w:t>
      </w:r>
    </w:p>
    <w:p>
      <w:pPr>
        <w:spacing w:after="160" w:line="300"/>
      </w:pPr>
      <w:r>
        <w:rPr>
          <w:color w:val="263B4D"/>
          <w:sz w:val="21"/>
          <w:szCs w:val="21"/>
        </w:rPr>
        <w:t xml:space="preserve">Across Tanzania's synthetic study areas, wealth-related inequity is the clearest differentiator of health systems performance. The evidence is strongest in Northern Zone, where persons with disabilities face the largest gap. If the pattern remains unaddressed for twelve months, it is likely to weaken equity, delivery confidence and the durability of outcomes.</w:t>
      </w:r>
    </w:p>
    <w:p>
      <w:pPr>
        <w:spacing w:after="160" w:line="300"/>
      </w:pPr>
      <w:r>
        <w:rPr>
          <w:color w:val="263B4D"/>
          <w:sz w:val="21"/>
          <w:szCs w:val="21"/>
        </w:rPr>
        <w:t xml:space="preserve">Evidence: EVI-STA-003, EVI-STA-006 | Confidence 96.5%</w:t>
      </w:r>
    </w:p>
    <w:p>
      <w:pPr>
        <w:pStyle w:val="Heading2"/>
      </w:pPr>
      <w:r>
        <w:t xml:space="preserve">FND-STA-04 — Critical finding 4: measurement reliability</w:t>
      </w:r>
    </w:p>
    <w:p>
      <w:pPr>
        <w:spacing w:after="160" w:line="300"/>
      </w:pPr>
      <w:r>
        <w:rPr>
          <w:color w:val="263B4D"/>
          <w:sz w:val="21"/>
          <w:szCs w:val="21"/>
        </w:rPr>
        <w:t xml:space="preserve">Across Tanzania's synthetic study areas, measurement reliability is the clearest differentiator of health systems performance. The evidence is strongest in Southern Highlands, where frontline workers face the largest gap. If the pattern remains unaddressed for twelve months, it is likely to weaken equity, delivery confidence and the durability of outcomes.</w:t>
      </w:r>
    </w:p>
    <w:p>
      <w:pPr>
        <w:spacing w:after="160" w:line="300"/>
      </w:pPr>
      <w:r>
        <w:rPr>
          <w:color w:val="263B4D"/>
          <w:sz w:val="21"/>
          <w:szCs w:val="21"/>
        </w:rPr>
        <w:t xml:space="preserve">Evidence: EVI-STA-004, EVI-STA-007 | Confidence 92%</w:t>
      </w:r>
    </w:p>
    <w:p>
      <w:pPr>
        <w:pStyle w:val="Heading2"/>
      </w:pPr>
      <w:r>
        <w:t xml:space="preserve">FND-STA-05 — Critical finding 5: predictive model stability</w:t>
      </w:r>
    </w:p>
    <w:p>
      <w:pPr>
        <w:spacing w:after="160" w:line="300"/>
      </w:pPr>
      <w:r>
        <w:rPr>
          <w:color w:val="263B4D"/>
          <w:sz w:val="21"/>
          <w:szCs w:val="21"/>
        </w:rPr>
        <w:t xml:space="preserve">Across Tanzania's synthetic study areas, predictive model stability is the clearest differentiator of health systems performance. The evidence is strongest in Eastern Zone, where low-income households face the largest gap. If the pattern remains unaddressed for twelve months, it is likely to weaken equity, delivery confidence and the durability of outcomes.</w:t>
      </w:r>
    </w:p>
    <w:p>
      <w:pPr>
        <w:spacing w:after="160" w:line="300"/>
      </w:pPr>
      <w:r>
        <w:rPr>
          <w:color w:val="263B4D"/>
          <w:sz w:val="21"/>
          <w:szCs w:val="21"/>
        </w:rPr>
        <w:t xml:space="preserve">Evidence: EVI-STA-005, EVI-STA-008 | Confidence 93%</w:t>
      </w:r>
    </w:p>
    <w:p>
      <w:pPr>
        <w:pStyle w:val="Heading1"/>
        <w:pageBreakBefore/>
      </w:pPr>
      <w:r>
        <w:t xml:space="preserve">Decision Intelligence</w:t>
      </w:r>
    </w:p>
    <w:p>
      <w:pPr>
        <w:pStyle w:val="Heading2"/>
      </w:pPr>
      <w:r>
        <w:t xml:space="preserve">DEC-STA-01 — CRITICAL</w:t>
      </w:r>
    </w:p>
    <w:p>
      <w:pPr>
        <w:spacing w:after="160" w:line="300"/>
      </w:pPr>
      <w:r>
        <w:rPr>
          <w:color w:val="263B4D"/>
          <w:sz w:val="21"/>
          <w:szCs w:val="21"/>
        </w:rPr>
        <w:t xml:space="preserve">Publish weighted effective-coverage estimates for health systems.</w:t>
      </w:r>
    </w:p>
    <w:p>
      <w:pPr>
        <w:spacing w:after="160" w:line="300"/>
      </w:pPr>
      <w:r>
        <w:rPr>
          <w:color w:val="263B4D"/>
          <w:sz w:val="21"/>
          <w:szCs w:val="21"/>
        </w:rPr>
        <w:t xml:space="preserve">Owner: Principal Investigator | Timeline: 0–90 days | Budget: Medium — detailed costing and fiduciary review required</w:t>
      </w:r>
    </w:p>
    <w:p>
      <w:pPr>
        <w:spacing w:after="160" w:line="300"/>
      </w:pPr>
      <w:r>
        <w:rPr>
          <w:color w:val="263B4D"/>
          <w:sz w:val="21"/>
          <w:szCs w:val="21"/>
        </w:rPr>
        <w:t xml:space="preserve">Monitoring indicator: Percentage of agreed milestones completed for DEC-STA-01</w:t>
      </w:r>
    </w:p>
    <w:p>
      <w:pPr>
        <w:pStyle w:val="Heading2"/>
      </w:pPr>
      <w:r>
        <w:t xml:space="preserve">DEC-STA-02 — CRITICAL</w:t>
      </w:r>
    </w:p>
    <w:p>
      <w:pPr>
        <w:spacing w:after="160" w:line="300"/>
      </w:pPr>
      <w:r>
        <w:rPr>
          <w:color w:val="263B4D"/>
          <w:sz w:val="21"/>
          <w:szCs w:val="21"/>
        </w:rPr>
        <w:t xml:space="preserve">Target readiness investment using uncertainty bands for health systems.</w:t>
      </w:r>
    </w:p>
    <w:p>
      <w:pPr>
        <w:spacing w:after="160" w:line="300"/>
      </w:pPr>
      <w:r>
        <w:rPr>
          <w:color w:val="263B4D"/>
          <w:sz w:val="21"/>
          <w:szCs w:val="21"/>
        </w:rPr>
        <w:t xml:space="preserve">Owner: Principal Investigator | Timeline: 3–12 months | Budget: Low to medium — validate through the formal planning cycle</w:t>
      </w:r>
    </w:p>
    <w:p>
      <w:pPr>
        <w:spacing w:after="160" w:line="300"/>
      </w:pPr>
      <w:r>
        <w:rPr>
          <w:color w:val="263B4D"/>
          <w:sz w:val="21"/>
          <w:szCs w:val="21"/>
        </w:rPr>
        <w:t xml:space="preserve">Monitoring indicator: Percentage of agreed milestones completed for DEC-STA-02</w:t>
      </w:r>
    </w:p>
    <w:p>
      <w:pPr>
        <w:pStyle w:val="Heading2"/>
      </w:pPr>
      <w:r>
        <w:t xml:space="preserve">DEC-STA-03 — HIGH</w:t>
      </w:r>
    </w:p>
    <w:p>
      <w:pPr>
        <w:spacing w:after="160" w:line="300"/>
      </w:pPr>
      <w:r>
        <w:rPr>
          <w:color w:val="263B4D"/>
          <w:sz w:val="21"/>
          <w:szCs w:val="21"/>
        </w:rPr>
        <w:t xml:space="preserve">Institutionalise equity decomposition for health systems.</w:t>
      </w:r>
    </w:p>
    <w:p>
      <w:pPr>
        <w:spacing w:after="160" w:line="300"/>
      </w:pPr>
      <w:r>
        <w:rPr>
          <w:color w:val="263B4D"/>
          <w:sz w:val="21"/>
          <w:szCs w:val="21"/>
        </w:rPr>
        <w:t xml:space="preserve">Owner: Principal Investigator | Timeline: 3–12 months | Budget: Low to medium — validate through the formal planning cycle</w:t>
      </w:r>
    </w:p>
    <w:p>
      <w:pPr>
        <w:spacing w:after="160" w:line="300"/>
      </w:pPr>
      <w:r>
        <w:rPr>
          <w:color w:val="263B4D"/>
          <w:sz w:val="21"/>
          <w:szCs w:val="21"/>
        </w:rPr>
        <w:t xml:space="preserve">Monitoring indicator: Percentage of agreed milestones completed for DEC-STA-03</w:t>
      </w:r>
    </w:p>
    <w:p>
      <w:pPr>
        <w:pStyle w:val="Heading2"/>
      </w:pPr>
      <w:r>
        <w:t xml:space="preserve">DEC-STA-04 — HIGH</w:t>
      </w:r>
    </w:p>
    <w:p>
      <w:pPr>
        <w:spacing w:after="160" w:line="300"/>
      </w:pPr>
      <w:r>
        <w:rPr>
          <w:color w:val="263B4D"/>
          <w:sz w:val="21"/>
          <w:szCs w:val="21"/>
        </w:rPr>
        <w:t xml:space="preserve">Repeat reliability and measurement-invariance testing for health systems.</w:t>
      </w:r>
    </w:p>
    <w:p>
      <w:pPr>
        <w:spacing w:after="160" w:line="300"/>
      </w:pPr>
      <w:r>
        <w:rPr>
          <w:color w:val="263B4D"/>
          <w:sz w:val="21"/>
          <w:szCs w:val="21"/>
        </w:rPr>
        <w:t xml:space="preserve">Owner: Principal Investigator | Timeline: 3–12 months | Budget: Low to medium — validate through the formal planning cycle</w:t>
      </w:r>
    </w:p>
    <w:p>
      <w:pPr>
        <w:spacing w:after="160" w:line="300"/>
      </w:pPr>
      <w:r>
        <w:rPr>
          <w:color w:val="263B4D"/>
          <w:sz w:val="21"/>
          <w:szCs w:val="21"/>
        </w:rPr>
        <w:t xml:space="preserve">Monitoring indicator: Percentage of agreed milestones completed for DEC-STA-04</w:t>
      </w:r>
    </w:p>
    <w:p>
      <w:pPr>
        <w:pStyle w:val="Heading2"/>
      </w:pPr>
      <w:r>
        <w:t xml:space="preserve">DEC-STA-05 — MEDIUM</w:t>
      </w:r>
    </w:p>
    <w:p>
      <w:pPr>
        <w:spacing w:after="160" w:line="300"/>
      </w:pPr>
      <w:r>
        <w:rPr>
          <w:color w:val="263B4D"/>
          <w:sz w:val="21"/>
          <w:szCs w:val="21"/>
        </w:rPr>
        <w:t xml:space="preserve">Monitor model drift before operational use for health systems.</w:t>
      </w:r>
    </w:p>
    <w:p>
      <w:pPr>
        <w:spacing w:after="160" w:line="300"/>
      </w:pPr>
      <w:r>
        <w:rPr>
          <w:color w:val="263B4D"/>
          <w:sz w:val="21"/>
          <w:szCs w:val="21"/>
        </w:rPr>
        <w:t xml:space="preserve">Owner: Principal Investigator | Timeline: 6–18 months | Budget: Low to medium — validate through the formal planning cycle</w:t>
      </w:r>
    </w:p>
    <w:p>
      <w:pPr>
        <w:spacing w:after="160" w:line="300"/>
      </w:pPr>
      <w:r>
        <w:rPr>
          <w:color w:val="263B4D"/>
          <w:sz w:val="21"/>
          <w:szCs w:val="21"/>
        </w:rPr>
        <w:t xml:space="preserve">Monitoring indicator: Percentage of agreed milestones completed for DEC-STA-05</w:t>
      </w:r>
    </w:p>
    <w:p>
      <w:pPr>
        <w:pStyle w:val="Heading1"/>
        <w:pageBreakBefore/>
      </w:pPr>
      <w:r>
        <w:t xml:space="preserve">Methodology and Statistical Intelligence</w:t>
      </w:r>
    </w:p>
    <w:p>
      <w:pPr>
        <w:spacing w:after="120"/>
      </w:pPr>
      <w:r>
        <w:rPr>
          <w:b/>
          <w:bCs/>
        </w:rPr>
        <w:t xml:space="preserve">sampling design: </w:t>
      </w:r>
      <w:r>
        <w:t xml:space="preserve">Stratified multi-stage synthetic demonstration design</w:t>
      </w:r>
    </w:p>
    <w:p>
      <w:pPr>
        <w:spacing w:after="120"/>
      </w:pPr>
      <w:r>
        <w:rPr>
          <w:b/>
          <w:bCs/>
        </w:rPr>
        <w:t xml:space="preserve">sampling frame: </w:t>
      </w:r>
      <w:r>
        <w:t xml:space="preserve">Synthetic frame covering programme-relevant population groups in Tanzania</w:t>
      </w:r>
    </w:p>
    <w:p>
      <w:pPr>
        <w:spacing w:after="120"/>
      </w:pPr>
      <w:r>
        <w:rPr>
          <w:b/>
          <w:bCs/>
        </w:rPr>
        <w:t xml:space="preserve">stratification: </w:t>
      </w:r>
      <w:r>
        <w:t xml:space="preserve">["Region","Urban/rural","Sex","Age","Disability status"]</w:t>
      </w:r>
    </w:p>
    <w:p>
      <w:pPr>
        <w:spacing w:after="120"/>
      </w:pPr>
      <w:r>
        <w:rPr>
          <w:b/>
          <w:bCs/>
        </w:rPr>
        <w:t xml:space="preserve">sample size: </w:t>
      </w:r>
      <w:r>
        <w:t xml:space="preserve">4532</w:t>
      </w:r>
    </w:p>
    <w:p>
      <w:pPr>
        <w:spacing w:after="120"/>
      </w:pPr>
      <w:r>
        <w:rPr>
          <w:b/>
          <w:bCs/>
        </w:rPr>
        <w:t xml:space="preserve">weighting: </w:t>
      </w:r>
      <w:r>
        <w:t xml:space="preserve">Post-stratification weights normalized to the synthetic population frame</w:t>
      </w:r>
    </w:p>
    <w:p>
      <w:pPr>
        <w:spacing w:after="120"/>
      </w:pPr>
      <w:r>
        <w:rPr>
          <w:b/>
          <w:bCs/>
        </w:rPr>
        <w:t xml:space="preserve">confidence intervals: </w:t>
      </w:r>
      <w:r>
        <w:t xml:space="preserve">95% confidence intervals shown for eligible weighted estimates</w:t>
      </w:r>
    </w:p>
    <w:p>
      <w:pPr>
        <w:spacing w:after="120"/>
      </w:pPr>
      <w:r>
        <w:rPr>
          <w:b/>
          <w:bCs/>
        </w:rPr>
        <w:t xml:space="preserve">response rate: </w:t>
      </w:r>
      <w:r>
        <w:t xml:space="preserve">90</w:t>
      </w:r>
    </w:p>
    <w:p>
      <w:pPr>
        <w:spacing w:after="120"/>
      </w:pPr>
      <w:r>
        <w:rPr>
          <w:b/>
          <w:bCs/>
        </w:rPr>
        <w:t xml:space="preserve">reliability: </w:t>
      </w:r>
      <w:r>
        <w:t xml:space="preserve">{"cronbach_alpha":0.86,"status":"acceptable"}</w:t>
      </w:r>
    </w:p>
    <w:p>
      <w:pPr>
        <w:spacing w:after="120"/>
      </w:pPr>
      <w:r>
        <w:rPr>
          <w:b/>
          <w:bCs/>
        </w:rPr>
        <w:t xml:space="preserve">validity: </w:t>
      </w:r>
      <w:r>
        <w:t xml:space="preserve">{"content":"expert-mapped synthetic instrument","construct":"factor structure reviewed for demonstration"}</w:t>
      </w:r>
    </w:p>
    <w:p>
      <w:pPr>
        <w:spacing w:after="120"/>
      </w:pPr>
      <w:r>
        <w:rPr>
          <w:b/>
          <w:bCs/>
        </w:rPr>
        <w:t xml:space="preserve">regression: </w:t>
      </w:r>
      <w:r>
        <w:t xml:space="preserve">Multivariable regression included where outcome and assumptions are suitable</w:t>
      </w:r>
    </w:p>
    <w:p>
      <w:pPr>
        <w:spacing w:after="120"/>
      </w:pPr>
      <w:r>
        <w:rPr>
          <w:b/>
          <w:bCs/>
        </w:rPr>
        <w:t xml:space="preserve">trend analysis: </w:t>
      </w:r>
      <w:r>
        <w:t xml:space="preserve">Three-period synthetic trend series</w:t>
      </w:r>
    </w:p>
    <w:p>
      <w:pPr>
        <w:spacing w:after="120"/>
      </w:pPr>
      <w:r>
        <w:rPr>
          <w:b/>
          <w:bCs/>
        </w:rPr>
        <w:t xml:space="preserve">cross tabulation: </w:t>
      </w:r>
      <w:r>
        <w:t xml:space="preserve">["Sex × location","Age × service access","Disability × satisfaction"]</w:t>
      </w:r>
    </w:p>
    <w:p>
      <w:pPr>
        <w:spacing w:after="120"/>
      </w:pPr>
      <w:r>
        <w:rPr>
          <w:b/>
          <w:bCs/>
        </w:rPr>
        <w:t xml:space="preserve">segmentation: </w:t>
      </w:r>
      <w:r>
        <w:t xml:space="preserve">Five evidence-led respondent segments</w:t>
      </w:r>
    </w:p>
    <w:p>
      <w:pPr>
        <w:spacing w:after="120"/>
      </w:pPr>
      <w:r>
        <w:rPr>
          <w:b/>
          <w:bCs/>
        </w:rPr>
        <w:t xml:space="preserve">missing data analysis: </w:t>
      </w:r>
      <w:r>
        <w:t xml:space="preserve">{"item_nonresponse_percent":2.4,"treatment":"multiple imputation for eligible analytical variables; complete-case sensitivity check"}</w:t>
      </w:r>
    </w:p>
    <w:p>
      <w:pPr>
        <w:spacing w:after="120"/>
      </w:pPr>
      <w:r>
        <w:rPr>
          <w:b/>
          <w:bCs/>
        </w:rPr>
        <w:t xml:space="preserve">outlier detection: </w:t>
      </w:r>
      <w:r>
        <w:t xml:space="preserve">IQR, leverage and influence diagnostics</w:t>
      </w:r>
    </w:p>
    <w:p>
      <w:pPr>
        <w:spacing w:after="120"/>
      </w:pPr>
      <w:r>
        <w:rPr>
          <w:b/>
          <w:bCs/>
        </w:rPr>
        <w:t xml:space="preserve">design effect: </w:t>
      </w:r>
      <w:r>
        <w:t xml:space="preserve">1.4</w:t>
      </w:r>
    </w:p>
    <w:p>
      <w:pPr>
        <w:spacing w:after="120"/>
      </w:pPr>
      <w:r>
        <w:rPr>
          <w:b/>
          <w:bCs/>
        </w:rPr>
        <w:t xml:space="preserve">data quality assessment: </w:t>
      </w:r>
      <w:r>
        <w:t xml:space="preserve">Passed synthetic consistency, range, duplicate and contradiction checks</w:t>
      </w:r>
    </w:p>
    <w:p>
      <w:pPr>
        <w:spacing w:after="120"/>
      </w:pPr>
      <w:r>
        <w:rPr>
          <w:b/>
          <w:bCs/>
        </w:rPr>
        <w:t xml:space="preserve">reproducibility notes: </w:t>
      </w:r>
      <w:r>
        <w:t xml:space="preserve">Deterministic generator, documented transformations and export manifest</w:t>
      </w:r>
    </w:p>
    <w:p>
      <w:pPr>
        <w:spacing w:after="120"/>
      </w:pPr>
      <w:r>
        <w:rPr>
          <w:b/>
          <w:bCs/>
        </w:rPr>
        <w:t xml:space="preserve">methodological limitations: </w:t>
      </w:r>
      <w:r>
        <w:t xml:space="preserve">["Synthetic data cannot support population inference","No institutional endorsement is implied","Cost estimates require external validation"]</w:t>
      </w:r>
    </w:p>
    <w:p>
      <w:pPr>
        <w:pStyle w:val="Heading1"/>
        <w:pageBreakBefore/>
      </w:pPr>
      <w:r>
        <w:t xml:space="preserve">International Standards Applicability</w:t>
      </w:r>
    </w:p>
    <w:p>
      <w:pPr>
        <w:pStyle w:val="Heading2"/>
      </w:pPr>
      <w:r>
        <w:t xml:space="preserve">Data Protection and Privacy Controls — APPLICABLE</w:t>
      </w:r>
    </w:p>
    <w:p>
      <w:pPr>
        <w:spacing w:after="160" w:line="300"/>
      </w:pPr>
      <w:r>
        <w:rPr>
          <w:color w:val="263B4D"/>
          <w:sz w:val="21"/>
          <w:szCs w:val="21"/>
        </w:rPr>
        <w:t xml:space="preserve">The publication uses governed response, evidence and export data.</w:t>
      </w:r>
    </w:p>
    <w:p>
      <w:pPr>
        <w:spacing w:after="160" w:line="300"/>
      </w:pPr>
      <w:r>
        <w:rPr>
          <w:color w:val="263B4D"/>
          <w:sz w:val="21"/>
          <w:szCs w:val="21"/>
        </w:rPr>
        <w:t xml:space="preserve">Criteria: Purpose limitation, Data minimisation, Access control, Retention, Disclosure control</w:t>
      </w:r>
    </w:p>
    <w:p>
      <w:pPr>
        <w:spacing w:after="160" w:line="300"/>
      </w:pPr>
      <w:r>
        <w:rPr>
          <w:color w:val="263B4D"/>
          <w:sz w:val="21"/>
          <w:szCs w:val="21"/>
        </w:rPr>
        <w:t xml:space="preserve">Limitation: Synthetic demonstration; no institutional endorsement.</w:t>
      </w:r>
    </w:p>
    <w:p>
      <w:pPr>
        <w:pStyle w:val="Heading2"/>
      </w:pPr>
      <w:r>
        <w:t xml:space="preserve">Reproducibility and Microdata Governance — APPLICABLE</w:t>
      </w:r>
    </w:p>
    <w:p>
      <w:pPr>
        <w:spacing w:after="160" w:line="300"/>
      </w:pPr>
      <w:r>
        <w:rPr>
          <w:color w:val="263B4D"/>
          <w:sz w:val="21"/>
          <w:szCs w:val="21"/>
        </w:rPr>
        <w:t xml:space="preserve">The publication includes versioned data, methods, disclosure controls and lineage.</w:t>
      </w:r>
    </w:p>
    <w:p>
      <w:pPr>
        <w:spacing w:after="160" w:line="300"/>
      </w:pPr>
      <w:r>
        <w:rPr>
          <w:color w:val="263B4D"/>
          <w:sz w:val="21"/>
          <w:szCs w:val="21"/>
        </w:rPr>
        <w:t xml:space="preserve">Criteria: Dataset version, Instrument version, Analysis plan, Weights, Software, Checksums, Disclosure control</w:t>
      </w:r>
    </w:p>
    <w:p>
      <w:pPr>
        <w:spacing w:after="160" w:line="300"/>
      </w:pPr>
      <w:r>
        <w:rPr>
          <w:color w:val="263B4D"/>
          <w:sz w:val="21"/>
          <w:szCs w:val="21"/>
        </w:rPr>
        <w:t xml:space="preserve">Limitation: Synthetic demonstration; no institutional endorsement.</w:t>
      </w:r>
    </w:p>
    <w:p>
      <w:pPr>
        <w:pStyle w:val="Heading2"/>
      </w:pPr>
      <w:r>
        <w:t xml:space="preserve">Research Ethics — APPLICABLE</w:t>
      </w:r>
    </w:p>
    <w:p>
      <w:pPr>
        <w:spacing w:after="160" w:line="300"/>
      </w:pPr>
      <w:r>
        <w:rPr>
          <w:color w:val="263B4D"/>
          <w:sz w:val="21"/>
          <w:szCs w:val="21"/>
        </w:rPr>
        <w:t xml:space="preserve">Evidence collection and publication require consent, minimisation and protection of participants.</w:t>
      </w:r>
    </w:p>
    <w:p>
      <w:pPr>
        <w:spacing w:after="160" w:line="300"/>
      </w:pPr>
      <w:r>
        <w:rPr>
          <w:color w:val="263B4D"/>
          <w:sz w:val="21"/>
          <w:szCs w:val="21"/>
        </w:rPr>
        <w:t xml:space="preserve">Criteria: Consent, Vulnerability, Withdrawal, Harm assessment, Conflict of interest</w:t>
      </w:r>
    </w:p>
    <w:p>
      <w:pPr>
        <w:spacing w:after="160" w:line="300"/>
      </w:pPr>
      <w:r>
        <w:rPr>
          <w:color w:val="263B4D"/>
          <w:sz w:val="21"/>
          <w:szCs w:val="21"/>
        </w:rPr>
        <w:t xml:space="preserve">Limitation: Synthetic demonstration; no institutional endorsement.</w:t>
      </w:r>
    </w:p>
    <w:p>
      <w:pPr>
        <w:pStyle w:val="Heading1"/>
        <w:pageBreakBefore/>
      </w:pPr>
      <w:r>
        <w:t xml:space="preserve">Evidence Register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shd w:fill="DCEFE5" w:val="clear"/>
          </w:tcPr>
          <w:p>
            <w:r>
              <w:rPr>
                <w:b/>
                <w:bCs/>
                <w:color w:val="102A43"/>
                <w:sz w:val="20"/>
                <w:szCs w:val="20"/>
              </w:rPr>
              <w:t xml:space="preserve">Evidence ID</w:t>
            </w:r>
          </w:p>
        </w:tc>
        <w:tc>
          <w:tcPr>
            <w:tcW w:type="pct" w:w="50%"/>
            <w:shd w:fill="DCEFE5" w:val="clear"/>
          </w:tcPr>
          <w:p>
            <w:r>
              <w:rPr>
                <w:b/>
                <w:bCs/>
                <w:color w:val="102A43"/>
                <w:sz w:val="20"/>
                <w:szCs w:val="20"/>
              </w:rPr>
              <w:t xml:space="preserve">Source / confidence</w:t>
            </w:r>
          </w:p>
        </w:tc>
      </w:tr>
      <w:tr>
        <w:tc>
          <w:tcPr>
            <w:tcW w:type="pct" w:w="50%"/>
            <w:shd w:fill="FFFFFF" w:val="clear"/>
          </w:tcPr>
          <w:p>
            <w:r>
              <w:rPr>
                <w:b w:val="false"/>
                <w:bCs w:val="false"/>
                <w:color w:val="102A43"/>
                <w:sz w:val="20"/>
                <w:szCs w:val="20"/>
              </w:rPr>
              <w:t xml:space="preserve">EVI-STA-001</w:t>
            </w:r>
          </w:p>
        </w:tc>
        <w:tc>
          <w:tcPr>
            <w:tcW w:type="pct" w:w="50%"/>
            <w:shd w:fill="FFFFFF" w:val="clear"/>
          </w:tcPr>
          <w:p>
            <w:r>
              <w:rPr>
                <w:b w:val="false"/>
                <w:bCs w:val="false"/>
                <w:color w:val="102A43"/>
                <w:sz w:val="20"/>
                <w:szCs w:val="20"/>
              </w:rPr>
              <w:t xml:space="preserve">SYN-STAT-0001 | 93%</w:t>
            </w:r>
          </w:p>
        </w:tc>
      </w:tr>
      <w:tr>
        <w:tc>
          <w:tcPr>
            <w:tcW w:type="pct" w:w="50%"/>
            <w:shd w:fill="FFFFFF" w:val="clear"/>
          </w:tcPr>
          <w:p>
            <w:r>
              <w:rPr>
                <w:b w:val="false"/>
                <w:bCs w:val="false"/>
                <w:color w:val="102A43"/>
                <w:sz w:val="20"/>
                <w:szCs w:val="20"/>
              </w:rPr>
              <w:t xml:space="preserve">EVI-STA-002</w:t>
            </w:r>
          </w:p>
        </w:tc>
        <w:tc>
          <w:tcPr>
            <w:tcW w:type="pct" w:w="50%"/>
            <w:shd w:fill="FFFFFF" w:val="clear"/>
          </w:tcPr>
          <w:p>
            <w:r>
              <w:rPr>
                <w:b w:val="false"/>
                <w:bCs w:val="false"/>
                <w:color w:val="102A43"/>
                <w:sz w:val="20"/>
                <w:szCs w:val="20"/>
              </w:rPr>
              <w:t xml:space="preserve">SYN-STAT-0002 | 94%</w:t>
            </w:r>
          </w:p>
        </w:tc>
      </w:tr>
      <w:tr>
        <w:tc>
          <w:tcPr>
            <w:tcW w:type="pct" w:w="50%"/>
            <w:shd w:fill="FFFFFF" w:val="clear"/>
          </w:tcPr>
          <w:p>
            <w:r>
              <w:rPr>
                <w:b w:val="false"/>
                <w:bCs w:val="false"/>
                <w:color w:val="102A43"/>
                <w:sz w:val="20"/>
                <w:szCs w:val="20"/>
              </w:rPr>
              <w:t xml:space="preserve">EVI-STA-003</w:t>
            </w:r>
          </w:p>
        </w:tc>
        <w:tc>
          <w:tcPr>
            <w:tcW w:type="pct" w:w="50%"/>
            <w:shd w:fill="FFFFFF" w:val="clear"/>
          </w:tcPr>
          <w:p>
            <w:r>
              <w:rPr>
                <w:b w:val="false"/>
                <w:bCs w:val="false"/>
                <w:color w:val="102A43"/>
                <w:sz w:val="20"/>
                <w:szCs w:val="20"/>
              </w:rPr>
              <w:t xml:space="preserve">SYN-STAT-0003 | 95%</w:t>
            </w:r>
          </w:p>
        </w:tc>
      </w:tr>
      <w:tr>
        <w:tc>
          <w:tcPr>
            <w:tcW w:type="pct" w:w="50%"/>
            <w:shd w:fill="FFFFFF" w:val="clear"/>
          </w:tcPr>
          <w:p>
            <w:r>
              <w:rPr>
                <w:b w:val="false"/>
                <w:bCs w:val="false"/>
                <w:color w:val="102A43"/>
                <w:sz w:val="20"/>
                <w:szCs w:val="20"/>
              </w:rPr>
              <w:t xml:space="preserve">EVI-STA-004</w:t>
            </w:r>
          </w:p>
        </w:tc>
        <w:tc>
          <w:tcPr>
            <w:tcW w:type="pct" w:w="50%"/>
            <w:shd w:fill="FFFFFF" w:val="clear"/>
          </w:tcPr>
          <w:p>
            <w:r>
              <w:rPr>
                <w:b w:val="false"/>
                <w:bCs w:val="false"/>
                <w:color w:val="102A43"/>
                <w:sz w:val="20"/>
                <w:szCs w:val="20"/>
              </w:rPr>
              <w:t xml:space="preserve">SYN-STAT-0004 | 96%</w:t>
            </w:r>
          </w:p>
        </w:tc>
      </w:tr>
      <w:tr>
        <w:tc>
          <w:tcPr>
            <w:tcW w:type="pct" w:w="50%"/>
            <w:shd w:fill="FFFFFF" w:val="clear"/>
          </w:tcPr>
          <w:p>
            <w:r>
              <w:rPr>
                <w:b w:val="false"/>
                <w:bCs w:val="false"/>
                <w:color w:val="102A43"/>
                <w:sz w:val="20"/>
                <w:szCs w:val="20"/>
              </w:rPr>
              <w:t xml:space="preserve">EVI-STA-005</w:t>
            </w:r>
          </w:p>
        </w:tc>
        <w:tc>
          <w:tcPr>
            <w:tcW w:type="pct" w:w="50%"/>
            <w:shd w:fill="FFFFFF" w:val="clear"/>
          </w:tcPr>
          <w:p>
            <w:r>
              <w:rPr>
                <w:b w:val="false"/>
                <w:bCs w:val="false"/>
                <w:color w:val="102A43"/>
                <w:sz w:val="20"/>
                <w:szCs w:val="20"/>
              </w:rPr>
              <w:t xml:space="preserve">SYN-STAT-0005 | 97%</w:t>
            </w:r>
          </w:p>
        </w:tc>
      </w:tr>
      <w:tr>
        <w:tc>
          <w:tcPr>
            <w:tcW w:type="pct" w:w="50%"/>
            <w:shd w:fill="FFFFFF" w:val="clear"/>
          </w:tcPr>
          <w:p>
            <w:r>
              <w:rPr>
                <w:b w:val="false"/>
                <w:bCs w:val="false"/>
                <w:color w:val="102A43"/>
                <w:sz w:val="20"/>
                <w:szCs w:val="20"/>
              </w:rPr>
              <w:t xml:space="preserve">EVI-STA-006</w:t>
            </w:r>
          </w:p>
        </w:tc>
        <w:tc>
          <w:tcPr>
            <w:tcW w:type="pct" w:w="50%"/>
            <w:shd w:fill="FFFFFF" w:val="clear"/>
          </w:tcPr>
          <w:p>
            <w:r>
              <w:rPr>
                <w:b w:val="false"/>
                <w:bCs w:val="false"/>
                <w:color w:val="102A43"/>
                <w:sz w:val="20"/>
                <w:szCs w:val="20"/>
              </w:rPr>
              <w:t xml:space="preserve">SYN-STAT-0006 | 98%</w:t>
            </w:r>
          </w:p>
        </w:tc>
      </w:tr>
      <w:tr>
        <w:tc>
          <w:tcPr>
            <w:tcW w:type="pct" w:w="50%"/>
            <w:shd w:fill="FFFFFF" w:val="clear"/>
          </w:tcPr>
          <w:p>
            <w:r>
              <w:rPr>
                <w:b w:val="false"/>
                <w:bCs w:val="false"/>
                <w:color w:val="102A43"/>
                <w:sz w:val="20"/>
                <w:szCs w:val="20"/>
              </w:rPr>
              <w:t xml:space="preserve">EVI-STA-007</w:t>
            </w:r>
          </w:p>
        </w:tc>
        <w:tc>
          <w:tcPr>
            <w:tcW w:type="pct" w:w="50%"/>
            <w:shd w:fill="FFFFFF" w:val="clear"/>
          </w:tcPr>
          <w:p>
            <w:r>
              <w:rPr>
                <w:b w:val="false"/>
                <w:bCs w:val="false"/>
                <w:color w:val="102A43"/>
                <w:sz w:val="20"/>
                <w:szCs w:val="20"/>
              </w:rPr>
              <w:t xml:space="preserve">SYN-STAT-0007 | 88%</w:t>
            </w:r>
          </w:p>
        </w:tc>
      </w:tr>
      <w:tr>
        <w:tc>
          <w:tcPr>
            <w:tcW w:type="pct" w:w="50%"/>
            <w:shd w:fill="FFFFFF" w:val="clear"/>
          </w:tcPr>
          <w:p>
            <w:r>
              <w:rPr>
                <w:b w:val="false"/>
                <w:bCs w:val="false"/>
                <w:color w:val="102A43"/>
                <w:sz w:val="20"/>
                <w:szCs w:val="20"/>
              </w:rPr>
              <w:t xml:space="preserve">EVI-STA-008</w:t>
            </w:r>
          </w:p>
        </w:tc>
        <w:tc>
          <w:tcPr>
            <w:tcW w:type="pct" w:w="50%"/>
            <w:shd w:fill="FFFFFF" w:val="clear"/>
          </w:tcPr>
          <w:p>
            <w:r>
              <w:rPr>
                <w:b w:val="false"/>
                <w:bCs w:val="false"/>
                <w:color w:val="102A43"/>
                <w:sz w:val="20"/>
                <w:szCs w:val="20"/>
              </w:rPr>
              <w:t xml:space="preserve">SYN-STAT-0008 | 89%</w:t>
            </w:r>
          </w:p>
        </w:tc>
      </w:tr>
      <w:tr>
        <w:tc>
          <w:tcPr>
            <w:tcW w:type="pct" w:w="50%"/>
            <w:shd w:fill="FFFFFF" w:val="clear"/>
          </w:tcPr>
          <w:p>
            <w:r>
              <w:rPr>
                <w:b w:val="false"/>
                <w:bCs w:val="false"/>
                <w:color w:val="102A43"/>
                <w:sz w:val="20"/>
                <w:szCs w:val="20"/>
              </w:rPr>
              <w:t xml:space="preserve">EVI-STA-009</w:t>
            </w:r>
          </w:p>
        </w:tc>
        <w:tc>
          <w:tcPr>
            <w:tcW w:type="pct" w:w="50%"/>
            <w:shd w:fill="FFFFFF" w:val="clear"/>
          </w:tcPr>
          <w:p>
            <w:r>
              <w:rPr>
                <w:b w:val="false"/>
                <w:bCs w:val="false"/>
                <w:color w:val="102A43"/>
                <w:sz w:val="20"/>
                <w:szCs w:val="20"/>
              </w:rPr>
              <w:t xml:space="preserve">SYN-STAT-0009 | 90%</w:t>
            </w:r>
          </w:p>
        </w:tc>
      </w:tr>
      <w:tr>
        <w:tc>
          <w:tcPr>
            <w:tcW w:type="pct" w:w="50%"/>
            <w:shd w:fill="FFFFFF" w:val="clear"/>
          </w:tcPr>
          <w:p>
            <w:r>
              <w:rPr>
                <w:b w:val="false"/>
                <w:bCs w:val="false"/>
                <w:color w:val="102A43"/>
                <w:sz w:val="20"/>
                <w:szCs w:val="20"/>
              </w:rPr>
              <w:t xml:space="preserve">EVI-STA-010</w:t>
            </w:r>
          </w:p>
        </w:tc>
        <w:tc>
          <w:tcPr>
            <w:tcW w:type="pct" w:w="50%"/>
            <w:shd w:fill="FFFFFF" w:val="clear"/>
          </w:tcPr>
          <w:p>
            <w:r>
              <w:rPr>
                <w:b w:val="false"/>
                <w:bCs w:val="false"/>
                <w:color w:val="102A43"/>
                <w:sz w:val="20"/>
                <w:szCs w:val="20"/>
              </w:rPr>
              <w:t xml:space="preserve">SYN-STAT-0010 | 91%</w:t>
            </w:r>
          </w:p>
        </w:tc>
      </w:tr>
    </w:tbl>
    <w:p>
      <w:pPr>
        <w:pStyle w:val="Heading1"/>
        <w:pageBreakBefore/>
      </w:pPr>
      <w:r>
        <w:t xml:space="preserve">Limitations and Responsible Use</w:t>
      </w:r>
    </w:p>
    <w:p>
      <w:pPr>
        <w:pStyle w:val="ListParagraph"/>
        <w:numPr>
          <w:ilvl w:val="0"/>
          <w:numId w:val="1"/>
        </w:numPr>
        <w:spacing w:after="100"/>
      </w:pPr>
      <w:r>
        <w:t xml:space="preserve">All content is synthetic and must not be interpreted as official statistics</w:t>
      </w:r>
    </w:p>
    <w:p>
      <w:pPr>
        <w:pStyle w:val="ListParagraph"/>
        <w:numPr>
          <w:ilvl w:val="0"/>
          <w:numId w:val="1"/>
        </w:numPr>
        <w:spacing w:after="100"/>
      </w:pPr>
      <w:r>
        <w:t xml:space="preserve">Geographic references are illustrative</w:t>
      </w:r>
    </w:p>
    <w:p>
      <w:pPr>
        <w:pStyle w:val="ListParagraph"/>
        <w:numPr>
          <w:ilvl w:val="0"/>
          <w:numId w:val="1"/>
        </w:numPr>
        <w:spacing w:after="100"/>
      </w:pPr>
      <w:r>
        <w:t xml:space="preserve">Budget implications are directional and require formal costing</w:t>
      </w:r>
    </w:p>
    <w:p>
      <w:pPr>
        <w:pStyle w:val="ListParagraph"/>
        <w:numPr>
          <w:ilvl w:val="0"/>
          <w:numId w:val="1"/>
        </w:numPr>
        <w:spacing w:after="100"/>
      </w:pPr>
      <w:r>
        <w:t xml:space="preserve">Causal claims are not made without an appropriate design</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sz w:val="16"/>
        <w:szCs w:val="16"/>
      </w:rPr>
      <w:t xml:space="preserve">VIA-FLAGSHIP-STATISTICAL-INTELLIGENCE | </w:t>
    </w:r>
    <w:r>
      <w:rPr>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b/>
        <w:bCs/>
        <w:color w:val="07883F"/>
        <w:sz w:val="16"/>
        <w:szCs w:val="16"/>
      </w:rPr>
      <w:t xml:space="preserve">VOICEINSIGHTS AFRICA | GOVERNED FLAGSHIP PUBLICATION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color w:val="263B4D"/>
        <w:sz w:val="21"/>
        <w:szCs w:val="21"/>
      </w:rPr>
    </w:rPrDefault>
    <w:pPrDefault>
      <w:pPr>
        <w:spacing w:after="120" w:line="28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240"/>
      <w:outlineLvl w:val="0"/>
    </w:pPr>
    <w:rPr>
      <w:rFonts w:ascii="Aptos Display" w:cs="Aptos Display" w:eastAsia="Aptos Display" w:hAnsi="Aptos Display"/>
      <w:b/>
      <w:bCs/>
      <w:color w:val="082B55"/>
      <w:sz w:val="36"/>
      <w:szCs w:val="36"/>
    </w:rPr>
  </w:style>
  <w:style w:type="paragraph" w:styleId="Heading2">
    <w:name w:val="Heading 2"/>
    <w:basedOn w:val="Normal"/>
    <w:next w:val="Normal"/>
    <w:qFormat/>
    <w:pPr>
      <w:spacing w:after="100" w:before="180"/>
      <w:outlineLvl w:val="1"/>
    </w:pPr>
    <w:rPr>
      <w:rFonts w:ascii="Aptos" w:cs="Aptos" w:eastAsia="Aptos" w:hAnsi="Aptos"/>
      <w:b/>
      <w:bCs/>
      <w:color w:val="07883F"/>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24b12379a205cc7712dc0e06240b123dddeea71e.jp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Statistical Intelligence Report</dc:title>
  <dc:creator>VoiceInsights Africa</dc:creator>
  <dc:description>Synthetic Demonstration Publication</dc:description>
  <cp:lastModifiedBy>Un-named</cp:lastModifiedBy>
  <cp:revision>1</cp:revision>
  <dcterms:created xsi:type="dcterms:W3CDTF">2026-07-12T22:51:25.873Z</dcterms:created>
  <dcterms:modified xsi:type="dcterms:W3CDTF">2026-07-12T22:51:25.873Z</dcterms:modified>
</cp:coreProperties>
</file>

<file path=docProps/custom.xml><?xml version="1.0" encoding="utf-8"?>
<Properties xmlns="http://schemas.openxmlformats.org/officeDocument/2006/custom-properties" xmlns:vt="http://schemas.openxmlformats.org/officeDocument/2006/docPropsVTypes"/>
</file>