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Annual Impact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Progress on youth economic inclusion performance in Zambia is real, but it is not evenly shared. This publication traces where the gains are holding, where the risk is concentrated, and what remains within reach. Findings are linked to synthetic source records, recommendations carry named accountability fields, and all statistical claims are generated from one internally consistent dataset.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Decent employment outcomes</w:t>
      </w:r>
    </w:p>
    <w:p>
      <w:r>
        <w:t xml:space="preserve">What would it take to fix decent employment outcomes? Start with Lusaka Corridor, where the signal sits at 64% and rural women carry most of the shortfall. The honest answer is sustained attention, not a single intervention. Lusaka Corridor shows the sharpest divide, where rural women carry the largest share of the gap. Left unaddressed for a year, the imbalance is likely to erode equity, delivery confidence and the durability of results.</w:t>
      </w:r>
    </w:p>
    <w:p>
      <w:r>
        <w:t xml:space="preserve">Evidence: EVI-ANN-001, EVI-ANN-004 • Confidence 90.5%</w:t>
      </w:r>
    </w:p>
    <w:p>
      <w:pPr>
        <w:pStyle w:val="Heading2"/>
      </w:pPr>
      <w:r>
        <w:t>Enterprise survival</w:t>
      </w:r>
    </w:p>
    <w:p>
      <w:r>
        <w:t xml:space="preserve">Enterprise survival is not a marginal delivery issue. In Copperbelt, the governed evidence indicates a 65% performance signal, with young adults carrying the most consequential constraint. Left unaddressed, enterprise survival becomes a structural risk to youth economic inclusion delivery in Zambia, not a temporary dip. Copperbelt is furthest exposed, and young adults would carry the earliest and heaviest consequences of a further year's delay.</w:t>
      </w:r>
    </w:p>
    <w:p>
      <w:r>
        <w:t xml:space="preserve">Evidence: EVI-ANN-002, EVI-ANN-005 • Confidence 91.5%</w:t>
      </w:r>
    </w:p>
    <w:p>
      <w:pPr>
        <w:pStyle w:val="Heading2"/>
      </w:pPr>
      <w:r>
        <w:t>Young women participation</w:t>
      </w:r>
    </w:p>
    <w:p>
      <w:r>
        <w:t xml:space="preserve">Two things are true at once about young women participation. The national picture is improving, and Eastern Province — where persons with disabilities report a 66% signal — is not improving fast enough to close the gap. Youth economic inclusion performance in Zambia looks stable in aggregate but splits sharply once young women participation is disaggregated. Eastern Province anchors the low end, and persons with disabilities bear most of that shortfall — a pattern that risks compounding without intervention within the year.</w:t>
      </w:r>
    </w:p>
    <w:p>
      <w:r>
        <w:t xml:space="preserve">Evidence: EVI-ANN-003, EVI-ANN-006 • Confidence 92.5%</w:t>
      </w:r>
    </w:p>
    <w:p>
      <w:pPr>
        <w:pStyle w:val="Heading2"/>
      </w:pPr>
      <w:r>
        <w:t>Income resilience</w:t>
      </w:r>
    </w:p>
    <w:p>
      <w:r>
        <w:t xml:space="preserve">Frontline workers in Rural Enterprise Hubs are living the consequence of income resilience, not simply reporting it. Their 67% signal is the clearest evidence leadership has that current measures fall short. frontline workers in Rural Enterprise Hubs do not experience income resilience as an abstract metric. They experience it as the difference between youth economic inclusion delivery that works and delivery that does not, and a twelve-month delay would deepen that gap rather than hold it steady.</w:t>
      </w:r>
    </w:p>
    <w:p>
      <w:r>
        <w:t xml:space="preserve">Evidence: EVI-ANN-004, EVI-ANN-007 • Confidence 93.5%</w:t>
      </w:r>
    </w:p>
    <w:p>
      <w:pPr>
        <w:pStyle w:val="Heading2"/>
      </w:pPr>
      <w:r>
        <w:t>Systems-level contribution</w:t>
      </w:r>
    </w:p>
    <w:p>
      <w:r>
        <w:t xml:space="preserve">The strategic opportunity lies in the variation, not the average. At 68%, Lusaka Corridor's systems-level contribution signal shows where implementation can move quickly, while the experience of low-income households defines the safeguard that must accompany scale. The same gap that makes systems-level contribution a risk also makes it an opportunity: Lusaka Corridor could close most of the distance to the rest of Zambia within a year if action starts now, with the clearest gains reaching low-income households first.</w:t>
      </w:r>
    </w:p>
    <w:p>
      <w:r>
        <w:t xml:space="preserve">Evidence: EVI-ANN-005, EVI-ANN-008 • Confidence 94.5%</w:t>
      </w:r>
    </w:p>
    <w:p>
      <w:pPr>
        <w:pStyle w:val="Heading1"/>
      </w:pPr>
      <w:r>
        <w:t>Regional Intelligence</w:t>
      </w:r>
    </w:p>
    <w:p>
      <w:r>
        <w:t xml:space="preserve">Lusaka Corridor: 80% • 1495 responses • Risk STABLE</w:t>
      </w:r>
    </w:p>
    <w:p>
      <w:r>
        <w:t xml:space="preserve">Copperbelt: 81% • 1301 responses • Risk STABLE</w:t>
      </w:r>
    </w:p>
    <w:p>
      <w:r>
        <w:t xml:space="preserve">Eastern Province: 82% • 1108 responses • Risk STABLE</w:t>
      </w:r>
    </w:p>
    <w:p>
      <w:r>
        <w:t xml:space="preserve">Rural Enterprise Hubs: 83% • 915 responses • Risk STABLE</w:t>
      </w:r>
    </w:p>
    <w:p>
      <w:pPr>
        <w:pStyle w:val="Heading1"/>
      </w:pPr>
      <w:r>
        <w:t>Indicators and Target Gaps</w:t>
      </w:r>
    </w:p>
    <w:p>
      <w:r>
        <w:t xml:space="preserve">IND-01 Decent employment conversion: 70% vs 77% — WATCH</w:t>
      </w:r>
    </w:p>
    <w:p>
      <w:r>
        <w:t xml:space="preserve">IND-02 Enterprise twelve-month survival: 71% vs 78% — WATCH</w:t>
      </w:r>
    </w:p>
    <w:p>
      <w:r>
        <w:t xml:space="preserve">IND-03 Young women outcome parity: 72% vs 79% — WATCH</w:t>
      </w:r>
    </w:p>
    <w:p>
      <w:r>
        <w:t xml:space="preserve">IND-04 Income resilience score: 73% vs 80% — WATCH</w:t>
      </w:r>
    </w:p>
    <w:p>
      <w:pPr>
        <w:pStyle w:val="Heading1"/>
      </w:pPr>
      <w:r>
        <w:t>Respondent Voice</w:t>
      </w:r>
    </w:p>
    <w:p>
      <w:r>
        <w:t xml:space="preserve">Lusaka Corridor: “Rural women in Lusaka Corridor frame it simply: when decent employment outcomes breaks down, everything else does too.”</w:t>
      </w:r>
    </w:p>
    <w:p>
      <w:r>
        <w:t xml:space="preserve">Copperbelt: “In Copperbelt, enterprise survival shapes whether young adults can turn services into lasting outcomes.”</w:t>
      </w:r>
    </w:p>
    <w:p>
      <w:r>
        <w:t xml:space="preserve">Eastern Province: “Persons with disabilities in Eastern Province put it plainly: young women participation is what decides whether progress holds or slips back.”</w:t>
      </w:r>
    </w:p>
    <w:p>
      <w:r>
        <w:t xml:space="preserve">Rural Enterprise Hubs: “Why does Rural Enterprise Hubs lag behind? Ask frontline workers, and the answer comes back to income resilience.”</w:t>
      </w:r>
    </w:p>
    <w:p>
      <w:r>
        <w:t xml:space="preserve">Lusaka Corridor: “Elsewhere, systems-level contribution might be a footnote. For low-income households in Lusaka Corridor, it is the whole story.”</w:t>
      </w:r>
    </w:p>
    <w:p>
      <w:r>
        <w:t xml:space="preserve">Copperbelt: “Service managers in Copperbelt frame it simply: when decent employment outcomes breaks down, everything else does too.”</w:t>
      </w:r>
    </w:p>
    <w:p>
      <w:r>
        <w:t xml:space="preserve">Eastern Province: “In Eastern Province, enterprise survival shapes whether community leaders can turn services into lasting outcomes.”</w:t>
      </w:r>
    </w:p>
    <w:p>
      <w:r>
        <w:t xml:space="preserve">Rural Enterprise Hubs: “Private-sector partners in Rural Enterprise Hubs put it plainly: young women participation is what decides whether progress holds or slips back.”</w:t>
      </w:r>
    </w:p>
    <w:p>
      <w:r>
        <w:t xml:space="preserve">Lusaka Corridor: “Why does Lusaka Corridor lag behind? Ask rural women, and the answer comes back to income resilience.”</w:t>
      </w:r>
    </w:p>
    <w:p>
      <w:r>
        <w:t xml:space="preserve">Copperbelt: “Elsewhere, systems-level contribution might be a footnote. For young adults in Copperbelt, it is the whole story.”</w:t>
      </w:r>
    </w:p>
    <w:p>
      <w:pPr>
        <w:pStyle w:val="Heading1"/>
      </w:pPr>
      <w:r>
        <w:t>Decision Intelligence</w:t>
      </w:r>
    </w:p>
    <w:p>
      <w:pPr>
        <w:pStyle w:val="Heading2"/>
      </w:pPr>
      <w:r>
        <w:t>DEC-ANN-01 CRITICAL</w:t>
      </w:r>
    </w:p>
    <w:p>
      <w:r>
        <w:t xml:space="preserve">Scale pathways with verified employment conversion.</w:t>
      </w:r>
    </w:p>
    <w:p>
      <w:r>
        <w:t xml:space="preserve">Owner: Country Director / Programme Executive • Timeline: 0–90 days • Budget: High — full business case and multi-year funding commitment required • Indicator: Share of the critical-tier delivery plan confirmed complete each quarter (DEC-ANN-01)</w:t>
      </w:r>
    </w:p>
    <w:p>
      <w:pPr>
        <w:pStyle w:val="Heading2"/>
      </w:pPr>
      <w:r>
        <w:t>DEC-ANN-02 CRITICAL</w:t>
      </w:r>
    </w:p>
    <w:p>
      <w:r>
        <w:t xml:space="preserve">Add twelve-month enterprise survival support.</w:t>
      </w:r>
    </w:p>
    <w:p>
      <w:r>
        <w:t xml:space="preserve">Owner: Country Director / Programme Executive • Timeline: 3–12 months • Budget: Medium — detailed costing and fiduciary review required • Indicator: Milestone completion rate tracked against the DEC-ANN-02 delivery plan</w:t>
      </w:r>
    </w:p>
    <w:p>
      <w:pPr>
        <w:pStyle w:val="Heading2"/>
      </w:pPr>
      <w:r>
        <w:t>DEC-ANN-03 HIGH</w:t>
      </w:r>
    </w:p>
    <w:p>
      <w:r>
        <w:t xml:space="preserve">Remove participation constraints facing young women.</w:t>
      </w:r>
    </w:p>
    <w:p>
      <w:r>
        <w:t xml:space="preserve">Owner: Country Director / Programme Executive • Timeline: 3–12 months • Budget: Low to medium — validate through the formal planning cycle • Indicator: Proportion of agreed implementation steps verified on schedule for DEC-ANN-03</w:t>
      </w:r>
    </w:p>
    <w:p>
      <w:pPr>
        <w:pStyle w:val="Heading2"/>
      </w:pPr>
      <w:r>
        <w:t>DEC-ANN-04 HIGH</w:t>
      </w:r>
    </w:p>
    <w:p>
      <w:r>
        <w:t xml:space="preserve">Integrate savings and shock-readiness coaching.</w:t>
      </w:r>
    </w:p>
    <w:p>
      <w:r>
        <w:t xml:space="preserve">Owner: Country Director / Programme Executive • Timeline: 3–12 months • Budget: Low — absorbable within existing allocations, subject to confirmation • Indicator: Quarterly-verified progress against the milestones agreed for this high-tier decision (DEC-ANN-04)</w:t>
      </w:r>
    </w:p>
    <w:p>
      <w:pPr>
        <w:pStyle w:val="Heading2"/>
      </w:pPr>
      <w:r>
        <w:t>DEC-ANN-05 MEDIUM</w:t>
      </w:r>
    </w:p>
    <w:p>
      <w:r>
        <w:t xml:space="preserve">Formalise employer and public-system partnerships.</w:t>
      </w:r>
    </w:p>
    <w:p>
      <w:r>
        <w:t xml:space="preserve">Owner: Country Director / Programme Executive • Timeline: 6–18 months • Budget: Low — deliverable inside the current operating budget with light validation • Indicator: Number of agreed milestones for DEC-ANN-05 confirmed complete at each quarterly review</w:t>
      </w:r>
    </w:p>
    <w:p>
      <w:pPr>
        <w:pStyle w:val="Heading1"/>
      </w:pPr>
      <w:r>
        <w:t>Methodology</w:t>
      </w:r>
    </w:p>
    <w:p>
      <w:r>
        <w:t xml:space="preserve">research objectives: ["Assess youth economic inclusion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Zambia</w:t>
      </w:r>
    </w:p>
    <w:p>
      <w:r>
        <w:t xml:space="preserve">sample size: 4819</w:t>
      </w:r>
    </w:p>
    <w:p>
      <w:r>
        <w:t xml:space="preserve">stratification: ["Region","Location type","Sex","Age","Disability"]</w:t>
      </w:r>
    </w:p>
    <w:p>
      <w:r>
        <w:t xml:space="preserve">weights: Normalized post-stratification weights</w:t>
      </w:r>
    </w:p>
    <w:p>
      <w:r>
        <w:t xml:space="preserve">confidence intervals: 95%</w:t>
      </w:r>
    </w:p>
    <w:p>
      <w:r>
        <w:t xml:space="preserve">design effect: 1.6</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DEC-ANN-01</w:t>
      </w:r>
    </w:p>
    <w:p>
      <w:r>
        <w:t xml:space="preserve">Scale pathways with verified employment conversion.</w:t>
      </w:r>
    </w:p>
    <w:p>
      <w:r>
        <w:t xml:space="preserve">Owner: Country Director / Programme Executive • Window: 0–90 days • Cost: High — full business case and multi-year funding commitment required • Indicator: Share of the critical-tier delivery plan confirmed complete each quarter (DEC-ANN-01)</w:t>
      </w:r>
    </w:p>
    <w:p>
      <w:pPr>
        <w:pStyle w:val="Heading2"/>
      </w:pPr>
      <w:r>
        <w:t>DEC-ANN-02</w:t>
      </w:r>
    </w:p>
    <w:p>
      <w:r>
        <w:t xml:space="preserve">Add twelve-month enterprise survival support.</w:t>
      </w:r>
    </w:p>
    <w:p>
      <w:r>
        <w:t xml:space="preserve">Owner: Country Director / Programme Executive • Window: 3–12 months • Cost: Medium — detailed costing and fiduciary review required • Indicator: Milestone completion rate tracked against the DEC-ANN-02 delivery plan</w:t>
      </w:r>
    </w:p>
    <w:p>
      <w:pPr>
        <w:pStyle w:val="Heading2"/>
      </w:pPr>
      <w:r>
        <w:t>DEC-ANN-03</w:t>
      </w:r>
    </w:p>
    <w:p>
      <w:r>
        <w:t xml:space="preserve">Remove participation constraints facing young women.</w:t>
      </w:r>
    </w:p>
    <w:p>
      <w:r>
        <w:t xml:space="preserve">Owner: Country Director / Programme Executive • Window: 3–12 months • Cost: Low to medium — validate through the formal planning cycle • Indicator: Proportion of agreed implementation steps verified on schedule for DEC-ANN-03</w:t>
      </w:r>
    </w:p>
    <w:p>
      <w:pPr>
        <w:pStyle w:val="Heading2"/>
      </w:pPr>
      <w:r>
        <w:t>DEC-ANN-04</w:t>
      </w:r>
    </w:p>
    <w:p>
      <w:r>
        <w:t xml:space="preserve">Integrate savings and shock-readiness coaching.</w:t>
      </w:r>
    </w:p>
    <w:p>
      <w:r>
        <w:t xml:space="preserve">Owner: Country Director / Programme Executive • Window: 3–12 months • Cost: Low — absorbable within existing allocations, subject to confirmation • Indicator: Quarterly-verified progress against the milestones agreed for this high-tier decision (DEC-ANN-04)</w:t>
      </w:r>
    </w:p>
    <w:p>
      <w:pPr>
        <w:pStyle w:val="Heading2"/>
      </w:pPr>
      <w:r>
        <w:t>DEC-ANN-05</w:t>
      </w:r>
    </w:p>
    <w:p>
      <w:r>
        <w:t xml:space="preserve">Formalise employer and public-system partnerships.</w:t>
      </w:r>
    </w:p>
    <w:p>
      <w:r>
        <w:t xml:space="preserve">Owner: Country Director / Programme Executive • Window: 6–18 months • Cost: Low — deliverable inside the current operating budget with light validation • Indicator: Number of agreed milestones for DEC-ANN-05 confirmed complete at each quarterly review</w:t>
      </w:r>
    </w:p>
    <w:p>
      <w:pPr>
        <w:pStyle w:val="Heading1"/>
      </w:pPr>
      <w:r>
        <w:t>Evidence Lineage &amp; Citation Registry</w:t>
      </w:r>
    </w:p>
    <w:p>
      <w:r>
        <w:t xml:space="preserve">EVI-ANN-001: [object Object] • APPROVED_SYNTHETIC_DEMONSTRATION • 89%</w:t>
      </w:r>
    </w:p>
    <w:p>
      <w:r>
        <w:t xml:space="preserve">EVI-ANN-002: [object Object] • APPROVED_SYNTHETIC_DEMONSTRATION • 90%</w:t>
      </w:r>
    </w:p>
    <w:p>
      <w:r>
        <w:t xml:space="preserve">EVI-ANN-003: [object Object] • APPROVED_SYNTHETIC_DEMONSTRATION • 91%</w:t>
      </w:r>
    </w:p>
    <w:p>
      <w:r>
        <w:t xml:space="preserve">EVI-ANN-004: [object Object] • APPROVED_SYNTHETIC_DEMONSTRATION • 92%</w:t>
      </w:r>
    </w:p>
    <w:p>
      <w:r>
        <w:t xml:space="preserve">EVI-ANN-005: [object Object] • APPROVED_SYNTHETIC_DEMONSTRATION • 93%</w:t>
      </w:r>
    </w:p>
    <w:p>
      <w:r>
        <w:t xml:space="preserve">EVI-ANN-006: [object Object] • APPROVED_SYNTHETIC_DEMONSTRATION • 94%</w:t>
      </w:r>
    </w:p>
    <w:p>
      <w:r>
        <w:t xml:space="preserve">EVI-ANN-007: [object Object] • APPROVED_SYNTHETIC_DEMONSTRATION • 95%</w:t>
      </w:r>
    </w:p>
    <w:p>
      <w:r>
        <w:t xml:space="preserve">EVI-ANN-008: [object Object] • APPROVED_SYNTHETIC_DEMONSTRATION • 96%</w:t>
      </w:r>
    </w:p>
    <w:p>
      <w:r>
        <w:t xml:space="preserve">EVI-ANN-009: [object Object] • APPROVED_SYNTHETIC_DEMONSTRATION • 97%</w:t>
      </w:r>
    </w:p>
    <w:p>
      <w:r>
        <w:t xml:space="preserve">EVI-ANN-010: [object Object] • APPROVED_SYNTHETIC_DEMONSTRATION • 98%</w:t>
      </w:r>
    </w:p>
    <w:p>
      <w:r>
        <w:t xml:space="preserve">CIT-EVI-ANN-001: VoiceInsights Africa. Annual Impact Report. synthetic-annual-impact-report-2026.1, EVI-ANN-001, Q1: How does decent employment outcomes affect youth economic inclusion outcomes in Lusaka Corridor?</w:t>
      </w:r>
    </w:p>
    <w:p>
      <w:r>
        <w:t xml:space="preserve">CIT-EVI-ANN-002: VoiceInsights Africa. Annual Impact Report. synthetic-annual-impact-report-2026.1, EVI-ANN-002, Q2: How does enterprise survival affect youth economic inclusion outcomes in Copperbelt?</w:t>
      </w:r>
    </w:p>
    <w:p>
      <w:r>
        <w:t xml:space="preserve">CIT-EVI-ANN-003: VoiceInsights Africa. Annual Impact Report. synthetic-annual-impact-report-2026.1, EVI-ANN-003, Q3: How does young women participation affect youth economic inclusion outcomes in Eastern Province?</w:t>
      </w:r>
    </w:p>
    <w:p>
      <w:r>
        <w:t xml:space="preserve">CIT-EVI-ANN-004: VoiceInsights Africa. Annual Impact Report. synthetic-annual-impact-report-2026.1, EVI-ANN-004, Q4: How does income resilience affect youth economic inclusion outcomes in Rural Enterprise Hubs?</w:t>
      </w:r>
    </w:p>
    <w:p>
      <w:r>
        <w:t xml:space="preserve">CIT-EVI-ANN-005: VoiceInsights Africa. Annual Impact Report. synthetic-annual-impact-report-2026.1, EVI-ANN-005, Q5: How does systems-level contribution affect youth economic inclusion outcomes in Lusaka Corridor?</w:t>
      </w:r>
    </w:p>
    <w:p>
      <w:r>
        <w:t xml:space="preserve">CIT-EVI-ANN-006: VoiceInsights Africa. Annual Impact Report. synthetic-annual-impact-report-2026.1, EVI-ANN-006, Q6: How does decent employment outcomes affect youth economic inclusion outcomes in Copperbelt?</w:t>
      </w:r>
    </w:p>
    <w:p>
      <w:r>
        <w:t xml:space="preserve">CIT-EVI-ANN-007: VoiceInsights Africa. Annual Impact Report. synthetic-annual-impact-report-2026.1, EVI-ANN-007, Q7: How does enterprise survival affect youth economic inclusion outcomes in Eastern Province?</w:t>
      </w:r>
    </w:p>
    <w:p>
      <w:r>
        <w:t xml:space="preserve">CIT-EVI-ANN-008: VoiceInsights Africa. Annual Impact Report. synthetic-annual-impact-report-2026.1, EVI-ANN-008, Q8: How does young women participation affect youth economic inclusion outcomes in Rural Enterprise Hubs?</w:t>
      </w:r>
    </w:p>
    <w:p>
      <w:r>
        <w:t xml:space="preserve">CIT-EVI-ANN-009: VoiceInsights Africa. Annual Impact Report. synthetic-annual-impact-report-2026.1, EVI-ANN-009, Q9: How does income resilience affect youth economic inclusion outcomes in Lusaka Corridor?</w:t>
      </w:r>
    </w:p>
    <w:p>
      <w:r>
        <w:t xml:space="preserve">CIT-EVI-ANN-010: VoiceInsights Africa. Annual Impact Report. synthetic-annual-impact-report-2026.1, EVI-ANN-010, Q10: How does systems-level contribution affect youth economic inclusion outcomes in Copperbelt?</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RBM: APPLIED_WHERE_RELEVANT — Mapped to EVI-ANN-001, EVI-ANN-002; Synthetic demonstration mapping; institutional validation not implied</w:t>
      </w:r>
    </w:p>
    <w:p>
      <w:r>
        <w:t xml:space="preserve">SDG 8: APPLIED_WHERE_RELEVANT — Mapped to EVI-ANN-002, EVI-ANN-003; Synthetic demonstration mapping; institutional validation not implied</w:t>
      </w:r>
    </w:p>
    <w:p>
      <w:r>
        <w:t xml:space="preserve">Theory of Change: APPLIED_WHERE_RELEVANT — Mapped to EVI-ANN-003, EVI-ANN-004; Synthetic demonstration mapping; institutional validation not implied</w:t>
      </w:r>
    </w:p>
    <w:p>
      <w:r>
        <w:t xml:space="preserve">Leave No One Behind: APPLIED_WHERE_RELEVANT — Mapped to EVI-ANN-004, EVI-ANN-005; Synthetic demonstration mapping; institutional validation not implied</w:t>
      </w:r>
    </w:p>
    <w:p>
      <w:r>
        <w:t xml:space="preserve">Evidence Traceability: APPLIED — Control linked to EVI-ANN-001 and the deterministic publication gate.</w:t>
      </w:r>
    </w:p>
    <w:p>
      <w:r>
        <w:t xml:space="preserve">Research Ethics: APPLIED — Control linked to EVI-ANN-002 and the deterministic publication gate.</w:t>
      </w:r>
    </w:p>
    <w:p>
      <w:r>
        <w:t xml:space="preserve">Data Protection: APPLIED — Control linked to EVI-ANN-003 and the deterministic publication gate.</w:t>
      </w:r>
    </w:p>
    <w:p>
      <w:r>
        <w:t xml:space="preserve">Accessibility: APPLIED — Control linked to EVI-ANN-004 and the deterministic publication gate.</w:t>
      </w:r>
    </w:p>
    <w:p>
      <w:r>
        <w:t xml:space="preserve">Responsible AI: APPLIED — Control linked to EVI-ANN-005 and the deterministic publication gate.</w:t>
      </w:r>
    </w:p>
    <w:p>
      <w:r>
        <w:t xml:space="preserve">Publication Integrity: APPLIED — Control linked to EVI-ANN-006 and the deterministic publication gate.</w:t>
      </w:r>
    </w:p>
    <w:p>
      <w:pPr>
        <w:pStyle w:val="Heading1"/>
      </w:pPr>
      <w:r>
        <w:t>SDG Contribution</w:t>
      </w:r>
    </w:p>
    <w:p>
      <w:r>
        <w:t xml:space="preserve">SDG 5: undefined — Indicators —</w:t>
      </w:r>
    </w:p>
    <w:p>
      <w:r>
        <w:t xml:space="preserve">SDG 8: undefined — Indicators —</w:t>
      </w:r>
    </w:p>
    <w:p>
      <w:r>
        <w:t xml:space="preserve">SDG 10: undefined — Indicators —</w:t>
      </w:r>
    </w:p>
    <w:p>
      <w:r>
        <w:t xml:space="preserve">SDG 17: undefined — Indicators —</w:t>
      </w:r>
    </w:p>
    <w:p>
      <w:pPr>
        <w:pStyle w:val="Heading1"/>
      </w:pPr>
      <w:r>
        <w:t>OECD-DAC Evaluation Criteria</w:t>
      </w:r>
    </w:p>
    <w:p>
      <w:r>
        <w:t xml:space="preserve">Relevance: Synthetic evidence indicates a strong relevance signal, subject to the stated design limitations. (81/100) — Review relevance evidence at the next formal management gate.</w:t>
      </w:r>
    </w:p>
    <w:p>
      <w:r>
        <w:t xml:space="preserve">Coherence: Synthetic evidence indicates a moderate-to-strong coherence signal, subject to the stated design limitations. (82/100) — Review coherence evidence at the next formal management gate.</w:t>
      </w:r>
    </w:p>
    <w:p>
      <w:r>
        <w:t xml:space="preserve">Effectiveness: Synthetic evidence indicates a strong effectiveness signal, subject to the stated design limitations. (83/100) — Review effectiveness evidence at the next formal management gate.</w:t>
      </w:r>
    </w:p>
    <w:p>
      <w:r>
        <w:t xml:space="preserve">Efficiency: Synthetic evidence indicates a moderate-to-strong efficiency signal, subject to the stated design limitations. (84/100) — Review efficiency evidence at the next formal management gate.</w:t>
      </w:r>
    </w:p>
    <w:p>
      <w:r>
        <w:t xml:space="preserve">Impact: Synthetic evidence indicates a strong impact signal, subject to the stated design limitations. (85/100) — Review impact evidence at the next formal management gate.</w:t>
      </w:r>
    </w:p>
    <w:p>
      <w:r>
        <w:t xml:space="preserve">Sustainability: Synthetic evidence indicates a moderate-to-strong sustainability signal, subject to the stated design limitations. (86/100) — Review sustainability evidence at the next formal management gate.</w:t>
      </w:r>
    </w:p>
    <w:p>
      <w:pPr>
        <w:pStyle w:val="Heading1"/>
      </w:pPr>
      <w:r>
        <w:t>Results-Based Management</w:t>
      </w:r>
    </w:p>
    <w:p>
      <w:r>
        <w:t xml:space="preserve">Impact: Sustained, equitable improvement in youth economic inclusion performance</w:t>
      </w:r>
    </w:p>
    <w:p>
      <w:r>
        <w:t xml:space="preserve">OC-01: Improved youth economic inclusion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APPLIED. Validate relevance and assign an accountable owner before live use.</w:t>
      </w:r>
    </w:p>
    <w:p>
      <w:r>
        <w:t xml:space="preserve">Commitment 2: CHS Commitment 2 — APPLIED. Validate relevance and assign an accountable owner before live use.</w:t>
      </w:r>
    </w:p>
    <w:p>
      <w:r>
        <w:t xml:space="preserve">Commitment 3: CHS Commitment 3 — APPLIED. Validate relevance and assign an accountable owner before live use.</w:t>
      </w:r>
    </w:p>
    <w:p>
      <w:r>
        <w:t xml:space="preserve">Commitment 4: CHS Commitment 4 — APPLIED. Validate relevance and assign an accountable owner before live use.</w:t>
      </w:r>
    </w:p>
    <w:p>
      <w:r>
        <w:t xml:space="preserve">Commitment 5: CHS Commitment 5 — APPLIED. Validate relevance and assign an accountable owner before live use.</w:t>
      </w:r>
    </w:p>
    <w:p>
      <w:r>
        <w:t xml:space="preserve">Commitment 6: CHS Commitment 6 — APPLIED. Validate relevance and assign an accountable owner before live use.</w:t>
      </w:r>
    </w:p>
    <w:p>
      <w:r>
        <w:t xml:space="preserve">Commitment 7: CHS Commitment 7 — APPLIED. Validate relevance and assign an accountable owner before live use.</w:t>
      </w:r>
    </w:p>
    <w:p>
      <w:r>
        <w:t xml:space="preserve">Commitment 8: CHS Commitment 8 — APPLIED. Validate relevance and assign an accountable owner before live use.</w:t>
      </w:r>
    </w:p>
    <w:p>
      <w:r>
        <w:t xml:space="preserve">Commitment 9: CHS Commitment 9 — APPLIED. Validate relevance and assign an accountable owner before live use.</w:t>
      </w:r>
    </w:p>
    <w:p>
      <w:pPr>
        <w:pStyle w:val="Heading1"/>
      </w:pPr>
      <w:r>
        <w:t>Evidence Register</w:t>
      </w:r>
    </w:p>
    <w:p>
      <w:r>
        <w:t xml:space="preserve">EVI-ANN-001 • survey • SYN-ANNU-0001 • APPROVED • 89%</w:t>
      </w:r>
    </w:p>
    <w:p>
      <w:r>
        <w:t xml:space="preserve">EVI-ANN-002 • key_informant_interview • SYN-ANNU-0002 • APPROVED • 90%</w:t>
      </w:r>
    </w:p>
    <w:p>
      <w:r>
        <w:t xml:space="preserve">EVI-ANN-003 • administrative_record • SYN-ANNU-0003 • APPROVED • 91%</w:t>
      </w:r>
    </w:p>
    <w:p>
      <w:r>
        <w:t xml:space="preserve">EVI-ANN-004 • survey • SYN-ANNU-0004 • APPROVED • 92%</w:t>
      </w:r>
    </w:p>
    <w:p>
      <w:r>
        <w:t xml:space="preserve">EVI-ANN-005 • key_informant_interview • SYN-ANNU-0005 • APPROVED • 93%</w:t>
      </w:r>
    </w:p>
    <w:p>
      <w:r>
        <w:t xml:space="preserve">EVI-ANN-006 • administrative_record • SYN-ANNU-0006 • APPROVED • 94%</w:t>
      </w:r>
    </w:p>
    <w:p>
      <w:r>
        <w:t xml:space="preserve">EVI-ANN-007 • survey • SYN-ANNU-0007 • APPROVED • 95%</w:t>
      </w:r>
    </w:p>
    <w:p>
      <w:r>
        <w:t xml:space="preserve">EVI-ANN-008 • key_informant_interview • SYN-ANNU-0008 • APPROVED • 96%</w:t>
      </w:r>
    </w:p>
    <w:p>
      <w:r>
        <w:t xml:space="preserve">EVI-ANN-009 • administrative_record • SYN-ANNU-0009 • APPROVED • 97%</w:t>
      </w:r>
    </w:p>
    <w:p>
      <w:r>
        <w:t xml:space="preserve">EVI-ANN-010 • survey • SYN-ANNU-0010 • APPROVED • 98%</w:t>
      </w:r>
    </w:p>
    <w:p>
      <w:pPr>
        <w:pStyle w:val="Heading1"/>
      </w:pPr>
      <w:r>
        <w:t>Data Dictionary</w:t>
      </w:r>
    </w:p>
    <w:p>
      <w:r>
        <w:t xml:space="preserve">indicator_1: Synthetic Youth Economic Inclusion indicator 1; numeric; allowed: 0–100; missing: NA</w:t>
      </w:r>
    </w:p>
    <w:p>
      <w:r>
        <w:t xml:space="preserve">indicator_2: Synthetic Youth Economic Inclusion indicator 2; categorical; allowed: Documented code list; missing: NA</w:t>
      </w:r>
    </w:p>
    <w:p>
      <w:r>
        <w:t xml:space="preserve">indicator_3: Synthetic Youth Economic Inclusion indicator 3; categorical; allowed: Documented code list; missing: NA</w:t>
      </w:r>
    </w:p>
    <w:p>
      <w:r>
        <w:t xml:space="preserve">indicator_4: Synthetic Youth Economic Inclusion indicator 4; numeric; allowed: 0–100; missing: NA</w:t>
      </w:r>
    </w:p>
    <w:p>
      <w:r>
        <w:t xml:space="preserve">indicator_5: Synthetic Youth Economic Inclusion indicator 5; categorical; allowed: Documented code list; missing: NA</w:t>
      </w:r>
    </w:p>
    <w:p>
      <w:r>
        <w:t xml:space="preserve">indicator_6: Synthetic Youth Economic Inclusion indicator 6; categorical; allowed: Documented code list; missing: NA</w:t>
      </w:r>
    </w:p>
    <w:p>
      <w:r>
        <w:t xml:space="preserve">indicator_7: Synthetic Youth Economic Inclusion indicator 7; numeric; allowed: 0–100; missing: NA</w:t>
      </w:r>
    </w:p>
    <w:p>
      <w:r>
        <w:t xml:space="preserve">indicator_8: Synthetic Youth Economic Inclusion indicator 8; categorical; allowed: Documented code list; missing: NA</w:t>
      </w:r>
    </w:p>
    <w:p>
      <w:r>
        <w:t xml:space="preserve">indicator_9: Synthetic Youth Economic Inclusion indicator 9; categorical; allowed: Documented code list; missing: NA</w:t>
      </w:r>
    </w:p>
    <w:p>
      <w:r>
        <w:t xml:space="preserve">indicator_10: Synthetic Youth Economic Inclusion indicator 10; numeric; allowed: 0–100; missing: NA</w:t>
      </w:r>
    </w:p>
    <w:p>
      <w:r>
        <w:t xml:space="preserve">indicator_11: Synthetic Youth Economic Inclusion indicator 11; categorical; allowed: Documented code list; missing: NA</w:t>
      </w:r>
    </w:p>
    <w:p>
      <w:r>
        <w:t xml:space="preserve">indicator_12: Synthetic Youth Economic Inclusion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