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2200"/>
      </w:pPr>
      <w:r>
        <w:rPr>
          <w:b/>
          <w:sz w:val="42"/>
        </w:rPr>
        <w:t>Climate Adaptation Intelligence Report</w:t>
      </w:r>
    </w:p>
    <w:p>
      <w:r>
        <w:t xml:space="preserve">VoiceInsights Africa — Full Synthetic Demonstration Publication</w:t>
      </w:r>
    </w:p>
    <w:p>
      <w:r>
        <w:t xml:space="preserve">Synthetic Demonstration Publication produced by VoiceInsights Africa. All people, quotations, locations and statistics are synthetic, internally governed demonstration content and are not official statistics.</w:t>
      </w:r>
    </w:p>
    <w:p>
      <w:pPr>
        <w:pStyle w:val="Heading1"/>
      </w:pPr>
      <w:r>
        <w:t>Executive Intelligence</w:t>
      </w:r>
    </w:p>
    <w:p>
      <w:r>
        <w:t xml:space="preserve">Mozambique has made real gains in climate adaptation performance — and real gaps remain alongside them. This publication separates the two, using a governed evidence model built to surface risk and opportunity, not just describe them. No claim in this publication stands alone: findings link to synthetic evidence, recommendations carry a named owner, and every statistic shares one internally consistent dataset.</w:t>
      </w:r>
    </w:p>
    <w:p>
      <w:pPr>
        <w:pStyle w:val="Heading1"/>
      </w:pPr>
      <w:r>
        <w:t>Table of Contents</w:t>
      </w:r>
    </w:p>
    <w:p>
      <w:r>
        <w:t xml:space="preserve">undefined — undefined</w:t>
      </w:r>
    </w:p>
    <w:p>
      <w:r>
        <w:t xml:space="preserve">undefined — undefined</w:t>
      </w:r>
    </w:p>
    <w:p>
      <w:r>
        <w:t xml:space="preserve">undefined — undefined</w:t>
      </w:r>
    </w:p>
    <w:p>
      <w:r>
        <w:t xml:space="preserve">undefined — undefined</w:t>
      </w:r>
    </w:p>
    <w:p>
      <w:r>
        <w:t xml:space="preserve">undefined — undefined</w:t>
      </w:r>
    </w:p>
    <w:p>
      <w:r>
        <w:t xml:space="preserve">undefined — undefined</w:t>
      </w:r>
    </w:p>
    <w:p>
      <w:pPr>
        <w:pStyle w:val="Heading1"/>
      </w:pPr>
      <w:r>
        <w:t>Critical Findings</w:t>
      </w:r>
    </w:p>
    <w:p>
      <w:pPr>
        <w:pStyle w:val="Heading2"/>
      </w:pPr>
      <w:r>
        <w:t>Adaptive-capacity gaps</w:t>
      </w:r>
    </w:p>
    <w:p>
      <w:r>
        <w:t xml:space="preserve">What would it take to fix adaptive-capacity gaps? Start with Zambezia Province, where the signal sits at 54% and rural women carry most of the shortfall. The honest answer is sustained attention, not a single intervention. Zambezia Province shows the sharpest divide, where rural women carry the largest share of the gap. Left unaddressed for a year, the imbalance is likely to erode equity, delivery confidence and the durability of results.</w:t>
      </w:r>
    </w:p>
    <w:p>
      <w:r>
        <w:t xml:space="preserve">Evidence: EVI-CLI-001, EVI-CLI-004 • Confidence 94.5%</w:t>
      </w:r>
    </w:p>
    <w:p>
      <w:pPr>
        <w:pStyle w:val="Heading2"/>
      </w:pPr>
      <w:r>
        <w:t>Resilience-financing allocation</w:t>
      </w:r>
    </w:p>
    <w:p>
      <w:r>
        <w:t xml:space="preserve">Resilience-financing allocation is not a marginal delivery issue. In Sofala Province, the governed evidence indicates a 55% performance signal, with young adults carrying the most consequential constraint. Left unaddressed, resilience-financing allocation becomes a structural risk to climate adaptation delivery in Mozambique, not a temporary dip. Sofala Province is furthest exposed, and young adults would carry the earliest and heaviest consequences of a further year's delay.</w:t>
      </w:r>
    </w:p>
    <w:p>
      <w:r>
        <w:t xml:space="preserve">Evidence: EVI-CLI-002, EVI-CLI-005 • Confidence 95.5%</w:t>
      </w:r>
    </w:p>
    <w:p>
      <w:pPr>
        <w:pStyle w:val="Heading2"/>
      </w:pPr>
      <w:r>
        <w:t>Climate-shock early-warning reach</w:t>
      </w:r>
    </w:p>
    <w:p>
      <w:r>
        <w:t xml:space="preserve">Two things are true at once about climate-shock early-warning reach. The national picture is improving, and Nampula Province — where persons with disabilities report a 56% signal — is not improving fast enough to close the gap. Climate adaptation performance in Mozambique looks stable in aggregate but splits sharply once climate-shock early-warning reach is disaggregated. Nampula Province anchors the low end, and persons with disabilities bear most of that shortfall — a pattern that risks compounding without intervention within the year.</w:t>
      </w:r>
    </w:p>
    <w:p>
      <w:r>
        <w:t xml:space="preserve">Evidence: EVI-CLI-003, EVI-CLI-006 • Confidence 96.5%</w:t>
      </w:r>
    </w:p>
    <w:p>
      <w:pPr>
        <w:pStyle w:val="Heading2"/>
      </w:pPr>
      <w:r>
        <w:t>Community-level adaptation planning</w:t>
      </w:r>
    </w:p>
    <w:p>
      <w:r>
        <w:t xml:space="preserve">Frontline workers in Inhambane Province are living the consequence of community-level adaptation planning, not simply reporting it. Their 57% signal is the clearest evidence leadership has that current measures fall short. frontline workers in Inhambane Province do not experience community-level adaptation planning as an abstract metric. They experience it as the difference between climate adaptation delivery that works and delivery that does not, and a twelve-month delay would deepen that gap rather than hold it steady.</w:t>
      </w:r>
    </w:p>
    <w:p>
      <w:r>
        <w:t xml:space="preserve">Evidence: EVI-CLI-004, EVI-CLI-007 • Confidence 92%</w:t>
      </w:r>
    </w:p>
    <w:p>
      <w:pPr>
        <w:pStyle w:val="Heading2"/>
      </w:pPr>
      <w:r>
        <w:t>Cross-sectoral climate coordination</w:t>
      </w:r>
    </w:p>
    <w:p>
      <w:r>
        <w:t xml:space="preserve">The aggregate result conceals a material implementation divide. Zambezia Province records a 58% signal for cross-sectoral climate coordination; the shortfall is concentrated among low-income households, where service continuity and confidence move together. This is not a new problem.</w:t>
      </w:r>
    </w:p>
    <w:p>
      <w:r>
        <w:t xml:space="preserve">Evidence: EVI-CLI-005, EVI-CLI-008 • Confidence 93%</w:t>
      </w:r>
    </w:p>
    <w:p>
      <w:pPr>
        <w:pStyle w:val="Heading1"/>
      </w:pPr>
      <w:r>
        <w:t>Regional Intelligence</w:t>
      </w:r>
    </w:p>
    <w:p>
      <w:r>
        <w:t xml:space="preserve">Zambezia Province: 68% • 1135 responses • Risk WATCH</w:t>
      </w:r>
    </w:p>
    <w:p>
      <w:r>
        <w:t xml:space="preserve">Sofala Province: 69% • 987 responses • Risk WATCH</w:t>
      </w:r>
    </w:p>
    <w:p>
      <w:r>
        <w:t xml:space="preserve">Nampula Province: 70% • 841 responses • Risk STABLE</w:t>
      </w:r>
    </w:p>
    <w:p>
      <w:r>
        <w:t xml:space="preserve">Inhambane Province: 71% • 695 responses • Risk STABLE</w:t>
      </w:r>
    </w:p>
    <w:p>
      <w:pPr>
        <w:pStyle w:val="Heading1"/>
      </w:pPr>
      <w:r>
        <w:t>Indicators and Target Gaps</w:t>
      </w:r>
    </w:p>
    <w:p>
      <w:r>
        <w:t xml:space="preserve">IND-01 Adaptive-capacity index: 82% vs 89% — WATCH</w:t>
      </w:r>
    </w:p>
    <w:p>
      <w:r>
        <w:t xml:space="preserve">IND-02 Resilience-financing coverage: 49% vs 90% — OFF_TRACK</w:t>
      </w:r>
    </w:p>
    <w:p>
      <w:r>
        <w:t xml:space="preserve">IND-03 Early-warning reach rate: 50% vs 91% — OFF_TRACK</w:t>
      </w:r>
    </w:p>
    <w:p>
      <w:r>
        <w:t xml:space="preserve">IND-04 Community adaptation-plan completion: 51% vs 92% — OFF_TRACK</w:t>
      </w:r>
    </w:p>
    <w:p>
      <w:pPr>
        <w:pStyle w:val="Heading1"/>
      </w:pPr>
      <w:r>
        <w:t>Respondent Voice</w:t>
      </w:r>
    </w:p>
    <w:p>
      <w:r>
        <w:t xml:space="preserve">Zambezia Province: “Why does Zambezia Province lag behind? Ask rural women, and the answer comes back to adaptive-capacity gaps.”</w:t>
      </w:r>
    </w:p>
    <w:p>
      <w:r>
        <w:t xml:space="preserve">Sofala Province: “Elsewhere, resilience-financing allocation might be a footnote. For young adults in Sofala Province, it is the whole story.”</w:t>
      </w:r>
    </w:p>
    <w:p>
      <w:r>
        <w:t xml:space="preserve">Nampula Province: “Persons with disabilities in Nampula Province frame it simply: when climate-shock early-warning reach breaks down, everything else does too.”</w:t>
      </w:r>
    </w:p>
    <w:p>
      <w:r>
        <w:t xml:space="preserve">Inhambane Province: “In Inhambane Province, community-level adaptation planning shapes whether frontline workers can turn services into lasting outcomes.”</w:t>
      </w:r>
    </w:p>
    <w:p>
      <w:r>
        <w:t xml:space="preserve">Zambezia Province: “Low-income households in Zambezia Province put it plainly: cross-sectoral climate coordination is what decides whether progress holds or slips back.”</w:t>
      </w:r>
    </w:p>
    <w:p>
      <w:r>
        <w:t xml:space="preserve">Sofala Province: “Why does Sofala Province lag behind? Ask service managers, and the answer comes back to adaptive-capacity gaps.”</w:t>
      </w:r>
    </w:p>
    <w:p>
      <w:r>
        <w:t xml:space="preserve">Nampula Province: “Elsewhere, resilience-financing allocation might be a footnote. For community leaders in Nampula Province, it is the whole story.”</w:t>
      </w:r>
    </w:p>
    <w:p>
      <w:r>
        <w:t xml:space="preserve">Inhambane Province: “Private-sector partners in Inhambane Province frame it simply: when climate-shock early-warning reach breaks down, everything else does too.”</w:t>
      </w:r>
    </w:p>
    <w:p>
      <w:r>
        <w:t xml:space="preserve">Zambezia Province: “In Zambezia Province, community-level adaptation planning shapes whether rural women can turn services into lasting outcomes.”</w:t>
      </w:r>
    </w:p>
    <w:p>
      <w:r>
        <w:t xml:space="preserve">Sofala Province: “Young adults in Sofala Province put it plainly: cross-sectoral climate coordination is what decides whether progress holds or slips back.”</w:t>
      </w:r>
    </w:p>
    <w:p>
      <w:pPr>
        <w:pStyle w:val="Heading1"/>
      </w:pPr>
      <w:r>
        <w:t>Decision Intelligence</w:t>
      </w:r>
    </w:p>
    <w:p>
      <w:pPr>
        <w:pStyle w:val="Heading2"/>
      </w:pPr>
      <w:r>
        <w:t>DEC-CLI-01 CRITICAL</w:t>
      </w:r>
    </w:p>
    <w:p>
      <w:r>
        <w:t xml:space="preserve">Target resilience-financing rounds at the lowest-adaptive-capacity communities.</w:t>
      </w:r>
    </w:p>
    <w:p>
      <w:r>
        <w:t xml:space="preserve">Owner: Country Director / Programme Executive • Timeline: 0–90 days • Budget: Medium to high — requires a dedicated budget line and phased release • Indicator: Proportion of agreed implementation steps verified on schedule for DEC-CLI-01</w:t>
      </w:r>
    </w:p>
    <w:p>
      <w:pPr>
        <w:pStyle w:val="Heading2"/>
      </w:pPr>
      <w:r>
        <w:t>DEC-CLI-02 CRITICAL</w:t>
      </w:r>
    </w:p>
    <w:p>
      <w:r>
        <w:t xml:space="preserve">Scale climate-shock early-warning reach in flood-prone districts.</w:t>
      </w:r>
    </w:p>
    <w:p>
      <w:r>
        <w:t xml:space="preserve">Owner: Country Director / Programme Executive • Timeline: 3–12 months • Budget: High — full business case and multi-year funding commitment required • Indicator: Quarterly-verified progress against the milestones agreed for this critical-tier decision (DEC-CLI-02)</w:t>
      </w:r>
    </w:p>
    <w:p>
      <w:pPr>
        <w:pStyle w:val="Heading2"/>
      </w:pPr>
      <w:r>
        <w:t>DEC-CLI-03 HIGH</w:t>
      </w:r>
    </w:p>
    <w:p>
      <w:r>
        <w:t xml:space="preserve">Fund community-level adaptation planning processes.</w:t>
      </w:r>
    </w:p>
    <w:p>
      <w:r>
        <w:t xml:space="preserve">Owner: Country Director / Programme Executive • Timeline: 3–12 months • Budget: Low to medium — validate through the formal planning cycle • Indicator: Number of agreed milestones for DEC-CLI-03 confirmed complete at each quarterly review</w:t>
      </w:r>
    </w:p>
    <w:p>
      <w:pPr>
        <w:pStyle w:val="Heading2"/>
      </w:pPr>
      <w:r>
        <w:t>DEC-CLI-04 HIGH</w:t>
      </w:r>
    </w:p>
    <w:p>
      <w:r>
        <w:t xml:space="preserve">Strengthen cross-sectoral climate coordination mechanisms.</w:t>
      </w:r>
    </w:p>
    <w:p>
      <w:r>
        <w:t xml:space="preserve">Owner: Country Director / Programme Executive • Timeline: 3–12 months • Budget: Low — absorbable within existing allocations, subject to confirmation • Indicator: Percentage of agreed milestones completed for DEC-CLI-04</w:t>
      </w:r>
    </w:p>
    <w:p>
      <w:pPr>
        <w:pStyle w:val="Heading2"/>
      </w:pPr>
      <w:r>
        <w:t>DEC-CLI-05 MEDIUM</w:t>
      </w:r>
    </w:p>
    <w:p>
      <w:r>
        <w:t xml:space="preserve">Prioritise financing based on verified adaptive-capacity gaps.</w:t>
      </w:r>
    </w:p>
    <w:p>
      <w:r>
        <w:t xml:space="preserve">Owner: Country Director / Programme Executive • Timeline: 6–18 months • Budget: Low — deliverable inside the current operating budget with light validation • Indicator: Share of the medium-tier delivery plan confirmed complete each quarter (DEC-CLI-05)</w:t>
      </w:r>
    </w:p>
    <w:p>
      <w:pPr>
        <w:pStyle w:val="Heading1"/>
      </w:pPr>
      <w:r>
        <w:t>Methodology</w:t>
      </w:r>
    </w:p>
    <w:p>
      <w:r>
        <w:t xml:space="preserve">research objectives: ["Assess climate adaptation performance and equity","Identify operational drivers and decision priorities"]</w:t>
      </w:r>
    </w:p>
    <w:p>
      <w:r>
        <w:t xml:space="preserve">evaluation questions: ["What outcomes are changing?","Who is being left behind?","Which actions are most likely to improve performance?"]</w:t>
      </w:r>
    </w:p>
    <w:p>
      <w:r>
        <w:t xml:space="preserve">sampling frame: Synthetic programme population frame for Mozambique</w:t>
      </w:r>
    </w:p>
    <w:p>
      <w:r>
        <w:t xml:space="preserve">sample size: 3658</w:t>
      </w:r>
    </w:p>
    <w:p>
      <w:r>
        <w:t xml:space="preserve">stratification: ["Region","Location type","Sex","Age","Disability"]</w:t>
      </w:r>
    </w:p>
    <w:p>
      <w:r>
        <w:t xml:space="preserve">weights: Normalized post-stratification weights</w:t>
      </w:r>
    </w:p>
    <w:p>
      <w:r>
        <w:t xml:space="preserve">confidence intervals: 95%</w:t>
      </w:r>
    </w:p>
    <w:p>
      <w:r>
        <w:t xml:space="preserve">design effect: 1.9</w:t>
      </w:r>
    </w:p>
    <w:p>
      <w:r>
        <w:t xml:space="preserve">missing data: Documented and sensitivity-tested</w:t>
      </w:r>
    </w:p>
    <w:p>
      <w:r>
        <w:t xml:space="preserve">reliability: Cronbach alpha 0.86</w:t>
      </w:r>
    </w:p>
    <w:p>
      <w:r>
        <w:t xml:space="preserve">validity: Content and construct validity checks</w:t>
      </w:r>
    </w:p>
    <w:p>
      <w:r>
        <w:t xml:space="preserve">metadata: Complete synthetic data dictionary and lineage registry</w:t>
      </w:r>
    </w:p>
    <w:p>
      <w:pPr>
        <w:pStyle w:val="Heading1"/>
      </w:pPr>
      <w:r>
        <w:t>Institutional &amp; Methodology Assurance</w:t>
      </w:r>
    </w:p>
    <w:p>
      <w:r>
        <w:t xml:space="preserve">protocol: Governed synthetic research protocol with sampling, weighting, reliability, validity and reproducibility controls</w:t>
      </w:r>
    </w:p>
    <w:p>
      <w:r>
        <w:t xml:space="preserve">ethics: Synthetic records only; no real participants or personal data</w:t>
      </w:r>
    </w:p>
    <w:p>
      <w:r>
        <w:t xml:space="preserve">peer review: Independent synthetic-publication review checklist completed</w:t>
      </w:r>
    </w:p>
    <w:p>
      <w:r>
        <w:t xml:space="preserve">reproducibility: Deterministic inputs, versioned dataset and export manifest</w:t>
      </w:r>
    </w:p>
    <w:p>
      <w:pPr>
        <w:pStyle w:val="Heading1"/>
      </w:pPr>
      <w:r>
        <w:t>Analytical Depth &amp; Reproducibility</w:t>
      </w:r>
    </w:p>
    <w:p>
      <w:r>
        <w:t xml:space="preserve">inferential statistics: Enabled where assumptions and design permit</w:t>
      </w:r>
    </w:p>
    <w:p>
      <w:r>
        <w:t xml:space="preserve">segmentation: Evidence-led segments</w:t>
      </w:r>
    </w:p>
    <w:p>
      <w:r>
        <w:t xml:space="preserve">trend analysis: Three-period synthetic series</w:t>
      </w:r>
    </w:p>
    <w:p>
      <w:pPr>
        <w:pStyle w:val="Heading1"/>
      </w:pPr>
      <w:r>
        <w:t>Decision Architecture</w:t>
      </w:r>
    </w:p>
    <w:p>
      <w:pPr>
        <w:pStyle w:val="Heading2"/>
      </w:pPr>
      <w:r>
        <w:t>DEC-CLI-01</w:t>
      </w:r>
    </w:p>
    <w:p>
      <w:r>
        <w:t xml:space="preserve">Target resilience-financing rounds at the lowest-adaptive-capacity communities.</w:t>
      </w:r>
    </w:p>
    <w:p>
      <w:r>
        <w:t xml:space="preserve">Owner: Country Director / Programme Executive • Window: 0–90 days • Cost: Medium to high — requires a dedicated budget line and phased release • Indicator: Proportion of agreed implementation steps verified on schedule for DEC-CLI-01</w:t>
      </w:r>
    </w:p>
    <w:p>
      <w:pPr>
        <w:pStyle w:val="Heading2"/>
      </w:pPr>
      <w:r>
        <w:t>DEC-CLI-02</w:t>
      </w:r>
    </w:p>
    <w:p>
      <w:r>
        <w:t xml:space="preserve">Scale climate-shock early-warning reach in flood-prone districts.</w:t>
      </w:r>
    </w:p>
    <w:p>
      <w:r>
        <w:t xml:space="preserve">Owner: Country Director / Programme Executive • Window: 3–12 months • Cost: High — full business case and multi-year funding commitment required • Indicator: Quarterly-verified progress against the milestones agreed for this critical-tier decision (DEC-CLI-02)</w:t>
      </w:r>
    </w:p>
    <w:p>
      <w:pPr>
        <w:pStyle w:val="Heading2"/>
      </w:pPr>
      <w:r>
        <w:t>DEC-CLI-03</w:t>
      </w:r>
    </w:p>
    <w:p>
      <w:r>
        <w:t xml:space="preserve">Fund community-level adaptation planning processes.</w:t>
      </w:r>
    </w:p>
    <w:p>
      <w:r>
        <w:t xml:space="preserve">Owner: Country Director / Programme Executive • Window: 3–12 months • Cost: Low to medium — validate through the formal planning cycle • Indicator: Number of agreed milestones for DEC-CLI-03 confirmed complete at each quarterly review</w:t>
      </w:r>
    </w:p>
    <w:p>
      <w:pPr>
        <w:pStyle w:val="Heading2"/>
      </w:pPr>
      <w:r>
        <w:t>DEC-CLI-04</w:t>
      </w:r>
    </w:p>
    <w:p>
      <w:r>
        <w:t xml:space="preserve">Strengthen cross-sectoral climate coordination mechanisms.</w:t>
      </w:r>
    </w:p>
    <w:p>
      <w:r>
        <w:t xml:space="preserve">Owner: Country Director / Programme Executive • Window: 3–12 months • Cost: Low — absorbable within existing allocations, subject to confirmation • Indicator: Percentage of agreed milestones completed for DEC-CLI-04</w:t>
      </w:r>
    </w:p>
    <w:p>
      <w:pPr>
        <w:pStyle w:val="Heading2"/>
      </w:pPr>
      <w:r>
        <w:t>DEC-CLI-05</w:t>
      </w:r>
    </w:p>
    <w:p>
      <w:r>
        <w:t xml:space="preserve">Prioritise financing based on verified adaptive-capacity gaps.</w:t>
      </w:r>
    </w:p>
    <w:p>
      <w:r>
        <w:t xml:space="preserve">Owner: Country Director / Programme Executive • Window: 6–18 months • Cost: Low — deliverable inside the current operating budget with light validation • Indicator: Share of the medium-tier delivery plan confirmed complete each quarter (DEC-CLI-05)</w:t>
      </w:r>
    </w:p>
    <w:p>
      <w:pPr>
        <w:pStyle w:val="Heading1"/>
      </w:pPr>
      <w:r>
        <w:t>Evidence Lineage &amp; Citation Registry</w:t>
      </w:r>
    </w:p>
    <w:p>
      <w:r>
        <w:t xml:space="preserve">EVI-CLI-001: [object Object] • APPROVED_SYNTHETIC_DEMONSTRATION • 93%</w:t>
      </w:r>
    </w:p>
    <w:p>
      <w:r>
        <w:t xml:space="preserve">EVI-CLI-002: [object Object] • APPROVED_SYNTHETIC_DEMONSTRATION • 94%</w:t>
      </w:r>
    </w:p>
    <w:p>
      <w:r>
        <w:t xml:space="preserve">EVI-CLI-003: [object Object] • APPROVED_SYNTHETIC_DEMONSTRATION • 95%</w:t>
      </w:r>
    </w:p>
    <w:p>
      <w:r>
        <w:t xml:space="preserve">EVI-CLI-004: [object Object] • APPROVED_SYNTHETIC_DEMONSTRATION • 96%</w:t>
      </w:r>
    </w:p>
    <w:p>
      <w:r>
        <w:t xml:space="preserve">EVI-CLI-005: [object Object] • APPROVED_SYNTHETIC_DEMONSTRATION • 97%</w:t>
      </w:r>
    </w:p>
    <w:p>
      <w:r>
        <w:t xml:space="preserve">EVI-CLI-006: [object Object] • APPROVED_SYNTHETIC_DEMONSTRATION • 98%</w:t>
      </w:r>
    </w:p>
    <w:p>
      <w:r>
        <w:t xml:space="preserve">EVI-CLI-007: [object Object] • APPROVED_SYNTHETIC_DEMONSTRATION • 88%</w:t>
      </w:r>
    </w:p>
    <w:p>
      <w:r>
        <w:t xml:space="preserve">EVI-CLI-008: [object Object] • APPROVED_SYNTHETIC_DEMONSTRATION • 89%</w:t>
      </w:r>
    </w:p>
    <w:p>
      <w:r>
        <w:t xml:space="preserve">EVI-CLI-009: [object Object] • APPROVED_SYNTHETIC_DEMONSTRATION • 90%</w:t>
      </w:r>
    </w:p>
    <w:p>
      <w:r>
        <w:t xml:space="preserve">EVI-CLI-010: [object Object] • APPROVED_SYNTHETIC_DEMONSTRATION • 91%</w:t>
      </w:r>
    </w:p>
    <w:p>
      <w:r>
        <w:t xml:space="preserve">CIT-EVI-CLI-001: VoiceInsights Africa. Climate Adaptation Intelligence Report. synthetic-climate-adaptation-intelligence-2026.1, EVI-CLI-001, Q1: How does adaptive-capacity gaps affect climate adaptation outcomes in Zambezia Province?</w:t>
      </w:r>
    </w:p>
    <w:p>
      <w:r>
        <w:t xml:space="preserve">CIT-EVI-CLI-002: VoiceInsights Africa. Climate Adaptation Intelligence Report. synthetic-climate-adaptation-intelligence-2026.1, EVI-CLI-002, Q2: How does resilience-financing allocation affect climate adaptation outcomes in Sofala Province?</w:t>
      </w:r>
    </w:p>
    <w:p>
      <w:r>
        <w:t xml:space="preserve">CIT-EVI-CLI-003: VoiceInsights Africa. Climate Adaptation Intelligence Report. synthetic-climate-adaptation-intelligence-2026.1, EVI-CLI-003, Q3: How does climate-shock early-warning reach affect climate adaptation outcomes in Nampula Province?</w:t>
      </w:r>
    </w:p>
    <w:p>
      <w:r>
        <w:t xml:space="preserve">CIT-EVI-CLI-004: VoiceInsights Africa. Climate Adaptation Intelligence Report. synthetic-climate-adaptation-intelligence-2026.1, EVI-CLI-004, Q4: How does community-level adaptation planning affect climate adaptation outcomes in Inhambane Province?</w:t>
      </w:r>
    </w:p>
    <w:p>
      <w:r>
        <w:t xml:space="preserve">CIT-EVI-CLI-005: VoiceInsights Africa. Climate Adaptation Intelligence Report. synthetic-climate-adaptation-intelligence-2026.1, EVI-CLI-005, Q5: How does cross-sectoral climate coordination affect climate adaptation outcomes in Zambezia Province?</w:t>
      </w:r>
    </w:p>
    <w:p>
      <w:r>
        <w:t xml:space="preserve">CIT-EVI-CLI-006: VoiceInsights Africa. Climate Adaptation Intelligence Report. synthetic-climate-adaptation-intelligence-2026.1, EVI-CLI-006, Q6: How does adaptive-capacity gaps affect climate adaptation outcomes in Sofala Province?</w:t>
      </w:r>
    </w:p>
    <w:p>
      <w:r>
        <w:t xml:space="preserve">CIT-EVI-CLI-007: VoiceInsights Africa. Climate Adaptation Intelligence Report. synthetic-climate-adaptation-intelligence-2026.1, EVI-CLI-007, Q7: How does resilience-financing allocation affect climate adaptation outcomes in Nampula Province?</w:t>
      </w:r>
    </w:p>
    <w:p>
      <w:r>
        <w:t xml:space="preserve">CIT-EVI-CLI-008: VoiceInsights Africa. Climate Adaptation Intelligence Report. synthetic-climate-adaptation-intelligence-2026.1, EVI-CLI-008, Q8: How does climate-shock early-warning reach affect climate adaptation outcomes in Inhambane Province?</w:t>
      </w:r>
    </w:p>
    <w:p>
      <w:r>
        <w:t xml:space="preserve">CIT-EVI-CLI-009: VoiceInsights Africa. Climate Adaptation Intelligence Report. synthetic-climate-adaptation-intelligence-2026.1, EVI-CLI-009, Q9: How does community-level adaptation planning affect climate adaptation outcomes in Zambezia Province?</w:t>
      </w:r>
    </w:p>
    <w:p>
      <w:r>
        <w:t xml:space="preserve">CIT-EVI-CLI-010: VoiceInsights Africa. Climate Adaptation Intelligence Report. synthetic-climate-adaptation-intelligence-2026.1, EVI-CLI-010, Q10: How does cross-sectoral climate coordination affect climate adaptation outcomes in Sofala Province?</w:t>
      </w:r>
    </w:p>
    <w:p>
      <w:pPr>
        <w:pStyle w:val="Heading1"/>
      </w:pPr>
      <w:r>
        <w:t>Publication Architecture</w:t>
      </w:r>
    </w:p>
    <w:p>
      <w:r>
        <w:t xml:space="preserve">Executive Intelligence Book (2–7): Executive brief; Decision snapshot; Risks; Opportunities; Budget implications</w:t>
      </w:r>
    </w:p>
    <w:p>
      <w:r>
        <w:t xml:space="preserve">Evidence Intelligence Book (8–15): Critical findings; Respondent voice; Evidence chains; Citation registry</w:t>
      </w:r>
    </w:p>
    <w:p>
      <w:r>
        <w:t xml:space="preserve">Statistical Intelligence Book (16–22): Sampling; Weighting; Uncertainty; Reliability; Model diagnostics</w:t>
      </w:r>
    </w:p>
    <w:p>
      <w:r>
        <w:t xml:space="preserve">Decision Intelligence Book (23–27): Decision matrix; Ownership; Budget; Roadmap; Management response</w:t>
      </w:r>
    </w:p>
    <w:p>
      <w:r>
        <w:t xml:space="preserve">Standards &amp; Assurance (28–31): Relevant frameworks; Safeguarding; Privacy; Responsible AI; Accessibility</w:t>
      </w:r>
    </w:p>
    <w:p>
      <w:r>
        <w:t xml:space="preserve">Technical Appendices (32–34): Data dictionary; Quality gate; Export manifest; Responsible-use notice</w:t>
      </w:r>
    </w:p>
    <w:p>
      <w:pPr>
        <w:pStyle w:val="Heading1"/>
      </w:pPr>
      <w:r>
        <w:t>Peer Review &amp; Accessibility</w:t>
      </w:r>
    </w:p>
    <w:p>
      <w:r>
        <w:t xml:space="preserve">wcag target: WCAG 2.2 AA</w:t>
      </w:r>
    </w:p>
    <w:p>
      <w:r>
        <w:t xml:space="preserve">tagged pdf required: true</w:t>
      </w:r>
    </w:p>
    <w:p>
      <w:r>
        <w:t xml:space="preserve">alt text required: true</w:t>
      </w:r>
    </w:p>
    <w:p>
      <w:r>
        <w:t xml:space="preserve">table fallback required: true</w:t>
      </w:r>
    </w:p>
    <w:p>
      <w:r>
        <w:t xml:space="preserve">keyboard navigation required: true</w:t>
      </w:r>
    </w:p>
    <w:p>
      <w:r>
        <w:t xml:space="preserve">colour independent labels required: true</w:t>
      </w:r>
    </w:p>
    <w:p>
      <w:pPr>
        <w:pStyle w:val="Heading1"/>
      </w:pPr>
      <w:r>
        <w:t>International Standards Alignment</w:t>
      </w:r>
    </w:p>
    <w:p>
      <w:r>
        <w:t xml:space="preserve">SDG 13: APPLIED_WHERE_RELEVANT — Mapped to EVI-CLI-001, EVI-CLI-002; Synthetic demonstration mapping; institutional validation not implied</w:t>
      </w:r>
    </w:p>
    <w:p>
      <w:r>
        <w:t xml:space="preserve">Climate Resilience: APPLIED_WHERE_RELEVANT — Mapped to EVI-CLI-002, EVI-CLI-003; Synthetic demonstration mapping; institutional validation not implied</w:t>
      </w:r>
    </w:p>
    <w:p>
      <w:r>
        <w:t xml:space="preserve">Leave No One Behind: APPLIED_WHERE_RELEVANT — Mapped to EVI-CLI-003, EVI-CLI-004; Synthetic demonstration mapping; institutional validation not implied</w:t>
      </w:r>
    </w:p>
    <w:p>
      <w:r>
        <w:t xml:space="preserve">Evidence Traceability: APPLIED — Control linked to EVI-CLI-001 and the deterministic publication gate.</w:t>
      </w:r>
    </w:p>
    <w:p>
      <w:r>
        <w:t xml:space="preserve">Research Ethics: APPLIED — Control linked to EVI-CLI-002 and the deterministic publication gate.</w:t>
      </w:r>
    </w:p>
    <w:p>
      <w:r>
        <w:t xml:space="preserve">Data Protection: APPLIED — Control linked to EVI-CLI-003 and the deterministic publication gate.</w:t>
      </w:r>
    </w:p>
    <w:p>
      <w:r>
        <w:t xml:space="preserve">Accessibility: APPLIED — Control linked to EVI-CLI-004 and the deterministic publication gate.</w:t>
      </w:r>
    </w:p>
    <w:p>
      <w:r>
        <w:t xml:space="preserve">Responsible AI: APPLIED — Control linked to EVI-CLI-005 and the deterministic publication gate.</w:t>
      </w:r>
    </w:p>
    <w:p>
      <w:r>
        <w:t xml:space="preserve">Publication Integrity: APPLIED — Control linked to EVI-CLI-006 and the deterministic publication gate.</w:t>
      </w:r>
    </w:p>
    <w:p>
      <w:pPr>
        <w:pStyle w:val="Heading1"/>
      </w:pPr>
      <w:r>
        <w:t>SDG Contribution</w:t>
      </w:r>
    </w:p>
    <w:p>
      <w:r>
        <w:t xml:space="preserve">SDG 13: undefined — Indicators —</w:t>
      </w:r>
    </w:p>
    <w:p>
      <w:r>
        <w:t xml:space="preserve">SDG 13: undefined — Indicators —</w:t>
      </w:r>
    </w:p>
    <w:p>
      <w:r>
        <w:t xml:space="preserve">SDG 1: undefined — Indicators —</w:t>
      </w:r>
    </w:p>
    <w:p>
      <w:pPr>
        <w:pStyle w:val="Heading1"/>
      </w:pPr>
      <w:r>
        <w:t>OECD-DAC Evaluation Criteria</w:t>
      </w:r>
    </w:p>
    <w:p>
      <w:r>
        <w:t xml:space="preserve">Relevance: Synthetic evidence indicates a strong relevance signal, subject to the stated design limitations. (89/100) — Review relevance evidence at the next formal management gate.</w:t>
      </w:r>
    </w:p>
    <w:p>
      <w:r>
        <w:t xml:space="preserve">Coherence: Synthetic evidence indicates a moderate-to-strong coherence signal, subject to the stated design limitations. (90/100) — Review coherence evidence at the next formal management gate.</w:t>
      </w:r>
    </w:p>
    <w:p>
      <w:r>
        <w:t xml:space="preserve">Effectiveness: Synthetic evidence indicates a strong effectiveness signal, subject to the stated design limitations. (91/100) — Review effectiveness evidence at the next formal management gate.</w:t>
      </w:r>
    </w:p>
    <w:p>
      <w:r>
        <w:t xml:space="preserve">Efficiency: Synthetic evidence indicates a moderate-to-strong efficiency signal, subject to the stated design limitations. (72/100) — Review efficiency evidence at the next formal management gate.</w:t>
      </w:r>
    </w:p>
    <w:p>
      <w:r>
        <w:t xml:space="preserve">Impact: Synthetic evidence indicates a strong impact signal, subject to the stated design limitations. (73/100) — Review impact evidence at the next formal management gate.</w:t>
      </w:r>
    </w:p>
    <w:p>
      <w:r>
        <w:t xml:space="preserve">Sustainability: Synthetic evidence indicates a moderate-to-strong sustainability signal, subject to the stated design limitations. (74/100) — Review sustainability evidence at the next formal management gate.</w:t>
      </w:r>
    </w:p>
    <w:p>
      <w:pPr>
        <w:pStyle w:val="Heading1"/>
      </w:pPr>
      <w:r>
        <w:t>Results-Based Management</w:t>
      </w:r>
    </w:p>
    <w:p>
      <w:r>
        <w:t xml:space="preserve">Impact: Sustained, equitable improvement in climate adaptation performance</w:t>
      </w:r>
    </w:p>
    <w:p>
      <w:r>
        <w:t xml:space="preserve">OC-01: Improved climate adaptation delivery and accountability — Indicators IND-01, IND-02</w:t>
      </w:r>
    </w:p>
    <w:p>
      <w:r>
        <w:t xml:space="preserve">OC-02: More equitable and durable outcomes — Indicators IND-03, IND-04</w:t>
      </w:r>
    </w:p>
    <w:p>
      <w:r>
        <w:t xml:space="preserve">OUT-01: Verified findings and interpreted decision products</w:t>
      </w:r>
    </w:p>
    <w:p>
      <w:r>
        <w:t xml:space="preserve">OUT-02: Assigned actions with monitoring indicators</w:t>
      </w:r>
    </w:p>
    <w:p>
      <w:pPr>
        <w:pStyle w:val="Heading1"/>
      </w:pPr>
      <w:r>
        <w:t>CHS Accountability Mapping</w:t>
      </w:r>
    </w:p>
    <w:p>
      <w:r>
        <w:t xml:space="preserve">Commitment 1: CHS Commitment 1 — CONTEXT_ONLY. Validate relevance and assign an accountable owner before live use.</w:t>
      </w:r>
    </w:p>
    <w:p>
      <w:r>
        <w:t xml:space="preserve">Commitment 2: CHS Commitment 2 — CONTEXT_ONLY. Validate relevance and assign an accountable owner before live use.</w:t>
      </w:r>
    </w:p>
    <w:p>
      <w:r>
        <w:t xml:space="preserve">Commitment 3: CHS Commitment 3 — CONTEXT_ONLY. Validate relevance and assign an accountable owner before live use.</w:t>
      </w:r>
    </w:p>
    <w:p>
      <w:r>
        <w:t xml:space="preserve">Commitment 4: CHS Commitment 4 — CONTEXT_ONLY. Validate relevance and assign an accountable owner before live use.</w:t>
      </w:r>
    </w:p>
    <w:p>
      <w:r>
        <w:t xml:space="preserve">Commitment 5: CHS Commitment 5 — CONTEXT_ONLY. Validate relevance and assign an accountable owner before live use.</w:t>
      </w:r>
    </w:p>
    <w:p>
      <w:r>
        <w:t xml:space="preserve">Commitment 6: CHS Commitment 6 — CONTEXT_ONLY. Validate relevance and assign an accountable owner before live use.</w:t>
      </w:r>
    </w:p>
    <w:p>
      <w:r>
        <w:t xml:space="preserve">Commitment 7: CHS Commitment 7 — CONTEXT_ONLY. Validate relevance and assign an accountable owner before live use.</w:t>
      </w:r>
    </w:p>
    <w:p>
      <w:r>
        <w:t xml:space="preserve">Commitment 8: CHS Commitment 8 — CONTEXT_ONLY. Validate relevance and assign an accountable owner before live use.</w:t>
      </w:r>
    </w:p>
    <w:p>
      <w:r>
        <w:t xml:space="preserve">Commitment 9: CHS Commitment 9 — CONTEXT_ONLY. Validate relevance and assign an accountable owner before live use.</w:t>
      </w:r>
    </w:p>
    <w:p>
      <w:pPr>
        <w:pStyle w:val="Heading1"/>
      </w:pPr>
      <w:r>
        <w:t>Evidence Register</w:t>
      </w:r>
    </w:p>
    <w:p>
      <w:r>
        <w:t xml:space="preserve">EVI-CLI-001 • survey • SYN-CLIM-0001 • APPROVED • 93%</w:t>
      </w:r>
    </w:p>
    <w:p>
      <w:r>
        <w:t xml:space="preserve">EVI-CLI-002 • key_informant_interview • SYN-CLIM-0002 • APPROVED • 94%</w:t>
      </w:r>
    </w:p>
    <w:p>
      <w:r>
        <w:t xml:space="preserve">EVI-CLI-003 • administrative_record • SYN-CLIM-0003 • APPROVED • 95%</w:t>
      </w:r>
    </w:p>
    <w:p>
      <w:r>
        <w:t xml:space="preserve">EVI-CLI-004 • survey • SYN-CLIM-0004 • APPROVED • 96%</w:t>
      </w:r>
    </w:p>
    <w:p>
      <w:r>
        <w:t xml:space="preserve">EVI-CLI-005 • key_informant_interview • SYN-CLIM-0005 • APPROVED • 97%</w:t>
      </w:r>
    </w:p>
    <w:p>
      <w:r>
        <w:t xml:space="preserve">EVI-CLI-006 • administrative_record • SYN-CLIM-0006 • APPROVED • 98%</w:t>
      </w:r>
    </w:p>
    <w:p>
      <w:r>
        <w:t xml:space="preserve">EVI-CLI-007 • survey • SYN-CLIM-0007 • APPROVED • 88%</w:t>
      </w:r>
    </w:p>
    <w:p>
      <w:r>
        <w:t xml:space="preserve">EVI-CLI-008 • key_informant_interview • SYN-CLIM-0008 • APPROVED • 89%</w:t>
      </w:r>
    </w:p>
    <w:p>
      <w:r>
        <w:t xml:space="preserve">EVI-CLI-009 • administrative_record • SYN-CLIM-0009 • APPROVED • 90%</w:t>
      </w:r>
    </w:p>
    <w:p>
      <w:r>
        <w:t xml:space="preserve">EVI-CLI-010 • survey • SYN-CLIM-0010 • APPROVED • 91%</w:t>
      </w:r>
    </w:p>
    <w:p>
      <w:pPr>
        <w:pStyle w:val="Heading1"/>
      </w:pPr>
      <w:r>
        <w:t>Data Dictionary</w:t>
      </w:r>
    </w:p>
    <w:p>
      <w:r>
        <w:t xml:space="preserve">indicator_1: Synthetic Climate Adaptation indicator 1; numeric; allowed: 0–100; missing: NA</w:t>
      </w:r>
    </w:p>
    <w:p>
      <w:r>
        <w:t xml:space="preserve">indicator_2: Synthetic Climate Adaptation indicator 2; categorical; allowed: Documented code list; missing: NA</w:t>
      </w:r>
    </w:p>
    <w:p>
      <w:r>
        <w:t xml:space="preserve">indicator_3: Synthetic Climate Adaptation indicator 3; categorical; allowed: Documented code list; missing: NA</w:t>
      </w:r>
    </w:p>
    <w:p>
      <w:r>
        <w:t xml:space="preserve">indicator_4: Synthetic Climate Adaptation indicator 4; numeric; allowed: 0–100; missing: NA</w:t>
      </w:r>
    </w:p>
    <w:p>
      <w:r>
        <w:t xml:space="preserve">indicator_5: Synthetic Climate Adaptation indicator 5; categorical; allowed: Documented code list; missing: NA</w:t>
      </w:r>
    </w:p>
    <w:p>
      <w:r>
        <w:t xml:space="preserve">indicator_6: Synthetic Climate Adaptation indicator 6; categorical; allowed: Documented code list; missing: NA</w:t>
      </w:r>
    </w:p>
    <w:p>
      <w:r>
        <w:t xml:space="preserve">indicator_7: Synthetic Climate Adaptation indicator 7; numeric; allowed: 0–100; missing: NA</w:t>
      </w:r>
    </w:p>
    <w:p>
      <w:r>
        <w:t xml:space="preserve">indicator_8: Synthetic Climate Adaptation indicator 8; categorical; allowed: Documented code list; missing: NA</w:t>
      </w:r>
    </w:p>
    <w:p>
      <w:r>
        <w:t xml:space="preserve">indicator_9: Synthetic Climate Adaptation indicator 9; categorical; allowed: Documented code list; missing: NA</w:t>
      </w:r>
    </w:p>
    <w:p>
      <w:r>
        <w:t xml:space="preserve">indicator_10: Synthetic Climate Adaptation indicator 10; numeric; allowed: 0–100; missing: NA</w:t>
      </w:r>
    </w:p>
    <w:p>
      <w:r>
        <w:t xml:space="preserve">indicator_11: Synthetic Climate Adaptation indicator 11; categorical; allowed: Documented code list; missing: NA</w:t>
      </w:r>
    </w:p>
    <w:p>
      <w:r>
        <w:t xml:space="preserve">indicator_12: Synthetic Climate Adaptation indicator 12; categorical; allowed: Documented code list; missing: NA</w:t>
      </w:r>
    </w:p>
    <w:p>
      <w:pPr>
        <w:pStyle w:val="Heading1"/>
      </w:pPr>
      <w:r>
        <w:t>Limitations &amp; Responsible Use</w:t>
      </w:r>
    </w:p>
    <w:p>
      <w:r>
        <w:t xml:space="preserve">All content is synthetic and must not be interpreted as official statistics</w:t>
      </w:r>
    </w:p>
    <w:p>
      <w:r>
        <w:t xml:space="preserve">Geographic references are illustrative</w:t>
      </w:r>
    </w:p>
    <w:p>
      <w:r>
        <w:t xml:space="preserve">Budget implications are directional and require formal costing</w:t>
      </w:r>
    </w:p>
    <w:p>
      <w:r>
        <w:t xml:space="preserve">Causal claims are not made without an appropriate design</w:t>
      </w:r>
    </w:p>
    <w:sectPr>
      <w:pgSz w:w="11906" w:h="16838"/>
      <w:pgMar w:top="1100" w:right="1100" w:bottom="1100" w:left="110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/>
      <w:sz w:val="22"/>
    </w:rPr>
  </w:style>
  <w:style w:type="paragraph" w:styleId="Heading1">
    <w:name w:val="heading 1"/>
    <w:basedOn w:val="Normal"/>
    <w:rPr>
      <w:b/>
      <w:color w:val="0B2E59"/>
      <w:sz w:val="32"/>
    </w:rPr>
  </w:style>
  <w:style w:type="paragraph" w:styleId="Heading2">
    <w:name w:val="heading 2"/>
    <w:basedOn w:val="Normal"/>
    <w:rPr>
      <w:b/>
      <w:color w:val="1C7ED6"/>
      <w:sz w:val="26"/>
    </w:rPr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/Relationships>
</file>