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Customer Experience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Tanzania has made real gains in customer experience performance — and real gaps remain alongside them. This publication separates the two, using a governed evidence model built to surface risk and opportunity, not just describe them. No claim in this publication stands alone: findings link to synthetic evidence, recommendations carry a named owner, and every statistic shares one internally consistent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Journey friction</w:t>
      </w:r>
    </w:p>
    <w:p>
      <w:r>
        <w:t xml:space="preserve">Journey friction has become an accountability question rather than a measurement question. Evidence from Dar es Salaam places the signal at 60% and shows that rural women experience the largest gap between policy intent and lived delivery. The choice facing customer experience leadership in Tanzania is straightforward even if the fix is not: act on journey friction now, concentrated in Dar es Salaam where rural women carry the largest share of the gap, or accept a wider gap in a year's time.</w:t>
      </w:r>
    </w:p>
    <w:p>
      <w:r>
        <w:t xml:space="preserve">Evidence: EVI-CUS-001, EVI-CUS-004 • Confidence 92.5%</w:t>
      </w:r>
    </w:p>
    <w:p>
      <w:pPr>
        <w:pStyle w:val="Heading2"/>
      </w:pPr>
      <w:r>
        <w:t>First-contact resolution</w:t>
      </w:r>
    </w:p>
    <w:p>
      <w:r>
        <w:t xml:space="preserve">61%. That is the first-contact resolution signal recorded in Northern Zone, and the headline figure understates the problem: disaggregated by group, young adults sit well below it. The clearest gap sits in Northern Zone, concentrated among young adults. A twelve-month delay would let the gap compound into a harder, costlier problem.</w:t>
      </w:r>
    </w:p>
    <w:p>
      <w:r>
        <w:t xml:space="preserve">Evidence: EVI-CUS-002, EVI-CUS-005 • Confidence 93.5%</w:t>
      </w:r>
    </w:p>
    <w:p>
      <w:pPr>
        <w:pStyle w:val="Heading2"/>
      </w:pPr>
      <w:r>
        <w:t>Trust and transparency</w:t>
      </w:r>
    </w:p>
    <w:p>
      <w:r>
        <w:t xml:space="preserve">The aggregate result conceals a material implementation divide. Lake Zone records a 62% signal for trust and transparency; the shortfall is concentrated among persons with disabilities, where service continuity and confidence move together. Of every study area examined in Tanzania, trust and transparency show up hardest there, and persons with disabilities feel it most. A year of inaction would turn a gap into a pattern that is far harder to reverse.</w:t>
      </w:r>
    </w:p>
    <w:p>
      <w:r>
        <w:t xml:space="preserve">Evidence: EVI-CUS-003, EVI-CUS-006 • Confidence 94.5%</w:t>
      </w:r>
    </w:p>
    <w:p>
      <w:pPr>
        <w:pStyle w:val="Heading2"/>
      </w:pPr>
      <w:r>
        <w:t>Vulnerable customer inclusion</w:t>
      </w:r>
    </w:p>
    <w:p>
      <w:r>
        <w:t xml:space="preserve">Two things are true at once about vulnerable customer inclusion. The national picture is improving, and Digital-only Customers — where frontline workers report a 63% signal — is not improving fast enough to close the gap. Customer experience performance in Tanzania looks stable in aggregate but splits sharply once vulnerable customer inclusion is disaggregated. Digital-only Customers anchors the low end, and frontline workers bear most of that shortfall — a pattern that risks compounding without intervention within the year.</w:t>
      </w:r>
    </w:p>
    <w:p>
      <w:r>
        <w:t xml:space="preserve">Evidence: EVI-CUS-004, EVI-CUS-007 • Confidence 95.5%</w:t>
      </w:r>
    </w:p>
    <w:p>
      <w:pPr>
        <w:pStyle w:val="Heading2"/>
      </w:pPr>
      <w:r>
        <w:t>Churn propensity</w:t>
      </w:r>
    </w:p>
    <w:p>
      <w:r>
        <w:t xml:space="preserve">The strategic opportunity lies in the variation, not the average. At 64%, Dar es Salaam's churn propensity signal shows where implementation can move quickly, while the experience of low-income households defines the safeguard that must accompany scale. The same gap that makes churn propensity a risk also makes it an opportunity: Dar es Salaam could close most of the distance to the rest of Tanzania within a year if action starts now, with the clearest gains reaching low-income households first.</w:t>
      </w:r>
    </w:p>
    <w:p>
      <w:r>
        <w:t xml:space="preserve">Evidence: EVI-CUS-005, EVI-CUS-008 • Confidence 96.5%</w:t>
      </w:r>
    </w:p>
    <w:p>
      <w:pPr>
        <w:pStyle w:val="Heading1"/>
      </w:pPr>
      <w:r>
        <w:t>Regional Intelligence</w:t>
      </w:r>
    </w:p>
    <w:p>
      <w:r>
        <w:t xml:space="preserve">Dar es Salaam: 68% • 509 responses • Risk WATCH</w:t>
      </w:r>
    </w:p>
    <w:p>
      <w:r>
        <w:t xml:space="preserve">Northern Zone: 69% • 441 responses • Risk WATCH</w:t>
      </w:r>
    </w:p>
    <w:p>
      <w:r>
        <w:t xml:space="preserve">Lake Zone: 70% • 376 responses • Risk STABLE</w:t>
      </w:r>
    </w:p>
    <w:p>
      <w:r>
        <w:t xml:space="preserve">Digital-only Customers: 71% • 310 responses • Risk STABLE</w:t>
      </w:r>
    </w:p>
    <w:p>
      <w:pPr>
        <w:pStyle w:val="Heading1"/>
      </w:pPr>
      <w:r>
        <w:t>Indicators and Target Gaps</w:t>
      </w:r>
    </w:p>
    <w:p>
      <w:r>
        <w:t xml:space="preserve">IND-01 Customer effort score: 66% vs 90% — OFF_TRACK</w:t>
      </w:r>
    </w:p>
    <w:p>
      <w:r>
        <w:t xml:space="preserve">IND-02 First-contact resolution: 67% vs 91% — OFF_TRACK</w:t>
      </w:r>
    </w:p>
    <w:p>
      <w:r>
        <w:t xml:space="preserve">IND-03 Trust index: 68% vs 92% — OFF_TRACK</w:t>
      </w:r>
    </w:p>
    <w:p>
      <w:r>
        <w:t xml:space="preserve">IND-04 Predicted retention rate: 69% vs 76% — WATCH</w:t>
      </w:r>
    </w:p>
    <w:p>
      <w:pPr>
        <w:pStyle w:val="Heading1"/>
      </w:pPr>
      <w:r>
        <w:t>Respondent Voice</w:t>
      </w:r>
    </w:p>
    <w:p>
      <w:r>
        <w:t xml:space="preserve">Dar es Salaam: “In Dar es Salaam, journey friction shapes whether rural women can turn services into lasting outcomes.”</w:t>
      </w:r>
    </w:p>
    <w:p>
      <w:r>
        <w:t xml:space="preserve">Northern Zone: “Young adults in Northern Zone put it plainly: first-contact resolution is what decides whether progress holds or slips back.”</w:t>
      </w:r>
    </w:p>
    <w:p>
      <w:r>
        <w:t xml:space="preserve">Lake Zone: “Why does Lake Zone lag behind? Ask persons with disabilities, and the answer comes back to trust and transparency.”</w:t>
      </w:r>
    </w:p>
    <w:p>
      <w:r>
        <w:t xml:space="preserve">Digital-only Customers: “Elsewhere, vulnerable customer inclusion might be a footnote. For frontline workers in Digital-only Customers, it is the whole story.”</w:t>
      </w:r>
    </w:p>
    <w:p>
      <w:r>
        <w:t xml:space="preserve">Dar es Salaam: “Low-income households in Dar es Salaam frame it simply: when churn propensity breaks down, everything else does too.”</w:t>
      </w:r>
    </w:p>
    <w:p>
      <w:r>
        <w:t xml:space="preserve">Northern Zone: “In Northern Zone, journey friction shapes whether service managers can turn services into lasting outcomes.”</w:t>
      </w:r>
    </w:p>
    <w:p>
      <w:r>
        <w:t xml:space="preserve">Lake Zone: “Community leaders in Lake Zone put it plainly: first-contact resolution is what decides whether progress holds or slips back.”</w:t>
      </w:r>
    </w:p>
    <w:p>
      <w:r>
        <w:t xml:space="preserve">Digital-only Customers: “Why does Digital-only Customers lag behind? Ask private-sector partners, and the answer comes back to trust and transparency.”</w:t>
      </w:r>
    </w:p>
    <w:p>
      <w:r>
        <w:t xml:space="preserve">Dar es Salaam: “Elsewhere, vulnerable customer inclusion might be a footnote. For rural women in Dar es Salaam, it is the whole story.”</w:t>
      </w:r>
    </w:p>
    <w:p>
      <w:r>
        <w:t xml:space="preserve">Northern Zone: “Young adults in Northern Zone frame it simply: when churn propensity breaks down, everything else does too.”</w:t>
      </w:r>
    </w:p>
    <w:p>
      <w:pPr>
        <w:pStyle w:val="Heading1"/>
      </w:pPr>
      <w:r>
        <w:t>Decision Intelligence</w:t>
      </w:r>
    </w:p>
    <w:p>
      <w:pPr>
        <w:pStyle w:val="Heading2"/>
      </w:pPr>
      <w:r>
        <w:t>DEC-CUS-01 CRITICAL</w:t>
      </w:r>
    </w:p>
    <w:p>
      <w:r>
        <w:t xml:space="preserve">Redesign the two highest-friction journeys.</w:t>
      </w:r>
    </w:p>
    <w:p>
      <w:r>
        <w:t xml:space="preserve">Owner: Country Director / Programme Executive • Timeline: 0–90 days • Budget: Medium to high — requires a dedicated budget line and phased release • Indicator: Proportion of agreed implementation steps verified on schedule for DEC-CUS-01</w:t>
      </w:r>
    </w:p>
    <w:p>
      <w:pPr>
        <w:pStyle w:val="Heading2"/>
      </w:pPr>
      <w:r>
        <w:t>DEC-CUS-02 CRITICAL</w:t>
      </w:r>
    </w:p>
    <w:p>
      <w:r>
        <w:t xml:space="preserve">Give frontline teams authority for first-contact recovery.</w:t>
      </w:r>
    </w:p>
    <w:p>
      <w:r>
        <w:t xml:space="preserve">Owner: Country Director / Programme Executive • Timeline: 3–12 months • Budget: High — full business case and multi-year funding commitment required • Indicator: Quarterly-verified progress against the milestones agreed for this critical-tier decision (DEC-CUS-02)</w:t>
      </w:r>
    </w:p>
    <w:p>
      <w:pPr>
        <w:pStyle w:val="Heading2"/>
      </w:pPr>
      <w:r>
        <w:t>DEC-CUS-03 HIGH</w:t>
      </w:r>
    </w:p>
    <w:p>
      <w:r>
        <w:t xml:space="preserve">Publish plain-language pricing and service explanations.</w:t>
      </w:r>
    </w:p>
    <w:p>
      <w:r>
        <w:t xml:space="preserve">Owner: Country Director / Programme Executive • Timeline: 3–12 months • Budget: Low — deliverable inside the current operating budget with light validation • Indicator: Number of agreed milestones for DEC-CUS-03 confirmed complete at each quarterly review</w:t>
      </w:r>
    </w:p>
    <w:p>
      <w:pPr>
        <w:pStyle w:val="Heading2"/>
      </w:pPr>
      <w:r>
        <w:t>DEC-CUS-04 HIGH</w:t>
      </w:r>
    </w:p>
    <w:p>
      <w:r>
        <w:t xml:space="preserve">Introduce assisted channels for vulnerable customers.</w:t>
      </w:r>
    </w:p>
    <w:p>
      <w:r>
        <w:t xml:space="preserve">Owner: Country Director / Programme Executive • Timeline: 3–12 months • Budget: Medium — likely fundable from existing lines, pending confirmation • Indicator: Percentage of agreed milestones completed for DEC-CUS-04</w:t>
      </w:r>
    </w:p>
    <w:p>
      <w:pPr>
        <w:pStyle w:val="Heading2"/>
      </w:pPr>
      <w:r>
        <w:t>DEC-CUS-05 MEDIUM</w:t>
      </w:r>
    </w:p>
    <w:p>
      <w:r>
        <w:t xml:space="preserve">Trigger retention interventions from governed churn signals.</w:t>
      </w:r>
    </w:p>
    <w:p>
      <w:r>
        <w:t xml:space="preserve">Owner: Country Director / Programme Executive • Timeline: 6–18 months • Budget: Low to medium — validate through the formal planning cycle • Indicator: Share of the medium-tier delivery plan confirmed complete each quarter (DEC-CUS-05)</w:t>
      </w:r>
    </w:p>
    <w:p>
      <w:pPr>
        <w:pStyle w:val="Heading1"/>
      </w:pPr>
      <w:r>
        <w:t>Methodology</w:t>
      </w:r>
    </w:p>
    <w:p>
      <w:r>
        <w:t xml:space="preserve">research objectives: ["Assess customer experience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Tanzania</w:t>
      </w:r>
    </w:p>
    <w:p>
      <w:r>
        <w:t xml:space="preserve">sample size: 1636</w:t>
      </w:r>
    </w:p>
    <w:p>
      <w:r>
        <w:t xml:space="preserve">stratification: ["Region","Location type","Sex","Age","Disability"]</w:t>
      </w:r>
    </w:p>
    <w:p>
      <w:r>
        <w:t xml:space="preserve">weights: Normalized post-stratification weights</w:t>
      </w:r>
    </w:p>
    <w:p>
      <w:r>
        <w:t xml:space="preserve">confidence intervals: 95%</w:t>
      </w:r>
    </w:p>
    <w:p>
      <w:r>
        <w:t xml:space="preserve">design effect: 1.6</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DEC-CUS-01</w:t>
      </w:r>
    </w:p>
    <w:p>
      <w:r>
        <w:t xml:space="preserve">Redesign the two highest-friction journeys.</w:t>
      </w:r>
    </w:p>
    <w:p>
      <w:r>
        <w:t xml:space="preserve">Owner: Country Director / Programme Executive • Window: 0–90 days • Cost: Medium to high — requires a dedicated budget line and phased release • Indicator: Proportion of agreed implementation steps verified on schedule for DEC-CUS-01</w:t>
      </w:r>
    </w:p>
    <w:p>
      <w:pPr>
        <w:pStyle w:val="Heading2"/>
      </w:pPr>
      <w:r>
        <w:t>DEC-CUS-02</w:t>
      </w:r>
    </w:p>
    <w:p>
      <w:r>
        <w:t xml:space="preserve">Give frontline teams authority for first-contact recovery.</w:t>
      </w:r>
    </w:p>
    <w:p>
      <w:r>
        <w:t xml:space="preserve">Owner: Country Director / Programme Executive • Window: 3–12 months • Cost: High — full business case and multi-year funding commitment required • Indicator: Quarterly-verified progress against the milestones agreed for this critical-tier decision (DEC-CUS-02)</w:t>
      </w:r>
    </w:p>
    <w:p>
      <w:pPr>
        <w:pStyle w:val="Heading2"/>
      </w:pPr>
      <w:r>
        <w:t>DEC-CUS-03</w:t>
      </w:r>
    </w:p>
    <w:p>
      <w:r>
        <w:t xml:space="preserve">Publish plain-language pricing and service explanations.</w:t>
      </w:r>
    </w:p>
    <w:p>
      <w:r>
        <w:t xml:space="preserve">Owner: Country Director / Programme Executive • Window: 3–12 months • Cost: Low — deliverable inside the current operating budget with light validation • Indicator: Number of agreed milestones for DEC-CUS-03 confirmed complete at each quarterly review</w:t>
      </w:r>
    </w:p>
    <w:p>
      <w:pPr>
        <w:pStyle w:val="Heading2"/>
      </w:pPr>
      <w:r>
        <w:t>DEC-CUS-04</w:t>
      </w:r>
    </w:p>
    <w:p>
      <w:r>
        <w:t xml:space="preserve">Introduce assisted channels for vulnerable customers.</w:t>
      </w:r>
    </w:p>
    <w:p>
      <w:r>
        <w:t xml:space="preserve">Owner: Country Director / Programme Executive • Window: 3–12 months • Cost: Medium — likely fundable from existing lines, pending confirmation • Indicator: Percentage of agreed milestones completed for DEC-CUS-04</w:t>
      </w:r>
    </w:p>
    <w:p>
      <w:pPr>
        <w:pStyle w:val="Heading2"/>
      </w:pPr>
      <w:r>
        <w:t>DEC-CUS-05</w:t>
      </w:r>
    </w:p>
    <w:p>
      <w:r>
        <w:t xml:space="preserve">Trigger retention interventions from governed churn signals.</w:t>
      </w:r>
    </w:p>
    <w:p>
      <w:r>
        <w:t xml:space="preserve">Owner: Country Director / Programme Executive • Window: 6–18 months • Cost: Low to medium — validate through the formal planning cycle • Indicator: Share of the medium-tier delivery plan confirmed complete each quarter (DEC-CUS-05)</w:t>
      </w:r>
    </w:p>
    <w:p>
      <w:pPr>
        <w:pStyle w:val="Heading1"/>
      </w:pPr>
      <w:r>
        <w:t>Evidence Lineage &amp; Citation Registry</w:t>
      </w:r>
    </w:p>
    <w:p>
      <w:r>
        <w:t xml:space="preserve">EVI-CUS-001: [object Object] • APPROVED_SYNTHETIC_DEMONSTRATION • 91%</w:t>
      </w:r>
    </w:p>
    <w:p>
      <w:r>
        <w:t xml:space="preserve">EVI-CUS-002: [object Object] • APPROVED_SYNTHETIC_DEMONSTRATION • 92%</w:t>
      </w:r>
    </w:p>
    <w:p>
      <w:r>
        <w:t xml:space="preserve">EVI-CUS-003: [object Object] • APPROVED_SYNTHETIC_DEMONSTRATION • 93%</w:t>
      </w:r>
    </w:p>
    <w:p>
      <w:r>
        <w:t xml:space="preserve">EVI-CUS-004: [object Object] • APPROVED_SYNTHETIC_DEMONSTRATION • 94%</w:t>
      </w:r>
    </w:p>
    <w:p>
      <w:r>
        <w:t xml:space="preserve">EVI-CUS-005: [object Object] • APPROVED_SYNTHETIC_DEMONSTRATION • 95%</w:t>
      </w:r>
    </w:p>
    <w:p>
      <w:r>
        <w:t xml:space="preserve">EVI-CUS-006: [object Object] • APPROVED_SYNTHETIC_DEMONSTRATION • 96%</w:t>
      </w:r>
    </w:p>
    <w:p>
      <w:r>
        <w:t xml:space="preserve">EVI-CUS-007: [object Object] • APPROVED_SYNTHETIC_DEMONSTRATION • 97%</w:t>
      </w:r>
    </w:p>
    <w:p>
      <w:r>
        <w:t xml:space="preserve">EVI-CUS-008: [object Object] • APPROVED_SYNTHETIC_DEMONSTRATION • 98%</w:t>
      </w:r>
    </w:p>
    <w:p>
      <w:r>
        <w:t xml:space="preserve">EVI-CUS-009: [object Object] • APPROVED_SYNTHETIC_DEMONSTRATION • 88%</w:t>
      </w:r>
    </w:p>
    <w:p>
      <w:r>
        <w:t xml:space="preserve">EVI-CUS-010: [object Object] • APPROVED_SYNTHETIC_DEMONSTRATION • 89%</w:t>
      </w:r>
    </w:p>
    <w:p>
      <w:r>
        <w:t xml:space="preserve">CIT-EVI-CUS-001: VoiceInsights Africa. Customer Experience Intelligence Report. synthetic-customer-experience-intelligence-2026.1, EVI-CUS-001, Q1: How does journey friction affect customer experience outcomes in Dar es Salaam?</w:t>
      </w:r>
    </w:p>
    <w:p>
      <w:r>
        <w:t xml:space="preserve">CIT-EVI-CUS-002: VoiceInsights Africa. Customer Experience Intelligence Report. synthetic-customer-experience-intelligence-2026.1, EVI-CUS-002, Q2: How does first-contact resolution affect customer experience outcomes in Northern Zone?</w:t>
      </w:r>
    </w:p>
    <w:p>
      <w:r>
        <w:t xml:space="preserve">CIT-EVI-CUS-003: VoiceInsights Africa. Customer Experience Intelligence Report. synthetic-customer-experience-intelligence-2026.1, EVI-CUS-003, Q3: How does trust and transparency affect customer experience outcomes in Lake Zone?</w:t>
      </w:r>
    </w:p>
    <w:p>
      <w:r>
        <w:t xml:space="preserve">CIT-EVI-CUS-004: VoiceInsights Africa. Customer Experience Intelligence Report. synthetic-customer-experience-intelligence-2026.1, EVI-CUS-004, Q4: How does vulnerable customer inclusion affect customer experience outcomes in Digital-only Customers?</w:t>
      </w:r>
    </w:p>
    <w:p>
      <w:r>
        <w:t xml:space="preserve">CIT-EVI-CUS-005: VoiceInsights Africa. Customer Experience Intelligence Report. synthetic-customer-experience-intelligence-2026.1, EVI-CUS-005, Q5: How does churn propensity affect customer experience outcomes in Dar es Salaam?</w:t>
      </w:r>
    </w:p>
    <w:p>
      <w:r>
        <w:t xml:space="preserve">CIT-EVI-CUS-006: VoiceInsights Africa. Customer Experience Intelligence Report. synthetic-customer-experience-intelligence-2026.1, EVI-CUS-006, Q6: How does journey friction affect customer experience outcomes in Northern Zone?</w:t>
      </w:r>
    </w:p>
    <w:p>
      <w:r>
        <w:t xml:space="preserve">CIT-EVI-CUS-007: VoiceInsights Africa. Customer Experience Intelligence Report. synthetic-customer-experience-intelligence-2026.1, EVI-CUS-007, Q7: How does first-contact resolution affect customer experience outcomes in Lake Zone?</w:t>
      </w:r>
    </w:p>
    <w:p>
      <w:r>
        <w:t xml:space="preserve">CIT-EVI-CUS-008: VoiceInsights Africa. Customer Experience Intelligence Report. synthetic-customer-experience-intelligence-2026.1, EVI-CUS-008, Q8: How does trust and transparency affect customer experience outcomes in Digital-only Customers?</w:t>
      </w:r>
    </w:p>
    <w:p>
      <w:r>
        <w:t xml:space="preserve">CIT-EVI-CUS-009: VoiceInsights Africa. Customer Experience Intelligence Report. synthetic-customer-experience-intelligence-2026.1, EVI-CUS-009, Q9: How does vulnerable customer inclusion affect customer experience outcomes in Dar es Salaam?</w:t>
      </w:r>
    </w:p>
    <w:p>
      <w:r>
        <w:t xml:space="preserve">CIT-EVI-CUS-010: VoiceInsights Africa. Customer Experience Intelligence Report. synthetic-customer-experience-intelligence-2026.1, EVI-CUS-010, Q10: How does churn propensity affect customer experience outcomes in Northern Zone?</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Data Protection: APPLIED_WHERE_RELEVANT — Mapped to EVI-CUS-001, EVI-CUS-002; Synthetic demonstration mapping; institutional validation not implied</w:t>
      </w:r>
    </w:p>
    <w:p>
      <w:r>
        <w:t xml:space="preserve">Privacy Controls: APPLIED_WHERE_RELEVANT — Mapped to EVI-CUS-002, EVI-CUS-003; Synthetic demonstration mapping; institutional validation not implied</w:t>
      </w:r>
    </w:p>
    <w:p>
      <w:r>
        <w:t xml:space="preserve">Disability Inclusion: APPLIED_WHERE_RELEVANT — Mapped to EVI-CUS-003, EVI-CUS-004; Synthetic demonstration mapping; institutional validation not implied</w:t>
      </w:r>
    </w:p>
    <w:p>
      <w:r>
        <w:t xml:space="preserve">Evidence Traceability: APPLIED — Control linked to EVI-CUS-001 and the deterministic publication gate.</w:t>
      </w:r>
    </w:p>
    <w:p>
      <w:r>
        <w:t xml:space="preserve">Research Ethics: APPLIED — Control linked to EVI-CUS-002 and the deterministic publication gate.</w:t>
      </w:r>
    </w:p>
    <w:p>
      <w:r>
        <w:t xml:space="preserve">Data Protection: APPLIED — Control linked to EVI-CUS-003 and the deterministic publication gate.</w:t>
      </w:r>
    </w:p>
    <w:p>
      <w:r>
        <w:t xml:space="preserve">Accessibility: APPLIED — Control linked to EVI-CUS-004 and the deterministic publication gate.</w:t>
      </w:r>
    </w:p>
    <w:p>
      <w:r>
        <w:t xml:space="preserve">Responsible AI: APPLIED — Control linked to EVI-CUS-005 and the deterministic publication gate.</w:t>
      </w:r>
    </w:p>
    <w:p>
      <w:r>
        <w:t xml:space="preserve">Publication Integrity: APPLIED — Control linked to EVI-CUS-006 and the deterministic publication gate.</w:t>
      </w:r>
    </w:p>
    <w:p>
      <w:pPr>
        <w:pStyle w:val="Heading1"/>
      </w:pPr>
      <w:r>
        <w:t>SDG Contribution</w:t>
      </w:r>
    </w:p>
    <w:p>
      <w:r>
        <w:t xml:space="preserve">SDG 8: undefined — Indicators —</w:t>
      </w:r>
    </w:p>
    <w:p>
      <w:r>
        <w:t xml:space="preserve">SDG 9: undefined — Indicators —</w:t>
      </w:r>
    </w:p>
    <w:p>
      <w:r>
        <w:t xml:space="preserve">SDG 10: undefined — Indicators —</w:t>
      </w:r>
    </w:p>
    <w:p>
      <w:pPr>
        <w:pStyle w:val="Heading1"/>
      </w:pPr>
      <w:r>
        <w:t>OECD-DAC Evaluation Criteria</w:t>
      </w:r>
    </w:p>
    <w:p>
      <w:r>
        <w:t xml:space="preserve">Relevance: Synthetic evidence indicates a strong relevance signal, subject to the stated design limitations. (87/100) — Review relevance evidence at the next formal management gate.</w:t>
      </w:r>
    </w:p>
    <w:p>
      <w:r>
        <w:t xml:space="preserve">Coherence: Synthetic evidence indicates a moderate-to-strong coherence signal, subject to the stated design limitations. (88/100) — Review coherence evidence at the next formal management gate.</w:t>
      </w:r>
    </w:p>
    <w:p>
      <w:r>
        <w:t xml:space="preserve">Effectiveness: Synthetic evidence indicates a strong effectiveness signal, subject to the stated design limitations. (89/100) — Review effectiveness evidence at the next formal management gate.</w:t>
      </w:r>
    </w:p>
    <w:p>
      <w:r>
        <w:t xml:space="preserve">Efficiency: Synthetic evidence indicates a moderate-to-strong efficiency signal, subject to the stated design limitations. (90/100) — Review efficiency evidence at the next formal management gate.</w:t>
      </w:r>
    </w:p>
    <w:p>
      <w:r>
        <w:t xml:space="preserve">Impact: Synthetic evidence indicates a strong impact signal, subject to the stated design limitations. (91/100) — Review impact evidence at the next formal management gate.</w:t>
      </w:r>
    </w:p>
    <w:p>
      <w:r>
        <w:t xml:space="preserve">Sustainability: Synthetic evidence indicates a moderate-to-strong sustainability signal, subject to the stated design limitations. (72/100) — Review sustainability evidence at the next formal management gate.</w:t>
      </w:r>
    </w:p>
    <w:p>
      <w:pPr>
        <w:pStyle w:val="Heading1"/>
      </w:pPr>
      <w:r>
        <w:t>Results-Based Management</w:t>
      </w:r>
    </w:p>
    <w:p>
      <w:r>
        <w:t xml:space="preserve">Impact: Sustained, equitable improvement in customer experience performance</w:t>
      </w:r>
    </w:p>
    <w:p>
      <w:r>
        <w:t xml:space="preserve">OC-01: Improved customer experience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EVI-CUS-001 • survey • SYN-CUST-0001 • APPROVED • 91%</w:t>
      </w:r>
    </w:p>
    <w:p>
      <w:r>
        <w:t xml:space="preserve">EVI-CUS-002 • key_informant_interview • SYN-CUST-0002 • APPROVED • 92%</w:t>
      </w:r>
    </w:p>
    <w:p>
      <w:r>
        <w:t xml:space="preserve">EVI-CUS-003 • administrative_record • SYN-CUST-0003 • APPROVED • 93%</w:t>
      </w:r>
    </w:p>
    <w:p>
      <w:r>
        <w:t xml:space="preserve">EVI-CUS-004 • survey • SYN-CUST-0004 • APPROVED • 94%</w:t>
      </w:r>
    </w:p>
    <w:p>
      <w:r>
        <w:t xml:space="preserve">EVI-CUS-005 • key_informant_interview • SYN-CUST-0005 • APPROVED • 95%</w:t>
      </w:r>
    </w:p>
    <w:p>
      <w:r>
        <w:t xml:space="preserve">EVI-CUS-006 • administrative_record • SYN-CUST-0006 • APPROVED • 96%</w:t>
      </w:r>
    </w:p>
    <w:p>
      <w:r>
        <w:t xml:space="preserve">EVI-CUS-007 • survey • SYN-CUST-0007 • APPROVED • 97%</w:t>
      </w:r>
    </w:p>
    <w:p>
      <w:r>
        <w:t xml:space="preserve">EVI-CUS-008 • key_informant_interview • SYN-CUST-0008 • APPROVED • 98%</w:t>
      </w:r>
    </w:p>
    <w:p>
      <w:r>
        <w:t xml:space="preserve">EVI-CUS-009 • administrative_record • SYN-CUST-0009 • APPROVED • 88%</w:t>
      </w:r>
    </w:p>
    <w:p>
      <w:r>
        <w:t xml:space="preserve">EVI-CUS-010 • survey • SYN-CUST-0010 • APPROVED • 89%</w:t>
      </w:r>
    </w:p>
    <w:p>
      <w:pPr>
        <w:pStyle w:val="Heading1"/>
      </w:pPr>
      <w:r>
        <w:t>Data Dictionary</w:t>
      </w:r>
    </w:p>
    <w:p>
      <w:r>
        <w:t xml:space="preserve">indicator_1: Synthetic Customer Experience indicator 1; numeric; allowed: 0–100; missing: NA</w:t>
      </w:r>
    </w:p>
    <w:p>
      <w:r>
        <w:t xml:space="preserve">indicator_2: Synthetic Customer Experience indicator 2; categorical; allowed: Documented code list; missing: NA</w:t>
      </w:r>
    </w:p>
    <w:p>
      <w:r>
        <w:t xml:space="preserve">indicator_3: Synthetic Customer Experience indicator 3; categorical; allowed: Documented code list; missing: NA</w:t>
      </w:r>
    </w:p>
    <w:p>
      <w:r>
        <w:t xml:space="preserve">indicator_4: Synthetic Customer Experience indicator 4; numeric; allowed: 0–100; missing: NA</w:t>
      </w:r>
    </w:p>
    <w:p>
      <w:r>
        <w:t xml:space="preserve">indicator_5: Synthetic Customer Experience indicator 5; categorical; allowed: Documented code list; missing: NA</w:t>
      </w:r>
    </w:p>
    <w:p>
      <w:r>
        <w:t xml:space="preserve">indicator_6: Synthetic Customer Experience indicator 6; categorical; allowed: Documented code list; missing: NA</w:t>
      </w:r>
    </w:p>
    <w:p>
      <w:r>
        <w:t xml:space="preserve">indicator_7: Synthetic Customer Experience indicator 7; numeric; allowed: 0–100; missing: NA</w:t>
      </w:r>
    </w:p>
    <w:p>
      <w:r>
        <w:t xml:space="preserve">indicator_8: Synthetic Customer Experience indicator 8; categorical; allowed: Documented code list; missing: NA</w:t>
      </w:r>
    </w:p>
    <w:p>
      <w:r>
        <w:t xml:space="preserve">indicator_9: Synthetic Customer Experience indicator 9; categorical; allowed: Documented code list; missing: NA</w:t>
      </w:r>
    </w:p>
    <w:p>
      <w:r>
        <w:t xml:space="preserve">indicator_10: Synthetic Customer Experience indicator 10; numeric; allowed: 0–100; missing: NA</w:t>
      </w:r>
    </w:p>
    <w:p>
      <w:r>
        <w:t xml:space="preserve">indicator_11: Synthetic Customer Experience indicator 11; categorical; allowed: Documented code list; missing: NA</w:t>
      </w:r>
    </w:p>
    <w:p>
      <w:r>
        <w:t xml:space="preserve">indicator_12: Synthetic Customer Experience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