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/>
      </w:pPr>
      <w:r>
        <w:rPr>
          <w:b/>
          <w:sz w:val="42"/>
        </w:rPr>
        <w:t>Digital Government Services Intelligence Report</w:t>
      </w:r>
    </w:p>
    <w:p>
      <w:r>
        <w:t xml:space="preserve">VoiceInsights Africa — Full Synthetic Demonstration Publication</w:t>
      </w:r>
    </w:p>
    <w:p>
      <w:r>
        <w:t xml:space="preserve">Synthetic Demonstration Publication produced by VoiceInsights Africa. All people, quotations, locations and statistics are synthetic, internally governed demonstration content and are not official statistics.</w:t>
      </w:r>
    </w:p>
    <w:p>
      <w:pPr>
        <w:pStyle w:val="Heading1"/>
      </w:pPr>
      <w:r>
        <w:t>Executive Intelligence</w:t>
      </w:r>
    </w:p>
    <w:p>
      <w:r>
        <w:t xml:space="preserve">Rwanda has made real gains in digital government services performance — and real gaps remain alongside them. This publication separates the two, using a governed evidence model built to surface risk and opportunity, not just describe them. No claim in this publication stands alone: findings link to synthetic evidence, recommendations carry a named owner, and every statistic shares one internally consistent dataset.</w:t>
      </w:r>
    </w:p>
    <w:p>
      <w:pPr>
        <w:pStyle w:val="Heading1"/>
      </w:pPr>
      <w:r>
        <w:t>Table of Contents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pPr>
        <w:pStyle w:val="Heading1"/>
      </w:pPr>
      <w:r>
        <w:t>Critical Findings</w:t>
      </w:r>
    </w:p>
    <w:p>
      <w:pPr>
        <w:pStyle w:val="Heading2"/>
      </w:pPr>
      <w:r>
        <w:t>Citizen digital-service adoption gaps</w:t>
      </w:r>
    </w:p>
    <w:p>
      <w:r>
        <w:t xml:space="preserve">Two things are true at once about citizen digital-service adoption gaps. The national picture is improving, and Kigali City — where rural women report a 82% signal — is not improving fast enough to close the gap. Digital government services performance in Rwanda looks stable in aggregate but splits sharply once citizen digital-service adoption gaps are disaggregated. Kigali City anchors the low end, and rural women bear most of that shortfall — a pattern that risks compounding without intervention within the year.</w:t>
      </w:r>
    </w:p>
    <w:p>
      <w:r>
        <w:t xml:space="preserve">Evidence: EVI-DIG-001, EVI-DIG-004 • Confidence 89.5%</w:t>
      </w:r>
    </w:p>
    <w:p>
      <w:pPr>
        <w:pStyle w:val="Heading2"/>
      </w:pPr>
      <w:r>
        <w:t>Service-trust barriers</w:t>
      </w:r>
    </w:p>
    <w:p>
      <w:r>
        <w:t xml:space="preserve">The strategic opportunity lies in the variation, not the average. At 83%, Northern Province's service-trust barriers signal shows where implementation can move quickly, while the experience of young adults defines the safeguard that must accompany scale. The same gap that makes service-trust barriers a risk also makes it an opportunity: Northern Province could close most of the distance to the rest of Rwanda within a year if action starts now, with the clearest gains reaching young adults first.</w:t>
      </w:r>
    </w:p>
    <w:p>
      <w:r>
        <w:t xml:space="preserve">Evidence: EVI-DIG-002, EVI-DIG-005 • Confidence 90.5%</w:t>
      </w:r>
    </w:p>
    <w:p>
      <w:pPr>
        <w:pStyle w:val="Heading2"/>
      </w:pPr>
      <w:r>
        <w:t>Digital-literacy access constraints</w:t>
      </w:r>
    </w:p>
    <w:p>
      <w:r>
        <w:t xml:space="preserve">What would it take to fix digital-literacy access constraints? Start with Southern Province, where the signal sits at 84% and persons with disabilities carry most of the shortfall. The honest answer is sustained attention, not a single intervention. Southern Province shows the sharpest divide, where persons with disabilities carry the largest share of the gap. Left unaddressed for a year, the imbalance is likely to erode equity, delivery confidence and the durability of results.</w:t>
      </w:r>
    </w:p>
    <w:p>
      <w:r>
        <w:t xml:space="preserve">Evidence: EVI-DIG-003, EVI-DIG-006 • Confidence 91.5%</w:t>
      </w:r>
    </w:p>
    <w:p>
      <w:pPr>
        <w:pStyle w:val="Heading2"/>
      </w:pPr>
      <w:r>
        <w:t>In-person fallback dependency</w:t>
      </w:r>
    </w:p>
    <w:p>
      <w:r>
        <w:t xml:space="preserve">In-person fallback dependency is not a marginal delivery issue. In Eastern Province, the governed evidence indicates a 85% performance signal, with frontline workers carrying the most consequential constraint. Left unaddressed, in-person fallback dependency becomes a structural risk to digital government services delivery in Rwanda, not a temporary dip. Eastern Province is furthest exposed, and frontline workers would carry the earliest and heaviest consequences of a further year's delay.</w:t>
      </w:r>
    </w:p>
    <w:p>
      <w:r>
        <w:t xml:space="preserve">Evidence: EVI-DIG-004, EVI-DIG-007 • Confidence 92.5%</w:t>
      </w:r>
    </w:p>
    <w:p>
      <w:pPr>
        <w:pStyle w:val="Heading2"/>
      </w:pPr>
      <w:r>
        <w:t>Cross-agency service integration</w:t>
      </w:r>
    </w:p>
    <w:p>
      <w:r>
        <w:t xml:space="preserve">Low-income households in Kigali City are living the consequence of cross-agency service integration, not simply reporting it. Their 86% signal is the clearest evidence leadership has that current measures fall short. Digital government services performance in Rwanda looks stable in aggregate but splits sharply once cross-agency service integration is disaggregated. Kigali City anchors the low end, and low-income households bear most of that shortfall — a pattern that risks compounding without intervention within the year.</w:t>
      </w:r>
    </w:p>
    <w:p>
      <w:r>
        <w:t xml:space="preserve">Evidence: EVI-DIG-005, EVI-DIG-008 • Confidence 93.5%</w:t>
      </w:r>
    </w:p>
    <w:p>
      <w:pPr>
        <w:pStyle w:val="Heading1"/>
      </w:pPr>
      <w:r>
        <w:t>Regional Intelligence</w:t>
      </w:r>
    </w:p>
    <w:p>
      <w:r>
        <w:t xml:space="preserve">Kigali City: 72% • 1319 responses • Risk STABLE</w:t>
      </w:r>
    </w:p>
    <w:p>
      <w:r>
        <w:t xml:space="preserve">Northern Province: 73% • 1146 responses • Risk STABLE</w:t>
      </w:r>
    </w:p>
    <w:p>
      <w:r>
        <w:t xml:space="preserve">Southern Province: 74% • 976 responses • Risk STABLE</w:t>
      </w:r>
    </w:p>
    <w:p>
      <w:r>
        <w:t xml:space="preserve">Eastern Province: 75% • 806 responses • Risk STABLE</w:t>
      </w:r>
    </w:p>
    <w:p>
      <w:pPr>
        <w:pStyle w:val="Heading1"/>
      </w:pPr>
      <w:r>
        <w:t>Indicators and Target Gaps</w:t>
      </w:r>
    </w:p>
    <w:p>
      <w:r>
        <w:t xml:space="preserve">IND-01 Digital service adoption rate: 76% vs 83% — WATCH</w:t>
      </w:r>
    </w:p>
    <w:p>
      <w:r>
        <w:t xml:space="preserve">IND-02 Citizen trust index: 77% vs 84% — WATCH</w:t>
      </w:r>
    </w:p>
    <w:p>
      <w:r>
        <w:t xml:space="preserve">IND-03 Digital-literacy access rate: 78% vs 85% — WATCH</w:t>
      </w:r>
    </w:p>
    <w:p>
      <w:r>
        <w:t xml:space="preserve">IND-04 Manual channel fallback rate: 79% vs 86% — WATCH</w:t>
      </w:r>
    </w:p>
    <w:p>
      <w:pPr>
        <w:pStyle w:val="Heading1"/>
      </w:pPr>
      <w:r>
        <w:t>Respondent Voice</w:t>
      </w:r>
    </w:p>
    <w:p>
      <w:r>
        <w:t xml:space="preserve">Kigali City: “Rural women in Kigali City frame it simply: when citizen digital-service adoption gaps breaks down, everything else does too.”</w:t>
      </w:r>
    </w:p>
    <w:p>
      <w:r>
        <w:t xml:space="preserve">Northern Province: “In Northern Province, service-trust barriers shapes whether young adults can turn services into lasting outcomes.”</w:t>
      </w:r>
    </w:p>
    <w:p>
      <w:r>
        <w:t xml:space="preserve">Southern Province: “Persons with disabilities in Southern Province put it plainly: digital-literacy access constraints is what decides whether progress holds or slips back.”</w:t>
      </w:r>
    </w:p>
    <w:p>
      <w:r>
        <w:t xml:space="preserve">Eastern Province: “Why does Eastern Province lag behind? Ask frontline workers, and the answer comes back to in-person fallback dependency.”</w:t>
      </w:r>
    </w:p>
    <w:p>
      <w:r>
        <w:t xml:space="preserve">Kigali City: “Elsewhere, cross-agency service integration might be a footnote. For low-income households in Kigali City, it is the whole story.”</w:t>
      </w:r>
    </w:p>
    <w:p>
      <w:r>
        <w:t xml:space="preserve">Northern Province: “Service managers in Northern Province frame it simply: when citizen digital-service adoption gaps breaks down, everything else does too.”</w:t>
      </w:r>
    </w:p>
    <w:p>
      <w:r>
        <w:t xml:space="preserve">Southern Province: “In Southern Province, service-trust barriers shapes whether community leaders can turn services into lasting outcomes.”</w:t>
      </w:r>
    </w:p>
    <w:p>
      <w:r>
        <w:t xml:space="preserve">Eastern Province: “Private-sector partners in Eastern Province put it plainly: digital-literacy access constraints is what decides whether progress holds or slips back.”</w:t>
      </w:r>
    </w:p>
    <w:p>
      <w:r>
        <w:t xml:space="preserve">Kigali City: “Why does Kigali City lag behind? Ask rural women, and the answer comes back to in-person fallback dependency.”</w:t>
      </w:r>
    </w:p>
    <w:p>
      <w:r>
        <w:t xml:space="preserve">Northern Province: “Elsewhere, cross-agency service integration might be a footnote. For young adults in Northern Province, it is the whole story.”</w:t>
      </w:r>
    </w:p>
    <w:p>
      <w:pPr>
        <w:pStyle w:val="Heading1"/>
      </w:pPr>
      <w:r>
        <w:t>Decision Intelligence</w:t>
      </w:r>
    </w:p>
    <w:p>
      <w:pPr>
        <w:pStyle w:val="Heading2"/>
      </w:pPr>
      <w:r>
        <w:t>DEC-DIG-01 HIGH</w:t>
      </w:r>
    </w:p>
    <w:p>
      <w:r>
        <w:t xml:space="preserve">Prioritise the digital service with the sharpest adoption-and-trust gap for redesign investment.</w:t>
      </w:r>
    </w:p>
    <w:p>
      <w:r>
        <w:t xml:space="preserve">Owner: Permanent Secretary • Timeline: 3–12 months • Budget: Low to medium — validate through the formal planning cycle • Indicator: Proportion of agreed implementation steps verified on schedule for DEC-DIG-01</w:t>
      </w:r>
    </w:p>
    <w:p>
      <w:pPr>
        <w:pStyle w:val="Heading2"/>
      </w:pPr>
      <w:r>
        <w:t>DEC-DIG-02 MEDIUM</w:t>
      </w:r>
    </w:p>
    <w:p>
      <w:r>
        <w:t xml:space="preserve">Close digital-literacy access constraints in the lowest-adoption districts.</w:t>
      </w:r>
    </w:p>
    <w:p>
      <w:r>
        <w:t xml:space="preserve">Owner: Permanent Secretary • Timeline: 6–18 months • Budget: Low — absorbable within existing allocations, subject to confirmation • Indicator: Quarterly-verified progress against the milestones agreed for this medium-tier decision (DEC-DIG-02)</w:t>
      </w:r>
    </w:p>
    <w:p>
      <w:pPr>
        <w:pStyle w:val="Heading2"/>
      </w:pPr>
      <w:r>
        <w:t>DEC-DIG-03 CRITICAL</w:t>
      </w:r>
    </w:p>
    <w:p>
      <w:r>
        <w:t xml:space="preserve">Reduce in-person fallback dependency through targeted outreach.</w:t>
      </w:r>
    </w:p>
    <w:p>
      <w:r>
        <w:t xml:space="preserve">Owner: Permanent Secretary • Timeline: 0–90 days • Budget: Medium — detailed costing and fiduciary review required • Indicator: Number of agreed milestones for DEC-DIG-03 confirmed complete at each quarterly review</w:t>
      </w:r>
    </w:p>
    <w:p>
      <w:pPr>
        <w:pStyle w:val="Heading2"/>
      </w:pPr>
      <w:r>
        <w:t>DEC-DIG-04 CRITICAL</w:t>
      </w:r>
    </w:p>
    <w:p>
      <w:r>
        <w:t xml:space="preserve">Strengthen cross-agency service integration for the highest-friction citizen journeys.</w:t>
      </w:r>
    </w:p>
    <w:p>
      <w:r>
        <w:t xml:space="preserve">Owner: Permanent Secretary • Timeline: 3–12 months • Budget: Medium to high — requires a dedicated budget line and phased release • Indicator: Percentage of agreed milestones completed for DEC-DIG-04</w:t>
      </w:r>
    </w:p>
    <w:p>
      <w:pPr>
        <w:pStyle w:val="Heading2"/>
      </w:pPr>
      <w:r>
        <w:t>DEC-DIG-05 HIGH</w:t>
      </w:r>
    </w:p>
    <w:p>
      <w:r>
        <w:t xml:space="preserve">Publish a citizen-trust and service-reliability dashboard.</w:t>
      </w:r>
    </w:p>
    <w:p>
      <w:r>
        <w:t xml:space="preserve">Owner: Permanent Secretary • Timeline: 3–12 months • Budget: Low to medium — validate through the formal planning cycle • Indicator: Share of the high-tier delivery plan confirmed complete each quarter (DEC-DIG-05)</w:t>
      </w:r>
    </w:p>
    <w:p>
      <w:pPr>
        <w:pStyle w:val="Heading1"/>
      </w:pPr>
      <w:r>
        <w:t>Methodology</w:t>
      </w:r>
    </w:p>
    <w:p>
      <w:r>
        <w:t xml:space="preserve">research objectives: ["Assess digital government services performance and equity","Identify operational drivers and decision priorities"]</w:t>
      </w:r>
    </w:p>
    <w:p>
      <w:r>
        <w:t xml:space="preserve">evaluation questions: ["What outcomes are changing?","Who is being left behind?","Which actions are most likely to improve performance?"]</w:t>
      </w:r>
    </w:p>
    <w:p>
      <w:r>
        <w:t xml:space="preserve">sampling frame: Synthetic programme population frame for Rwanda</w:t>
      </w:r>
    </w:p>
    <w:p>
      <w:r>
        <w:t xml:space="preserve">sample size: 4247</w:t>
      </w:r>
    </w:p>
    <w:p>
      <w:r>
        <w:t xml:space="preserve">stratification: ["Region","Location type","Sex","Age","Disability"]</w:t>
      </w:r>
    </w:p>
    <w:p>
      <w:r>
        <w:t xml:space="preserve">weights: Normalized post-stratification weights</w:t>
      </w:r>
    </w:p>
    <w:p>
      <w:r>
        <w:t xml:space="preserve">confidence intervals: 95%</w:t>
      </w:r>
    </w:p>
    <w:p>
      <w:r>
        <w:t xml:space="preserve">design effect: 1.1</w:t>
      </w:r>
    </w:p>
    <w:p>
      <w:r>
        <w:t xml:space="preserve">missing data: Documented and sensitivity-tested</w:t>
      </w:r>
    </w:p>
    <w:p>
      <w:r>
        <w:t xml:space="preserve">reliability: Cronbach alpha 0.86</w:t>
      </w:r>
    </w:p>
    <w:p>
      <w:r>
        <w:t xml:space="preserve">validity: Content and construct validity checks</w:t>
      </w:r>
    </w:p>
    <w:p>
      <w:r>
        <w:t xml:space="preserve">metadata: Complete synthetic data dictionary and lineage registry</w:t>
      </w:r>
    </w:p>
    <w:p>
      <w:pPr>
        <w:pStyle w:val="Heading1"/>
      </w:pPr>
      <w:r>
        <w:t>Institutional &amp; Methodology Assurance</w:t>
      </w:r>
    </w:p>
    <w:p>
      <w:r>
        <w:t xml:space="preserve">protocol: Governed synthetic research protocol with sampling, weighting, reliability, validity and reproducibility controls</w:t>
      </w:r>
    </w:p>
    <w:p>
      <w:r>
        <w:t xml:space="preserve">ethics: Synthetic records only; no real participants or personal data</w:t>
      </w:r>
    </w:p>
    <w:p>
      <w:r>
        <w:t xml:space="preserve">peer review: Independent synthetic-publication review checklist completed</w:t>
      </w:r>
    </w:p>
    <w:p>
      <w:r>
        <w:t xml:space="preserve">reproducibility: Deterministic inputs, versioned dataset and export manifest</w:t>
      </w:r>
    </w:p>
    <w:p>
      <w:pPr>
        <w:pStyle w:val="Heading1"/>
      </w:pPr>
      <w:r>
        <w:t>Analytical Depth &amp; Reproducibility</w:t>
      </w:r>
    </w:p>
    <w:p>
      <w:r>
        <w:t xml:space="preserve">inferential statistics: Enabled where assumptions and design permit</w:t>
      </w:r>
    </w:p>
    <w:p>
      <w:r>
        <w:t xml:space="preserve">segmentation: Evidence-led segments</w:t>
      </w:r>
    </w:p>
    <w:p>
      <w:r>
        <w:t xml:space="preserve">trend analysis: Three-period synthetic series</w:t>
      </w:r>
    </w:p>
    <w:p>
      <w:pPr>
        <w:pStyle w:val="Heading1"/>
      </w:pPr>
      <w:r>
        <w:t>Decision Architecture</w:t>
      </w:r>
    </w:p>
    <w:p>
      <w:pPr>
        <w:pStyle w:val="Heading2"/>
      </w:pPr>
      <w:r>
        <w:t>DEC-DIG-01</w:t>
      </w:r>
    </w:p>
    <w:p>
      <w:r>
        <w:t xml:space="preserve">Prioritise the digital service with the sharpest adoption-and-trust gap for redesign investment.</w:t>
      </w:r>
    </w:p>
    <w:p>
      <w:r>
        <w:t xml:space="preserve">Owner: Permanent Secretary • Window: 3–12 months • Cost: Low to medium — validate through the formal planning cycle • Indicator: Proportion of agreed implementation steps verified on schedule for DEC-DIG-01</w:t>
      </w:r>
    </w:p>
    <w:p>
      <w:pPr>
        <w:pStyle w:val="Heading2"/>
      </w:pPr>
      <w:r>
        <w:t>DEC-DIG-02</w:t>
      </w:r>
    </w:p>
    <w:p>
      <w:r>
        <w:t xml:space="preserve">Close digital-literacy access constraints in the lowest-adoption districts.</w:t>
      </w:r>
    </w:p>
    <w:p>
      <w:r>
        <w:t xml:space="preserve">Owner: Permanent Secretary • Window: 6–18 months • Cost: Low — absorbable within existing allocations, subject to confirmation • Indicator: Quarterly-verified progress against the milestones agreed for this medium-tier decision (DEC-DIG-02)</w:t>
      </w:r>
    </w:p>
    <w:p>
      <w:pPr>
        <w:pStyle w:val="Heading2"/>
      </w:pPr>
      <w:r>
        <w:t>DEC-DIG-03</w:t>
      </w:r>
    </w:p>
    <w:p>
      <w:r>
        <w:t xml:space="preserve">Reduce in-person fallback dependency through targeted outreach.</w:t>
      </w:r>
    </w:p>
    <w:p>
      <w:r>
        <w:t xml:space="preserve">Owner: Permanent Secretary • Window: 0–90 days • Cost: Medium — detailed costing and fiduciary review required • Indicator: Number of agreed milestones for DEC-DIG-03 confirmed complete at each quarterly review</w:t>
      </w:r>
    </w:p>
    <w:p>
      <w:pPr>
        <w:pStyle w:val="Heading2"/>
      </w:pPr>
      <w:r>
        <w:t>DEC-DIG-04</w:t>
      </w:r>
    </w:p>
    <w:p>
      <w:r>
        <w:t xml:space="preserve">Strengthen cross-agency service integration for the highest-friction citizen journeys.</w:t>
      </w:r>
    </w:p>
    <w:p>
      <w:r>
        <w:t xml:space="preserve">Owner: Permanent Secretary • Window: 3–12 months • Cost: Medium to high — requires a dedicated budget line and phased release • Indicator: Percentage of agreed milestones completed for DEC-DIG-04</w:t>
      </w:r>
    </w:p>
    <w:p>
      <w:pPr>
        <w:pStyle w:val="Heading2"/>
      </w:pPr>
      <w:r>
        <w:t>DEC-DIG-05</w:t>
      </w:r>
    </w:p>
    <w:p>
      <w:r>
        <w:t xml:space="preserve">Publish a citizen-trust and service-reliability dashboard.</w:t>
      </w:r>
    </w:p>
    <w:p>
      <w:r>
        <w:t xml:space="preserve">Owner: Permanent Secretary • Window: 3–12 months • Cost: Low to medium — validate through the formal planning cycle • Indicator: Share of the high-tier delivery plan confirmed complete each quarter (DEC-DIG-05)</w:t>
      </w:r>
    </w:p>
    <w:p>
      <w:pPr>
        <w:pStyle w:val="Heading1"/>
      </w:pPr>
      <w:r>
        <w:t>Evidence Lineage &amp; Citation Registry</w:t>
      </w:r>
    </w:p>
    <w:p>
      <w:r>
        <w:t xml:space="preserve">EVI-DIG-001: [object Object] • APPROVED_SYNTHETIC_DEMONSTRATION • 88%</w:t>
      </w:r>
    </w:p>
    <w:p>
      <w:r>
        <w:t xml:space="preserve">EVI-DIG-002: [object Object] • APPROVED_SYNTHETIC_DEMONSTRATION • 89%</w:t>
      </w:r>
    </w:p>
    <w:p>
      <w:r>
        <w:t xml:space="preserve">EVI-DIG-003: [object Object] • APPROVED_SYNTHETIC_DEMONSTRATION • 90%</w:t>
      </w:r>
    </w:p>
    <w:p>
      <w:r>
        <w:t xml:space="preserve">EVI-DIG-004: [object Object] • APPROVED_SYNTHETIC_DEMONSTRATION • 91%</w:t>
      </w:r>
    </w:p>
    <w:p>
      <w:r>
        <w:t xml:space="preserve">EVI-DIG-005: [object Object] • APPROVED_SYNTHETIC_DEMONSTRATION • 92%</w:t>
      </w:r>
    </w:p>
    <w:p>
      <w:r>
        <w:t xml:space="preserve">EVI-DIG-006: [object Object] • APPROVED_SYNTHETIC_DEMONSTRATION • 93%</w:t>
      </w:r>
    </w:p>
    <w:p>
      <w:r>
        <w:t xml:space="preserve">EVI-DIG-007: [object Object] • APPROVED_SYNTHETIC_DEMONSTRATION • 94%</w:t>
      </w:r>
    </w:p>
    <w:p>
      <w:r>
        <w:t xml:space="preserve">EVI-DIG-008: [object Object] • APPROVED_SYNTHETIC_DEMONSTRATION • 95%</w:t>
      </w:r>
    </w:p>
    <w:p>
      <w:r>
        <w:t xml:space="preserve">EVI-DIG-009: [object Object] • APPROVED_SYNTHETIC_DEMONSTRATION • 96%</w:t>
      </w:r>
    </w:p>
    <w:p>
      <w:r>
        <w:t xml:space="preserve">EVI-DIG-010: [object Object] • APPROVED_SYNTHETIC_DEMONSTRATION • 97%</w:t>
      </w:r>
    </w:p>
    <w:p>
      <w:r>
        <w:t xml:space="preserve">CIT-EVI-DIG-001: VoiceInsights Africa. Digital Government Services Intelligence Report. synthetic-digital-government-services-intelligence-2026.1, EVI-DIG-001, Q1: How does citizen digital-service adoption gaps affect digital government services outcomes in Kigali City?</w:t>
      </w:r>
    </w:p>
    <w:p>
      <w:r>
        <w:t xml:space="preserve">CIT-EVI-DIG-002: VoiceInsights Africa. Digital Government Services Intelligence Report. synthetic-digital-government-services-intelligence-2026.1, EVI-DIG-002, Q2: How does service-trust barriers affect digital government services outcomes in Northern Province?</w:t>
      </w:r>
    </w:p>
    <w:p>
      <w:r>
        <w:t xml:space="preserve">CIT-EVI-DIG-003: VoiceInsights Africa. Digital Government Services Intelligence Report. synthetic-digital-government-services-intelligence-2026.1, EVI-DIG-003, Q3: How does digital-literacy access constraints affect digital government services outcomes in Southern Province?</w:t>
      </w:r>
    </w:p>
    <w:p>
      <w:r>
        <w:t xml:space="preserve">CIT-EVI-DIG-004: VoiceInsights Africa. Digital Government Services Intelligence Report. synthetic-digital-government-services-intelligence-2026.1, EVI-DIG-004, Q4: How does in-person fallback dependency affect digital government services outcomes in Eastern Province?</w:t>
      </w:r>
    </w:p>
    <w:p>
      <w:r>
        <w:t xml:space="preserve">CIT-EVI-DIG-005: VoiceInsights Africa. Digital Government Services Intelligence Report. synthetic-digital-government-services-intelligence-2026.1, EVI-DIG-005, Q5: How does cross-agency service integration affect digital government services outcomes in Kigali City?</w:t>
      </w:r>
    </w:p>
    <w:p>
      <w:r>
        <w:t xml:space="preserve">CIT-EVI-DIG-006: VoiceInsights Africa. Digital Government Services Intelligence Report. synthetic-digital-government-services-intelligence-2026.1, EVI-DIG-006, Q6: How does citizen digital-service adoption gaps affect digital government services outcomes in Northern Province?</w:t>
      </w:r>
    </w:p>
    <w:p>
      <w:r>
        <w:t xml:space="preserve">CIT-EVI-DIG-007: VoiceInsights Africa. Digital Government Services Intelligence Report. synthetic-digital-government-services-intelligence-2026.1, EVI-DIG-007, Q7: How does service-trust barriers affect digital government services outcomes in Southern Province?</w:t>
      </w:r>
    </w:p>
    <w:p>
      <w:r>
        <w:t xml:space="preserve">CIT-EVI-DIG-008: VoiceInsights Africa. Digital Government Services Intelligence Report. synthetic-digital-government-services-intelligence-2026.1, EVI-DIG-008, Q8: How does digital-literacy access constraints affect digital government services outcomes in Eastern Province?</w:t>
      </w:r>
    </w:p>
    <w:p>
      <w:r>
        <w:t xml:space="preserve">CIT-EVI-DIG-009: VoiceInsights Africa. Digital Government Services Intelligence Report. synthetic-digital-government-services-intelligence-2026.1, EVI-DIG-009, Q9: How does in-person fallback dependency affect digital government services outcomes in Kigali City?</w:t>
      </w:r>
    </w:p>
    <w:p>
      <w:r>
        <w:t xml:space="preserve">CIT-EVI-DIG-010: VoiceInsights Africa. Digital Government Services Intelligence Report. synthetic-digital-government-services-intelligence-2026.1, EVI-DIG-010, Q10: How does cross-agency service integration affect digital government services outcomes in Northern Province?</w:t>
      </w:r>
    </w:p>
    <w:p>
      <w:pPr>
        <w:pStyle w:val="Heading1"/>
      </w:pPr>
      <w:r>
        <w:t>Publication Architecture</w:t>
      </w:r>
    </w:p>
    <w:p>
      <w:r>
        <w:t xml:space="preserve">Executive Intelligence Book (2–7): Executive brief; Decision snapshot; Risks; Opportunities; Budget implications</w:t>
      </w:r>
    </w:p>
    <w:p>
      <w:r>
        <w:t xml:space="preserve">Evidence Intelligence Book (8–15): Critical findings; Respondent voice; Evidence chains; Citation registry</w:t>
      </w:r>
    </w:p>
    <w:p>
      <w:r>
        <w:t xml:space="preserve">Statistical Intelligence Book (16–22): Sampling; Weighting; Uncertainty; Reliability; Model diagnostics</w:t>
      </w:r>
    </w:p>
    <w:p>
      <w:r>
        <w:t xml:space="preserve">Decision Intelligence Book (23–27): Decision matrix; Ownership; Budget; Roadmap; Management response</w:t>
      </w:r>
    </w:p>
    <w:p>
      <w:r>
        <w:t xml:space="preserve">Standards &amp; Assurance (28–31): Relevant frameworks; Safeguarding; Privacy; Responsible AI; Accessibility</w:t>
      </w:r>
    </w:p>
    <w:p>
      <w:r>
        <w:t xml:space="preserve">Technical Appendices (32–34): Data dictionary; Quality gate; Export manifest; Responsible-use notice</w:t>
      </w:r>
    </w:p>
    <w:p>
      <w:pPr>
        <w:pStyle w:val="Heading1"/>
      </w:pPr>
      <w:r>
        <w:t>Peer Review &amp; Accessibility</w:t>
      </w:r>
    </w:p>
    <w:p>
      <w:r>
        <w:t xml:space="preserve">wcag target: WCAG 2.2 AA</w:t>
      </w:r>
    </w:p>
    <w:p>
      <w:r>
        <w:t xml:space="preserve">tagged pdf required: true</w:t>
      </w:r>
    </w:p>
    <w:p>
      <w:r>
        <w:t xml:space="preserve">alt text required: true</w:t>
      </w:r>
    </w:p>
    <w:p>
      <w:r>
        <w:t xml:space="preserve">table fallback required: true</w:t>
      </w:r>
    </w:p>
    <w:p>
      <w:r>
        <w:t xml:space="preserve">keyboard navigation required: true</w:t>
      </w:r>
    </w:p>
    <w:p>
      <w:r>
        <w:t xml:space="preserve">colour independent labels required: true</w:t>
      </w:r>
    </w:p>
    <w:p>
      <w:pPr>
        <w:pStyle w:val="Heading1"/>
      </w:pPr>
      <w:r>
        <w:t>International Standards Alignment</w:t>
      </w:r>
    </w:p>
    <w:p>
      <w:r>
        <w:t xml:space="preserve">SDG 16: APPLIED_WHERE_RELEVANT — Mapped to EVI-DIG-001, EVI-DIG-002; Synthetic demonstration mapping; institutional validation not implied</w:t>
      </w:r>
    </w:p>
    <w:p>
      <w:r>
        <w:t xml:space="preserve">Data Protection: APPLIED_WHERE_RELEVANT — Mapped to EVI-DIG-002, EVI-DIG-003; Synthetic demonstration mapping; institutional validation not implied</w:t>
      </w:r>
    </w:p>
    <w:p>
      <w:r>
        <w:t xml:space="preserve">Digital Public Infrastructure: APPLIED_WHERE_RELEVANT — Mapped to EVI-DIG-003, EVI-DIG-004; Synthetic demonstration mapping; institutional validation not implied</w:t>
      </w:r>
    </w:p>
    <w:p>
      <w:r>
        <w:t xml:space="preserve">Evidence Traceability: APPLIED — Control linked to EVI-DIG-001 and the deterministic publication gate.</w:t>
      </w:r>
    </w:p>
    <w:p>
      <w:r>
        <w:t xml:space="preserve">Research Ethics: APPLIED — Control linked to EVI-DIG-002 and the deterministic publication gate.</w:t>
      </w:r>
    </w:p>
    <w:p>
      <w:r>
        <w:t xml:space="preserve">Data Protection: APPLIED — Control linked to EVI-DIG-003 and the deterministic publication gate.</w:t>
      </w:r>
    </w:p>
    <w:p>
      <w:r>
        <w:t xml:space="preserve">Accessibility: APPLIED — Control linked to EVI-DIG-004 and the deterministic publication gate.</w:t>
      </w:r>
    </w:p>
    <w:p>
      <w:r>
        <w:t xml:space="preserve">Responsible AI: APPLIED — Control linked to EVI-DIG-005 and the deterministic publication gate.</w:t>
      </w:r>
    </w:p>
    <w:p>
      <w:r>
        <w:t xml:space="preserve">Publication Integrity: APPLIED — Control linked to EVI-DIG-006 and the deterministic publication gate.</w:t>
      </w:r>
    </w:p>
    <w:p>
      <w:pPr>
        <w:pStyle w:val="Heading1"/>
      </w:pPr>
      <w:r>
        <w:t>SDG Contribution</w:t>
      </w:r>
    </w:p>
    <w:p>
      <w:r>
        <w:t xml:space="preserve">SDG 16: undefined — Indicators —</w:t>
      </w:r>
    </w:p>
    <w:p>
      <w:r>
        <w:t xml:space="preserve">SDG 9: undefined — Indicators —</w:t>
      </w:r>
    </w:p>
    <w:p>
      <w:r>
        <w:t xml:space="preserve">SDG 16: undefined — Indicators —</w:t>
      </w:r>
    </w:p>
    <w:p>
      <w:pPr>
        <w:pStyle w:val="Heading1"/>
      </w:pPr>
      <w:r>
        <w:t>OECD-DAC Evaluation Criteria</w:t>
      </w:r>
    </w:p>
    <w:p>
      <w:r>
        <w:t xml:space="preserve">Relevance: Synthetic evidence indicates a strong relevance signal, subject to the stated design limitations. (91/100) — Review relevance evidence at the next formal management gate.</w:t>
      </w:r>
    </w:p>
    <w:p>
      <w:r>
        <w:t xml:space="preserve">Coherence: Synthetic evidence indicates a moderate-to-strong coherence signal, subject to the stated design limitations. (72/100) — Review coherence evidence at the next formal management gate.</w:t>
      </w:r>
    </w:p>
    <w:p>
      <w:r>
        <w:t xml:space="preserve">Effectiveness: Synthetic evidence indicates a strong effectiveness signal, subject to the stated design limitations. (73/100) — Review effectiveness evidence at the next formal management gate.</w:t>
      </w:r>
    </w:p>
    <w:p>
      <w:r>
        <w:t xml:space="preserve">Efficiency: Synthetic evidence indicates a moderate-to-strong efficiency signal, subject to the stated design limitations. (74/100) — Review efficiency evidence at the next formal management gate.</w:t>
      </w:r>
    </w:p>
    <w:p>
      <w:r>
        <w:t xml:space="preserve">Impact: Synthetic evidence indicates a strong impact signal, subject to the stated design limitations. (75/100) — Review impact evidence at the next formal management gate.</w:t>
      </w:r>
    </w:p>
    <w:p>
      <w:r>
        <w:t xml:space="preserve">Sustainability: Synthetic evidence indicates a moderate-to-strong sustainability signal, subject to the stated design limitations. (76/100) — Review sustainability evidence at the next formal management gate.</w:t>
      </w:r>
    </w:p>
    <w:p>
      <w:pPr>
        <w:pStyle w:val="Heading1"/>
      </w:pPr>
      <w:r>
        <w:t>Results-Based Management</w:t>
      </w:r>
    </w:p>
    <w:p>
      <w:r>
        <w:t xml:space="preserve">Impact: Sustained, equitable improvement in digital government services performance</w:t>
      </w:r>
    </w:p>
    <w:p>
      <w:r>
        <w:t xml:space="preserve">OC-01: Improved digital government services delivery and accountability — Indicators IND-01, IND-02</w:t>
      </w:r>
    </w:p>
    <w:p>
      <w:r>
        <w:t xml:space="preserve">OC-02: More equitable and durable outcomes — Indicators IND-03, IND-04</w:t>
      </w:r>
    </w:p>
    <w:p>
      <w:r>
        <w:t xml:space="preserve">OUT-01: Verified findings and interpreted decision products</w:t>
      </w:r>
    </w:p>
    <w:p>
      <w:r>
        <w:t xml:space="preserve">OUT-02: Assigned actions with monitoring indicators</w:t>
      </w:r>
    </w:p>
    <w:p>
      <w:pPr>
        <w:pStyle w:val="Heading1"/>
      </w:pPr>
      <w:r>
        <w:t>CHS Accountability Mapping</w:t>
      </w:r>
    </w:p>
    <w:p>
      <w:r>
        <w:t xml:space="preserve">Commitment 1: CHS Commitment 1 — CONTEXT_ONLY. Validate relevance and assign an accountable owner before live use.</w:t>
      </w:r>
    </w:p>
    <w:p>
      <w:r>
        <w:t xml:space="preserve">Commitment 2: CHS Commitment 2 — CONTEXT_ONLY. Validate relevance and assign an accountable owner before live use.</w:t>
      </w:r>
    </w:p>
    <w:p>
      <w:r>
        <w:t xml:space="preserve">Commitment 3: CHS Commitment 3 — CONTEXT_ONLY. Validate relevance and assign an accountable owner before live use.</w:t>
      </w:r>
    </w:p>
    <w:p>
      <w:r>
        <w:t xml:space="preserve">Commitment 4: CHS Commitment 4 — CONTEXT_ONLY. Validate relevance and assign an accountable owner before live use.</w:t>
      </w:r>
    </w:p>
    <w:p>
      <w:r>
        <w:t xml:space="preserve">Commitment 5: CHS Commitment 5 — CONTEXT_ONLY. Validate relevance and assign an accountable owner before live use.</w:t>
      </w:r>
    </w:p>
    <w:p>
      <w:r>
        <w:t xml:space="preserve">Commitment 6: CHS Commitment 6 — CONTEXT_ONLY. Validate relevance and assign an accountable owner before live use.</w:t>
      </w:r>
    </w:p>
    <w:p>
      <w:r>
        <w:t xml:space="preserve">Commitment 7: CHS Commitment 7 — CONTEXT_ONLY. Validate relevance and assign an accountable owner before live use.</w:t>
      </w:r>
    </w:p>
    <w:p>
      <w:r>
        <w:t xml:space="preserve">Commitment 8: CHS Commitment 8 — CONTEXT_ONLY. Validate relevance and assign an accountable owner before live use.</w:t>
      </w:r>
    </w:p>
    <w:p>
      <w:r>
        <w:t xml:space="preserve">Commitment 9: CHS Commitment 9 — CONTEXT_ONLY. Validate relevance and assign an accountable owner before live use.</w:t>
      </w:r>
    </w:p>
    <w:p>
      <w:pPr>
        <w:pStyle w:val="Heading1"/>
      </w:pPr>
      <w:r>
        <w:t>Evidence Register</w:t>
      </w:r>
    </w:p>
    <w:p>
      <w:r>
        <w:t xml:space="preserve">EVI-DIG-001 • survey • SYN-DIGI-0001 • APPROVED • 88%</w:t>
      </w:r>
    </w:p>
    <w:p>
      <w:r>
        <w:t xml:space="preserve">EVI-DIG-002 • key_informant_interview • SYN-DIGI-0002 • APPROVED • 89%</w:t>
      </w:r>
    </w:p>
    <w:p>
      <w:r>
        <w:t xml:space="preserve">EVI-DIG-003 • administrative_record • SYN-DIGI-0003 • APPROVED • 90%</w:t>
      </w:r>
    </w:p>
    <w:p>
      <w:r>
        <w:t xml:space="preserve">EVI-DIG-004 • survey • SYN-DIGI-0004 • APPROVED • 91%</w:t>
      </w:r>
    </w:p>
    <w:p>
      <w:r>
        <w:t xml:space="preserve">EVI-DIG-005 • key_informant_interview • SYN-DIGI-0005 • APPROVED • 92%</w:t>
      </w:r>
    </w:p>
    <w:p>
      <w:r>
        <w:t xml:space="preserve">EVI-DIG-006 • administrative_record • SYN-DIGI-0006 • APPROVED • 93%</w:t>
      </w:r>
    </w:p>
    <w:p>
      <w:r>
        <w:t xml:space="preserve">EVI-DIG-007 • survey • SYN-DIGI-0007 • APPROVED • 94%</w:t>
      </w:r>
    </w:p>
    <w:p>
      <w:r>
        <w:t xml:space="preserve">EVI-DIG-008 • key_informant_interview • SYN-DIGI-0008 • APPROVED • 95%</w:t>
      </w:r>
    </w:p>
    <w:p>
      <w:r>
        <w:t xml:space="preserve">EVI-DIG-009 • administrative_record • SYN-DIGI-0009 • APPROVED • 96%</w:t>
      </w:r>
    </w:p>
    <w:p>
      <w:r>
        <w:t xml:space="preserve">EVI-DIG-010 • survey • SYN-DIGI-0010 • APPROVED • 97%</w:t>
      </w:r>
    </w:p>
    <w:p>
      <w:pPr>
        <w:pStyle w:val="Heading1"/>
      </w:pPr>
      <w:r>
        <w:t>Data Dictionary</w:t>
      </w:r>
    </w:p>
    <w:p>
      <w:r>
        <w:t xml:space="preserve">indicator_1: Synthetic Digital Government Services indicator 1; numeric; allowed: 0–100; missing: NA</w:t>
      </w:r>
    </w:p>
    <w:p>
      <w:r>
        <w:t xml:space="preserve">indicator_2: Synthetic Digital Government Services indicator 2; categorical; allowed: Documented code list; missing: NA</w:t>
      </w:r>
    </w:p>
    <w:p>
      <w:r>
        <w:t xml:space="preserve">indicator_3: Synthetic Digital Government Services indicator 3; categorical; allowed: Documented code list; missing: NA</w:t>
      </w:r>
    </w:p>
    <w:p>
      <w:r>
        <w:t xml:space="preserve">indicator_4: Synthetic Digital Government Services indicator 4; numeric; allowed: 0–100; missing: NA</w:t>
      </w:r>
    </w:p>
    <w:p>
      <w:r>
        <w:t xml:space="preserve">indicator_5: Synthetic Digital Government Services indicator 5; categorical; allowed: Documented code list; missing: NA</w:t>
      </w:r>
    </w:p>
    <w:p>
      <w:r>
        <w:t xml:space="preserve">indicator_6: Synthetic Digital Government Services indicator 6; categorical; allowed: Documented code list; missing: NA</w:t>
      </w:r>
    </w:p>
    <w:p>
      <w:r>
        <w:t xml:space="preserve">indicator_7: Synthetic Digital Government Services indicator 7; numeric; allowed: 0–100; missing: NA</w:t>
      </w:r>
    </w:p>
    <w:p>
      <w:r>
        <w:t xml:space="preserve">indicator_8: Synthetic Digital Government Services indicator 8; categorical; allowed: Documented code list; missing: NA</w:t>
      </w:r>
    </w:p>
    <w:p>
      <w:r>
        <w:t xml:space="preserve">indicator_9: Synthetic Digital Government Services indicator 9; categorical; allowed: Documented code list; missing: NA</w:t>
      </w:r>
    </w:p>
    <w:p>
      <w:r>
        <w:t xml:space="preserve">indicator_10: Synthetic Digital Government Services indicator 10; numeric; allowed: 0–100; missing: NA</w:t>
      </w:r>
    </w:p>
    <w:p>
      <w:r>
        <w:t xml:space="preserve">indicator_11: Synthetic Digital Government Services indicator 11; categorical; allowed: Documented code list; missing: NA</w:t>
      </w:r>
    </w:p>
    <w:p>
      <w:r>
        <w:t xml:space="preserve">indicator_12: Synthetic Digital Government Services indicator 12; categorical; allowed: Documented code list; missing: NA</w:t>
      </w:r>
    </w:p>
    <w:p>
      <w:pPr>
        <w:pStyle w:val="Heading1"/>
      </w:pPr>
      <w:r>
        <w:t>Limitations &amp; Responsible Use</w:t>
      </w:r>
    </w:p>
    <w:p>
      <w:r>
        <w:t xml:space="preserve">All content is synthetic and must not be interpreted as official statistics</w:t>
      </w:r>
    </w:p>
    <w:p>
      <w:r>
        <w:t xml:space="preserve">Geographic references are illustrative</w:t>
      </w:r>
    </w:p>
    <w:p>
      <w:r>
        <w:t xml:space="preserve">Budget implications are directional and require formal costing</w:t>
      </w:r>
    </w:p>
    <w:p>
      <w:r>
        <w:t xml:space="preserve">Causal claims are not made without an appropriate design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/>
      <w:sz w:val="22"/>
    </w:rPr>
  </w:style>
  <w:style w:type="paragraph" w:styleId="Heading1">
    <w:name w:val="heading 1"/>
    <w:basedOn w:val="Normal"/>
    <w:rPr>
      <w:b/>
      <w:color w:val="0B2E59"/>
      <w:sz w:val="32"/>
    </w:rPr>
  </w:style>
  <w:style w:type="paragraph" w:styleId="Heading2">
    <w:name w:val="heading 2"/>
    <w:basedOn w:val="Normal"/>
    <w:rPr>
      <w:b/>
      <w:color w:val="1C7ED6"/>
      <w:sz w:val="2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