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Disease Surveillance &amp; Outbreak Readiness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Tanzania's disease surveillance performance is improving in some places and stalling in others — this publication shows exactly where. The evidence points to concentrated risk, but also to specific, actionable openings for decision-makers. This publication's claims are only as strong as their sourcing — which is why every finding is evidence-linked, every recommendation is owned, and every statistic shares the same governed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Case-reporting lag at district level</w:t>
      </w:r>
    </w:p>
    <w:p>
      <w:r>
        <w:t xml:space="preserve">Case-reporting lag at district level is not a marginal delivery issue. In Lake Zone Districts, the governed evidence indicates a 56% performance signal, with rural women carrying the most consequential constraint. Left unaddressed, case-reporting lag at district level becomes a structural risk to disease surveillance delivery in Tanzania, not a temporary dip. Lake Zone Districts is furthest exposed, and rural women would carry the earliest and heaviest consequences of a further year's delay.</w:t>
      </w:r>
    </w:p>
    <w:p>
      <w:r>
        <w:t xml:space="preserve">Evidence: EVI-DIS-001, EVI-DIS-004 • Confidence 92%</w:t>
      </w:r>
    </w:p>
    <w:p>
      <w:pPr>
        <w:pStyle w:val="Heading2"/>
      </w:pPr>
      <w:r>
        <w:t>Laboratory confirmation turnaround</w:t>
      </w:r>
    </w:p>
    <w:p>
      <w:r>
        <w:t xml:space="preserve">Laboratory confirmation turnaround has become an accountability question rather than a measurement question. Evidence from Southern Highlands Districts places the signal at 57% and shows that young adults experience the largest gap between policy intent and lived delivery. The choice facing disease surveillance leadership in Tanzania is straightforward even if the fix is not: act on laboratory confirmation turnaround now, concentrated in Southern Highlands Districts where young adults carry the largest share of the gap, or accept a wider gap in a year's time.</w:t>
      </w:r>
    </w:p>
    <w:p>
      <w:r>
        <w:t xml:space="preserve">Evidence: EVI-DIS-002, EVI-DIS-005 • Confidence 93%</w:t>
      </w:r>
    </w:p>
    <w:p>
      <w:pPr>
        <w:pStyle w:val="Heading2"/>
      </w:pPr>
      <w:r>
        <w:t>Community-level early-warning signal capture</w:t>
      </w:r>
    </w:p>
    <w:p>
      <w:r>
        <w:t xml:space="preserve">Persons with disabilities in Coastal Districts are living the consequence of community-level early-warning signal capture, not simply reporting it. Their 58% signal is the clearest evidence leadership has that current measures fall short. persons with disabilities in Coastal Districts do not experience community-level early-warning signal capture as an abstract metric. They experience it as the difference between disease surveillance delivery that works and delivery that does not, and a twelve-month delay would deepen that gap rather than hold it steady.</w:t>
      </w:r>
    </w:p>
    <w:p>
      <w:r>
        <w:t xml:space="preserve">Evidence: EVI-DIS-003, EVI-DIS-006 • Confidence 94%</w:t>
      </w:r>
    </w:p>
    <w:p>
      <w:pPr>
        <w:pStyle w:val="Heading2"/>
      </w:pPr>
      <w:r>
        <w:t>Cross-border surveillance data sharing</w:t>
      </w:r>
    </w:p>
    <w:p>
      <w:r>
        <w:t xml:space="preserve">59%. That is the cross-border surveillance data sharing signal recorded in Central Districts, and the headline figure understates the problem: disaggregated by group, frontline workers sit well below it. The clearest gap sits in Central Districts, concentrated among frontline workers. A twelve-month delay would let the gap compound into a harder, costlier problem.</w:t>
      </w:r>
    </w:p>
    <w:p>
      <w:r>
        <w:t xml:space="preserve">Evidence: EVI-DIS-004, EVI-DIS-007 • Confidence 89.5%</w:t>
      </w:r>
    </w:p>
    <w:p>
      <w:pPr>
        <w:pStyle w:val="Heading2"/>
      </w:pPr>
      <w:r>
        <w:t>Outbreak-response activation speed</w:t>
      </w:r>
    </w:p>
    <w:p>
      <w:r>
        <w:t xml:space="preserve">Progress on outbreak-response activation speed remains visible but not yet durable. The 60% result in Lake Zone Districts weakens after disaggregation, particularly for low-income households, suggesting that current gains depend on delivery conditions that remain fragile. The clearest signal in this dataset — though not the only one — is outbreak-response activation speed in Lake Zone Districts, where low-income households sit furthest from parity.</w:t>
      </w:r>
    </w:p>
    <w:p>
      <w:r>
        <w:t xml:space="preserve">Evidence: EVI-DIS-005, EVI-DIS-008 • Confidence 90.5%</w:t>
      </w:r>
    </w:p>
    <w:p>
      <w:pPr>
        <w:pStyle w:val="Heading1"/>
      </w:pPr>
      <w:r>
        <w:t>Regional Intelligence</w:t>
      </w:r>
    </w:p>
    <w:p>
      <w:r>
        <w:t xml:space="preserve">Lake Zone Districts: 60% • 1243 responses • Risk WATCH</w:t>
      </w:r>
    </w:p>
    <w:p>
      <w:r>
        <w:t xml:space="preserve">Southern Highlands Districts: 61% • 1081 responses • Risk WATCH</w:t>
      </w:r>
    </w:p>
    <w:p>
      <w:r>
        <w:t xml:space="preserve">Coastal Districts: 62% • 920 responses • Risk WATCH</w:t>
      </w:r>
    </w:p>
    <w:p>
      <w:r>
        <w:t xml:space="preserve">Central Districts: 63% • 760 responses • Risk WATCH</w:t>
      </w:r>
    </w:p>
    <w:p>
      <w:pPr>
        <w:pStyle w:val="Heading1"/>
      </w:pPr>
      <w:r>
        <w:t>Indicators and Target Gaps</w:t>
      </w:r>
    </w:p>
    <w:p>
      <w:r>
        <w:t xml:space="preserve">IND-01 Case-reporting lag in days: 71% vs 78% — WATCH</w:t>
      </w:r>
    </w:p>
    <w:p>
      <w:r>
        <w:t xml:space="preserve">IND-02 Laboratory confirmation turnaround: 72% vs 79% — WATCH</w:t>
      </w:r>
    </w:p>
    <w:p>
      <w:r>
        <w:t xml:space="preserve">IND-03 Early-warning signal capture rate: 73% vs 80% — WATCH</w:t>
      </w:r>
    </w:p>
    <w:p>
      <w:r>
        <w:t xml:space="preserve">IND-04 Outbreak-response activation time: 74% vs 81% — WATCH</w:t>
      </w:r>
    </w:p>
    <w:p>
      <w:pPr>
        <w:pStyle w:val="Heading1"/>
      </w:pPr>
      <w:r>
        <w:t>Respondent Voice</w:t>
      </w:r>
    </w:p>
    <w:p>
      <w:r>
        <w:t xml:space="preserve">Lake Zone Districts: “Why does Lake Zone Districts lag behind? Ask rural women, and the answer comes back to case-reporting lag at district level.”</w:t>
      </w:r>
    </w:p>
    <w:p>
      <w:r>
        <w:t xml:space="preserve">Southern Highlands Districts: “Elsewhere, laboratory confirmation turnaround might be a footnote. For young adults in Southern Highlands Districts, it is the whole story.”</w:t>
      </w:r>
    </w:p>
    <w:p>
      <w:r>
        <w:t xml:space="preserve">Coastal Districts: “Persons with disabilities in Coastal Districts frame it simply: when community-level early-warning signal capture breaks down, everything else does too.”</w:t>
      </w:r>
    </w:p>
    <w:p>
      <w:r>
        <w:t xml:space="preserve">Central Districts: “In Central Districts, cross-border surveillance data sharing shapes whether frontline workers can turn services into lasting outcomes.”</w:t>
      </w:r>
    </w:p>
    <w:p>
      <w:r>
        <w:t xml:space="preserve">Lake Zone Districts: “Low-income households in Lake Zone Districts put it plainly: outbreak-response activation speed is what decides whether progress holds or slips back.”</w:t>
      </w:r>
    </w:p>
    <w:p>
      <w:r>
        <w:t xml:space="preserve">Southern Highlands Districts: “Why does Southern Highlands Districts lag behind? Ask service managers, and the answer comes back to case-reporting lag at district level.”</w:t>
      </w:r>
    </w:p>
    <w:p>
      <w:r>
        <w:t xml:space="preserve">Coastal Districts: “Elsewhere, laboratory confirmation turnaround might be a footnote. For community leaders in Coastal Districts, it is the whole story.”</w:t>
      </w:r>
    </w:p>
    <w:p>
      <w:r>
        <w:t xml:space="preserve">Central Districts: “Private-sector partners in Central Districts frame it simply: when community-level early-warning signal capture breaks down, everything else does too.”</w:t>
      </w:r>
    </w:p>
    <w:p>
      <w:r>
        <w:t xml:space="preserve">Lake Zone Districts: “In Lake Zone Districts, cross-border surveillance data sharing shapes whether rural women can turn services into lasting outcomes.”</w:t>
      </w:r>
    </w:p>
    <w:p>
      <w:r>
        <w:t xml:space="preserve">Southern Highlands Districts: “Young adults in Southern Highlands Districts put it plainly: outbreak-response activation speed is what decides whether progress holds or slips back.”</w:t>
      </w:r>
    </w:p>
    <w:p>
      <w:pPr>
        <w:pStyle w:val="Heading1"/>
      </w:pPr>
      <w:r>
        <w:t>Decision Intelligence</w:t>
      </w:r>
    </w:p>
    <w:p>
      <w:pPr>
        <w:pStyle w:val="Heading2"/>
      </w:pPr>
      <w:r>
        <w:t>DEC-DIS-01 CRITICAL</w:t>
      </w:r>
    </w:p>
    <w:p>
      <w:r>
        <w:t xml:space="preserve">Close the district-level case-reporting lag through faster digital reporting.</w:t>
      </w:r>
    </w:p>
    <w:p>
      <w:r>
        <w:t xml:space="preserve">Owner: Permanent Secretary • Timeline: 0–90 days • Budget: Medium to high — requires a dedicated budget line and phased release • Indicator: Percentage of agreed milestones completed for DEC-DIS-01</w:t>
      </w:r>
    </w:p>
    <w:p>
      <w:pPr>
        <w:pStyle w:val="Heading2"/>
      </w:pPr>
      <w:r>
        <w:t>DEC-DIS-02 CRITICAL</w:t>
      </w:r>
    </w:p>
    <w:p>
      <w:r>
        <w:t xml:space="preserve">Reduce laboratory confirmation turnaround for priority pathogens.</w:t>
      </w:r>
    </w:p>
    <w:p>
      <w:r>
        <w:t xml:space="preserve">Owner: Permanent Secretary • Timeline: 3–12 months • Budget: High — full business case and multi-year funding commitment required • Indicator: Share of the critical-tier delivery plan confirmed complete each quarter (DEC-DIS-02)</w:t>
      </w:r>
    </w:p>
    <w:p>
      <w:pPr>
        <w:pStyle w:val="Heading2"/>
      </w:pPr>
      <w:r>
        <w:t>DEC-DIS-03 HIGH</w:t>
      </w:r>
    </w:p>
    <w:p>
      <w:r>
        <w:t xml:space="preserve">Strengthen community-level early-warning signal capture.</w:t>
      </w:r>
    </w:p>
    <w:p>
      <w:r>
        <w:t xml:space="preserve">Owner: Permanent Secretary • Timeline: 3–12 months • Budget: Medium — likely fundable from existing lines, pending confirmation • Indicator: Milestone completion rate tracked against the DEC-DIS-03 delivery plan</w:t>
      </w:r>
    </w:p>
    <w:p>
      <w:pPr>
        <w:pStyle w:val="Heading2"/>
      </w:pPr>
      <w:r>
        <w:t>DEC-DIS-04 HIGH</w:t>
      </w:r>
    </w:p>
    <w:p>
      <w:r>
        <w:t xml:space="preserve">Formalise cross-border surveillance data-sharing protocols.</w:t>
      </w:r>
    </w:p>
    <w:p>
      <w:r>
        <w:t xml:space="preserve">Owner: Permanent Secretary • Timeline: 3–12 months • Budget: Low to medium — validate through the formal planning cycle • Indicator: Proportion of agreed implementation steps verified on schedule for DEC-DIS-04</w:t>
      </w:r>
    </w:p>
    <w:p>
      <w:pPr>
        <w:pStyle w:val="Heading2"/>
      </w:pPr>
      <w:r>
        <w:t>DEC-DIS-05 MEDIUM</w:t>
      </w:r>
    </w:p>
    <w:p>
      <w:r>
        <w:t xml:space="preserve">Set outbreak-response activation service levels for priority districts.</w:t>
      </w:r>
    </w:p>
    <w:p>
      <w:r>
        <w:t xml:space="preserve">Owner: Permanent Secretary • Timeline: 6–18 months • Budget: Low — absorbable within existing allocations, subject to confirmation • Indicator: Quarterly-verified progress against the milestones agreed for this medium-tier decision (DEC-DIS-05)</w:t>
      </w:r>
    </w:p>
    <w:p>
      <w:pPr>
        <w:pStyle w:val="Heading1"/>
      </w:pPr>
      <w:r>
        <w:t>Methodology</w:t>
      </w:r>
    </w:p>
    <w:p>
      <w:r>
        <w:t xml:space="preserve">research objectives: ["Assess disease surveillance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Tanzania</w:t>
      </w:r>
    </w:p>
    <w:p>
      <w:r>
        <w:t xml:space="preserve">sample size: 4004</w:t>
      </w:r>
    </w:p>
    <w:p>
      <w:r>
        <w:t xml:space="preserve">stratification: ["Region","Location type","Sex","Age","Disability"]</w:t>
      </w:r>
    </w:p>
    <w:p>
      <w:r>
        <w:t xml:space="preserve">weights: Normalized post-stratification weights</w:t>
      </w:r>
    </w:p>
    <w:p>
      <w:r>
        <w:t xml:space="preserve">confidence intervals: 95%</w:t>
      </w:r>
    </w:p>
    <w:p>
      <w:r>
        <w:t xml:space="preserve">design effect: 1.7</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DEC-DIS-01</w:t>
      </w:r>
    </w:p>
    <w:p>
      <w:r>
        <w:t xml:space="preserve">Close the district-level case-reporting lag through faster digital reporting.</w:t>
      </w:r>
    </w:p>
    <w:p>
      <w:r>
        <w:t xml:space="preserve">Owner: Permanent Secretary • Window: 0–90 days • Cost: Medium to high — requires a dedicated budget line and phased release • Indicator: Percentage of agreed milestones completed for DEC-DIS-01</w:t>
      </w:r>
    </w:p>
    <w:p>
      <w:pPr>
        <w:pStyle w:val="Heading2"/>
      </w:pPr>
      <w:r>
        <w:t>DEC-DIS-02</w:t>
      </w:r>
    </w:p>
    <w:p>
      <w:r>
        <w:t xml:space="preserve">Reduce laboratory confirmation turnaround for priority pathogens.</w:t>
      </w:r>
    </w:p>
    <w:p>
      <w:r>
        <w:t xml:space="preserve">Owner: Permanent Secretary • Window: 3–12 months • Cost: High — full business case and multi-year funding commitment required • Indicator: Share of the critical-tier delivery plan confirmed complete each quarter (DEC-DIS-02)</w:t>
      </w:r>
    </w:p>
    <w:p>
      <w:pPr>
        <w:pStyle w:val="Heading2"/>
      </w:pPr>
      <w:r>
        <w:t>DEC-DIS-03</w:t>
      </w:r>
    </w:p>
    <w:p>
      <w:r>
        <w:t xml:space="preserve">Strengthen community-level early-warning signal capture.</w:t>
      </w:r>
    </w:p>
    <w:p>
      <w:r>
        <w:t xml:space="preserve">Owner: Permanent Secretary • Window: 3–12 months • Cost: Medium — likely fundable from existing lines, pending confirmation • Indicator: Milestone completion rate tracked against the DEC-DIS-03 delivery plan</w:t>
      </w:r>
    </w:p>
    <w:p>
      <w:pPr>
        <w:pStyle w:val="Heading2"/>
      </w:pPr>
      <w:r>
        <w:t>DEC-DIS-04</w:t>
      </w:r>
    </w:p>
    <w:p>
      <w:r>
        <w:t xml:space="preserve">Formalise cross-border surveillance data-sharing protocols.</w:t>
      </w:r>
    </w:p>
    <w:p>
      <w:r>
        <w:t xml:space="preserve">Owner: Permanent Secretary • Window: 3–12 months • Cost: Low to medium — validate through the formal planning cycle • Indicator: Proportion of agreed implementation steps verified on schedule for DEC-DIS-04</w:t>
      </w:r>
    </w:p>
    <w:p>
      <w:pPr>
        <w:pStyle w:val="Heading2"/>
      </w:pPr>
      <w:r>
        <w:t>DEC-DIS-05</w:t>
      </w:r>
    </w:p>
    <w:p>
      <w:r>
        <w:t xml:space="preserve">Set outbreak-response activation service levels for priority districts.</w:t>
      </w:r>
    </w:p>
    <w:p>
      <w:r>
        <w:t xml:space="preserve">Owner: Permanent Secretary • Window: 6–18 months • Cost: Low — absorbable within existing allocations, subject to confirmation • Indicator: Quarterly-verified progress against the milestones agreed for this medium-tier decision (DEC-DIS-05)</w:t>
      </w:r>
    </w:p>
    <w:p>
      <w:pPr>
        <w:pStyle w:val="Heading1"/>
      </w:pPr>
      <w:r>
        <w:t>Evidence Lineage &amp; Citation Registry</w:t>
      </w:r>
    </w:p>
    <w:p>
      <w:r>
        <w:t xml:space="preserve">EVI-DIS-001: [object Object] • APPROVED_SYNTHETIC_DEMONSTRATION • 96%</w:t>
      </w:r>
    </w:p>
    <w:p>
      <w:r>
        <w:t xml:space="preserve">EVI-DIS-002: [object Object] • APPROVED_SYNTHETIC_DEMONSTRATION • 97%</w:t>
      </w:r>
    </w:p>
    <w:p>
      <w:r>
        <w:t xml:space="preserve">EVI-DIS-003: [object Object] • APPROVED_SYNTHETIC_DEMONSTRATION • 98%</w:t>
      </w:r>
    </w:p>
    <w:p>
      <w:r>
        <w:t xml:space="preserve">EVI-DIS-004: [object Object] • APPROVED_SYNTHETIC_DEMONSTRATION • 88%</w:t>
      </w:r>
    </w:p>
    <w:p>
      <w:r>
        <w:t xml:space="preserve">EVI-DIS-005: [object Object] • APPROVED_SYNTHETIC_DEMONSTRATION • 89%</w:t>
      </w:r>
    </w:p>
    <w:p>
      <w:r>
        <w:t xml:space="preserve">EVI-DIS-006: [object Object] • APPROVED_SYNTHETIC_DEMONSTRATION • 90%</w:t>
      </w:r>
    </w:p>
    <w:p>
      <w:r>
        <w:t xml:space="preserve">EVI-DIS-007: [object Object] • APPROVED_SYNTHETIC_DEMONSTRATION • 91%</w:t>
      </w:r>
    </w:p>
    <w:p>
      <w:r>
        <w:t xml:space="preserve">EVI-DIS-008: [object Object] • APPROVED_SYNTHETIC_DEMONSTRATION • 92%</w:t>
      </w:r>
    </w:p>
    <w:p>
      <w:r>
        <w:t xml:space="preserve">EVI-DIS-009: [object Object] • APPROVED_SYNTHETIC_DEMONSTRATION • 93%</w:t>
      </w:r>
    </w:p>
    <w:p>
      <w:r>
        <w:t xml:space="preserve">EVI-DIS-010: [object Object] • APPROVED_SYNTHETIC_DEMONSTRATION • 94%</w:t>
      </w:r>
    </w:p>
    <w:p>
      <w:r>
        <w:t xml:space="preserve">CIT-EVI-DIS-001: VoiceInsights Africa. Disease Surveillance &amp; Outbreak Readiness Intelligence Report. synthetic-disease-surveillance-intelligence-2026.1, EVI-DIS-001, Q1: How does case-reporting lag at district level affect disease surveillance outcomes in Lake Zone Districts?</w:t>
      </w:r>
    </w:p>
    <w:p>
      <w:r>
        <w:t xml:space="preserve">CIT-EVI-DIS-002: VoiceInsights Africa. Disease Surveillance &amp; Outbreak Readiness Intelligence Report. synthetic-disease-surveillance-intelligence-2026.1, EVI-DIS-002, Q2: How does laboratory confirmation turnaround affect disease surveillance outcomes in Southern Highlands Districts?</w:t>
      </w:r>
    </w:p>
    <w:p>
      <w:r>
        <w:t xml:space="preserve">CIT-EVI-DIS-003: VoiceInsights Africa. Disease Surveillance &amp; Outbreak Readiness Intelligence Report. synthetic-disease-surveillance-intelligence-2026.1, EVI-DIS-003, Q3: How does community-level early-warning signal capture affect disease surveillance outcomes in Coastal Districts?</w:t>
      </w:r>
    </w:p>
    <w:p>
      <w:r>
        <w:t xml:space="preserve">CIT-EVI-DIS-004: VoiceInsights Africa. Disease Surveillance &amp; Outbreak Readiness Intelligence Report. synthetic-disease-surveillance-intelligence-2026.1, EVI-DIS-004, Q4: How does cross-border surveillance data sharing affect disease surveillance outcomes in Central Districts?</w:t>
      </w:r>
    </w:p>
    <w:p>
      <w:r>
        <w:t xml:space="preserve">CIT-EVI-DIS-005: VoiceInsights Africa. Disease Surveillance &amp; Outbreak Readiness Intelligence Report. synthetic-disease-surveillance-intelligence-2026.1, EVI-DIS-005, Q5: How does outbreak-response activation speed affect disease surveillance outcomes in Lake Zone Districts?</w:t>
      </w:r>
    </w:p>
    <w:p>
      <w:r>
        <w:t xml:space="preserve">CIT-EVI-DIS-006: VoiceInsights Africa. Disease Surveillance &amp; Outbreak Readiness Intelligence Report. synthetic-disease-surveillance-intelligence-2026.1, EVI-DIS-006, Q6: How does case-reporting lag at district level affect disease surveillance outcomes in Southern Highlands Districts?</w:t>
      </w:r>
    </w:p>
    <w:p>
      <w:r>
        <w:t xml:space="preserve">CIT-EVI-DIS-007: VoiceInsights Africa. Disease Surveillance &amp; Outbreak Readiness Intelligence Report. synthetic-disease-surveillance-intelligence-2026.1, EVI-DIS-007, Q7: How does laboratory confirmation turnaround affect disease surveillance outcomes in Coastal Districts?</w:t>
      </w:r>
    </w:p>
    <w:p>
      <w:r>
        <w:t xml:space="preserve">CIT-EVI-DIS-008: VoiceInsights Africa. Disease Surveillance &amp; Outbreak Readiness Intelligence Report. synthetic-disease-surveillance-intelligence-2026.1, EVI-DIS-008, Q8: How does community-level early-warning signal capture affect disease surveillance outcomes in Central Districts?</w:t>
      </w:r>
    </w:p>
    <w:p>
      <w:r>
        <w:t xml:space="preserve">CIT-EVI-DIS-009: VoiceInsights Africa. Disease Surveillance &amp; Outbreak Readiness Intelligence Report. synthetic-disease-surveillance-intelligence-2026.1, EVI-DIS-009, Q9: How does cross-border surveillance data sharing affect disease surveillance outcomes in Lake Zone Districts?</w:t>
      </w:r>
    </w:p>
    <w:p>
      <w:r>
        <w:t xml:space="preserve">CIT-EVI-DIS-010: VoiceInsights Africa. Disease Surveillance &amp; Outbreak Readiness Intelligence Report. synthetic-disease-surveillance-intelligence-2026.1, EVI-DIS-010, Q10: How does outbreak-response activation speed affect disease surveillance outcomes in Southern Highlands Districts?</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International Health Regulations (2005): APPLIED_WHERE_RELEVANT — Mapped to EVI-DIS-001, EVI-DIS-002; Synthetic demonstration mapping; institutional validation not implied</w:t>
      </w:r>
    </w:p>
    <w:p>
      <w:r>
        <w:t xml:space="preserve">SDG 3: APPLIED_WHERE_RELEVANT — Mapped to EVI-DIS-002, EVI-DIS-003; Synthetic demonstration mapping; institutional validation not implied</w:t>
      </w:r>
    </w:p>
    <w:p>
      <w:r>
        <w:t xml:space="preserve">Data Protection: APPLIED_WHERE_RELEVANT — Mapped to EVI-DIS-003, EVI-DIS-004; Synthetic demonstration mapping; institutional validation not implied</w:t>
      </w:r>
    </w:p>
    <w:p>
      <w:r>
        <w:t xml:space="preserve">Evidence Traceability: APPLIED — Control linked to EVI-DIS-001 and the deterministic publication gate.</w:t>
      </w:r>
    </w:p>
    <w:p>
      <w:r>
        <w:t xml:space="preserve">Research Ethics: APPLIED — Control linked to EVI-DIS-002 and the deterministic publication gate.</w:t>
      </w:r>
    </w:p>
    <w:p>
      <w:r>
        <w:t xml:space="preserve">Data Protection: APPLIED — Control linked to EVI-DIS-003 and the deterministic publication gate.</w:t>
      </w:r>
    </w:p>
    <w:p>
      <w:r>
        <w:t xml:space="preserve">Accessibility: APPLIED — Control linked to EVI-DIS-004 and the deterministic publication gate.</w:t>
      </w:r>
    </w:p>
    <w:p>
      <w:r>
        <w:t xml:space="preserve">Responsible AI: APPLIED — Control linked to EVI-DIS-005 and the deterministic publication gate.</w:t>
      </w:r>
    </w:p>
    <w:p>
      <w:r>
        <w:t xml:space="preserve">Publication Integrity: APPLIED — Control linked to EVI-DIS-006 and the deterministic publication gate.</w:t>
      </w:r>
    </w:p>
    <w:p>
      <w:pPr>
        <w:pStyle w:val="Heading1"/>
      </w:pPr>
      <w:r>
        <w:t>SDG Contribution</w:t>
      </w:r>
    </w:p>
    <w:p>
      <w:r>
        <w:t xml:space="preserve">SDG 3: undefined — Indicators —</w:t>
      </w:r>
    </w:p>
    <w:p>
      <w:r>
        <w:t xml:space="preserve">SDG 3: undefined — Indicators —</w:t>
      </w:r>
    </w:p>
    <w:p>
      <w:r>
        <w:t xml:space="preserve">SDG 17: undefined — Indicators —</w:t>
      </w:r>
    </w:p>
    <w:p>
      <w:pPr>
        <w:pStyle w:val="Heading1"/>
      </w:pPr>
      <w:r>
        <w:t>OECD-DAC Evaluation Criteria</w:t>
      </w:r>
    </w:p>
    <w:p>
      <w:r>
        <w:t xml:space="preserve">Relevance: Synthetic evidence indicates a strong relevance signal, subject to the stated design limitations. (74/100) — Review relevance evidence at the next formal management gate.</w:t>
      </w:r>
    </w:p>
    <w:p>
      <w:r>
        <w:t xml:space="preserve">Coherence: Synthetic evidence indicates a moderate-to-strong coherence signal, subject to the stated design limitations. (75/100) — Review coherence evidence at the next formal management gate.</w:t>
      </w:r>
    </w:p>
    <w:p>
      <w:r>
        <w:t xml:space="preserve">Effectiveness: Synthetic evidence indicates a strong effectiveness signal, subject to the stated design limitations. (76/100) — Review effectiveness evidence at the next formal management gate.</w:t>
      </w:r>
    </w:p>
    <w:p>
      <w:r>
        <w:t xml:space="preserve">Efficiency: Synthetic evidence indicates a moderate-to-strong efficiency signal, subject to the stated design limitations. (77/100) — Review efficiency evidence at the next formal management gate.</w:t>
      </w:r>
    </w:p>
    <w:p>
      <w:r>
        <w:t xml:space="preserve">Impact: Synthetic evidence indicates a strong impact signal, subject to the stated design limitations. (78/100) — Review impact evidence at the next formal management gate.</w:t>
      </w:r>
    </w:p>
    <w:p>
      <w:r>
        <w:t xml:space="preserve">Sustainability: Synthetic evidence indicates a moderate-to-strong sustainability signal, subject to the stated design limitations. (79/100) — Review sustainability evidence at the next formal management gate.</w:t>
      </w:r>
    </w:p>
    <w:p>
      <w:pPr>
        <w:pStyle w:val="Heading1"/>
      </w:pPr>
      <w:r>
        <w:t>Results-Based Management</w:t>
      </w:r>
    </w:p>
    <w:p>
      <w:r>
        <w:t xml:space="preserve">Impact: Sustained, equitable improvement in disease surveillance performance</w:t>
      </w:r>
    </w:p>
    <w:p>
      <w:r>
        <w:t xml:space="preserve">OC-01: Improved disease surveillance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EVI-DIS-001 • survey • SYN-DISE-0001 • APPROVED • 96%</w:t>
      </w:r>
    </w:p>
    <w:p>
      <w:r>
        <w:t xml:space="preserve">EVI-DIS-002 • key_informant_interview • SYN-DISE-0002 • APPROVED • 97%</w:t>
      </w:r>
    </w:p>
    <w:p>
      <w:r>
        <w:t xml:space="preserve">EVI-DIS-003 • administrative_record • SYN-DISE-0003 • APPROVED • 98%</w:t>
      </w:r>
    </w:p>
    <w:p>
      <w:r>
        <w:t xml:space="preserve">EVI-DIS-004 • survey • SYN-DISE-0004 • APPROVED • 88%</w:t>
      </w:r>
    </w:p>
    <w:p>
      <w:r>
        <w:t xml:space="preserve">EVI-DIS-005 • key_informant_interview • SYN-DISE-0005 • APPROVED • 89%</w:t>
      </w:r>
    </w:p>
    <w:p>
      <w:r>
        <w:t xml:space="preserve">EVI-DIS-006 • administrative_record • SYN-DISE-0006 • APPROVED • 90%</w:t>
      </w:r>
    </w:p>
    <w:p>
      <w:r>
        <w:t xml:space="preserve">EVI-DIS-007 • survey • SYN-DISE-0007 • APPROVED • 91%</w:t>
      </w:r>
    </w:p>
    <w:p>
      <w:r>
        <w:t xml:space="preserve">EVI-DIS-008 • key_informant_interview • SYN-DISE-0008 • APPROVED • 92%</w:t>
      </w:r>
    </w:p>
    <w:p>
      <w:r>
        <w:t xml:space="preserve">EVI-DIS-009 • administrative_record • SYN-DISE-0009 • APPROVED • 93%</w:t>
      </w:r>
    </w:p>
    <w:p>
      <w:r>
        <w:t xml:space="preserve">EVI-DIS-010 • survey • SYN-DISE-0010 • APPROVED • 94%</w:t>
      </w:r>
    </w:p>
    <w:p>
      <w:pPr>
        <w:pStyle w:val="Heading1"/>
      </w:pPr>
      <w:r>
        <w:t>Data Dictionary</w:t>
      </w:r>
    </w:p>
    <w:p>
      <w:r>
        <w:t xml:space="preserve">indicator_1: Synthetic Disease Surveillance indicator 1; numeric; allowed: 0–100; missing: NA</w:t>
      </w:r>
    </w:p>
    <w:p>
      <w:r>
        <w:t xml:space="preserve">indicator_2: Synthetic Disease Surveillance indicator 2; categorical; allowed: Documented code list; missing: NA</w:t>
      </w:r>
    </w:p>
    <w:p>
      <w:r>
        <w:t xml:space="preserve">indicator_3: Synthetic Disease Surveillance indicator 3; categorical; allowed: Documented code list; missing: NA</w:t>
      </w:r>
    </w:p>
    <w:p>
      <w:r>
        <w:t xml:space="preserve">indicator_4: Synthetic Disease Surveillance indicator 4; numeric; allowed: 0–100; missing: NA</w:t>
      </w:r>
    </w:p>
    <w:p>
      <w:r>
        <w:t xml:space="preserve">indicator_5: Synthetic Disease Surveillance indicator 5; categorical; allowed: Documented code list; missing: NA</w:t>
      </w:r>
    </w:p>
    <w:p>
      <w:r>
        <w:t xml:space="preserve">indicator_6: Synthetic Disease Surveillance indicator 6; categorical; allowed: Documented code list; missing: NA</w:t>
      </w:r>
    </w:p>
    <w:p>
      <w:r>
        <w:t xml:space="preserve">indicator_7: Synthetic Disease Surveillance indicator 7; numeric; allowed: 0–100; missing: NA</w:t>
      </w:r>
    </w:p>
    <w:p>
      <w:r>
        <w:t xml:space="preserve">indicator_8: Synthetic Disease Surveillance indicator 8; categorical; allowed: Documented code list; missing: NA</w:t>
      </w:r>
    </w:p>
    <w:p>
      <w:r>
        <w:t xml:space="preserve">indicator_9: Synthetic Disease Surveillance indicator 9; categorical; allowed: Documented code list; missing: NA</w:t>
      </w:r>
    </w:p>
    <w:p>
      <w:r>
        <w:t xml:space="preserve">indicator_10: Synthetic Disease Surveillance indicator 10; numeric; allowed: 0–100; missing: NA</w:t>
      </w:r>
    </w:p>
    <w:p>
      <w:r>
        <w:t xml:space="preserve">indicator_11: Synthetic Disease Surveillance indicator 11; categorical; allowed: Documented code list; missing: NA</w:t>
      </w:r>
    </w:p>
    <w:p>
      <w:r>
        <w:t xml:space="preserve">indicator_12: Synthetic Disease Surveillance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