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before="2200"/>
      </w:pPr>
      <w:r>
        <w:rPr>
          <w:b/>
          <w:sz w:val="42"/>
        </w:rPr>
        <w:t>Displacement and Durable Solutions Intelligence Report</w:t>
      </w:r>
    </w:p>
    <w:p>
      <w:r>
        <w:t xml:space="preserve">VoiceInsights Africa — Full Synthetic Demonstration Publication</w:t>
      </w:r>
    </w:p>
    <w:p>
      <w:r>
        <w:t xml:space="preserve">Synthetic Demonstration Publication produced by VoiceInsights Africa. All people, quotations, locations and statistics are synthetic, internally governed demonstration content and are not official statistics.</w:t>
      </w:r>
    </w:p>
    <w:p>
      <w:pPr>
        <w:pStyle w:val="Heading1"/>
      </w:pPr>
      <w:r>
        <w:t>Executive Intelligence</w:t>
      </w:r>
    </w:p>
    <w:p>
      <w:r>
        <w:t xml:space="preserve">Every number in this publication answers one question: what is actually happening with displacement and durable solutions performance in Uganda, and for whom. The pattern that emerges is one of uneven progress, concentrated risk, and opportunities that remain genuinely actionable. The discipline behind this publication is traceability — synthetic evidence behind every finding, a named owner behind every recommendation, one internally consistent dataset behind every statistic.</w:t>
      </w:r>
    </w:p>
    <w:p>
      <w:pPr>
        <w:pStyle w:val="Heading1"/>
      </w:pPr>
      <w:r>
        <w:t>Table of Contents</w:t>
      </w:r>
    </w:p>
    <w:p>
      <w:r>
        <w:t xml:space="preserve">undefined — undefined</w:t>
      </w:r>
    </w:p>
    <w:p>
      <w:r>
        <w:t xml:space="preserve">undefined — undefined</w:t>
      </w:r>
    </w:p>
    <w:p>
      <w:r>
        <w:t xml:space="preserve">undefined — undefined</w:t>
      </w:r>
    </w:p>
    <w:p>
      <w:r>
        <w:t xml:space="preserve">undefined — undefined</w:t>
      </w:r>
    </w:p>
    <w:p>
      <w:r>
        <w:t xml:space="preserve">undefined — undefined</w:t>
      </w:r>
    </w:p>
    <w:p>
      <w:r>
        <w:t xml:space="preserve">undefined — undefined</w:t>
      </w:r>
    </w:p>
    <w:p>
      <w:pPr>
        <w:pStyle w:val="Heading1"/>
      </w:pPr>
      <w:r>
        <w:t>Critical Findings</w:t>
      </w:r>
    </w:p>
    <w:p>
      <w:pPr>
        <w:pStyle w:val="Heading2"/>
      </w:pPr>
      <w:r>
        <w:t>Protracted displacement duration</w:t>
      </w:r>
    </w:p>
    <w:p>
      <w:r>
        <w:t xml:space="preserve">Protracted displacement duration is not a marginal delivery issue. In West Nile Settlements, the governed evidence indicates a 54% performance signal, with rural women carrying the most consequential constraint. Left unaddressed, protracted displacement duration becomes a structural risk to displacement and durable solutions delivery in Uganda, not a temporary dip. West Nile Settlements is furthest exposed, and rural women would carry the earliest and heaviest consequences of a further year's delay.</w:t>
      </w:r>
    </w:p>
    <w:p>
      <w:r>
        <w:t xml:space="preserve">Evidence: EVI-DIS-001, EVI-DIS-004 • Confidence 92%</w:t>
      </w:r>
    </w:p>
    <w:p>
      <w:pPr>
        <w:pStyle w:val="Heading2"/>
      </w:pPr>
      <w:r>
        <w:t>Host-community service strain</w:t>
      </w:r>
    </w:p>
    <w:p>
      <w:r>
        <w:t xml:space="preserve">Host-community service strain has become an accountability question rather than a measurement question. Evidence from Northern Uganda Settlements places the signal at 55% and shows that young adults experience the largest gap between policy intent and lived delivery. The choice facing displacement and durable solutions leadership in Uganda is straightforward even if the fix is not: act on host-community service strain now, concentrated in Northern Uganda Settlements where young adults carry the largest share of the gap, or accept a wider gap in a year's time.</w:t>
      </w:r>
    </w:p>
    <w:p>
      <w:r>
        <w:t xml:space="preserve">Evidence: EVI-DIS-002, EVI-DIS-005 • Confidence 93%</w:t>
      </w:r>
    </w:p>
    <w:p>
      <w:pPr>
        <w:pStyle w:val="Heading2"/>
      </w:pPr>
      <w:r>
        <w:t>Durable-solutions pathway completion gaps</w:t>
      </w:r>
    </w:p>
    <w:p>
      <w:r>
        <w:t xml:space="preserve">Persons with disabilities in Southwest Settlements are living the consequence of durable-solutions pathway completion gaps, not simply reporting it. Their 56% signal is the clearest evidence leadership has that current measures fall short. persons with disabilities in Southwest Settlements do not experience durable-solutions pathway completion gaps as an abstract metric. They experience it as the difference between displacement and durable solutions delivery that works and delivery that does not, and a twelve-month delay would deepen that gap rather than hold it steady.</w:t>
      </w:r>
    </w:p>
    <w:p>
      <w:r>
        <w:t xml:space="preserve">Evidence: EVI-DIS-003, EVI-DIS-006 • Confidence 94%</w:t>
      </w:r>
    </w:p>
    <w:p>
      <w:pPr>
        <w:pStyle w:val="Heading2"/>
      </w:pPr>
      <w:r>
        <w:t>Data gaps in pathway-completion tracking</w:t>
      </w:r>
    </w:p>
    <w:p>
      <w:r>
        <w:t xml:space="preserve">57%. That is the data gaps in pathway-completion tracking signal recorded in Kampala Urban Refugees, and the headline figure understates the problem: disaggregated by group, frontline workers sit well below it. The clearest gap sits in Kampala Urban Refugees, concentrated among frontline workers. A twelve-month delay would let the gap compound into a harder, costlier problem.</w:t>
      </w:r>
    </w:p>
    <w:p>
      <w:r>
        <w:t xml:space="preserve">Evidence: EVI-DIS-004, EVI-DIS-007 • Confidence 89.5%</w:t>
      </w:r>
    </w:p>
    <w:p>
      <w:pPr>
        <w:pStyle w:val="Heading2"/>
      </w:pPr>
      <w:r>
        <w:t>Return-versus-integration viability</w:t>
      </w:r>
    </w:p>
    <w:p>
      <w:r>
        <w:t xml:space="preserve">The strategic opportunity lies in the variation, not the average. At 58%, West Nile Settlements's return-versus-integration viability signal shows where implementation can move quickly, while the experience of low-income households defines the safeguard that must accompany scale. The same gap that makes return-versus-integration viability a risk also makes it an opportunity: West Nile Settlements could close most of the distance to the rest of Uganda within a year if action starts now, with the clearest gains reaching low-income households first.</w:t>
      </w:r>
    </w:p>
    <w:p>
      <w:r>
        <w:t xml:space="preserve">Evidence: EVI-DIS-005, EVI-DIS-008 • Confidence 90.5%</w:t>
      </w:r>
    </w:p>
    <w:p>
      <w:pPr>
        <w:pStyle w:val="Heading1"/>
      </w:pPr>
      <w:r>
        <w:t>Regional Intelligence</w:t>
      </w:r>
    </w:p>
    <w:p>
      <w:r>
        <w:t xml:space="preserve">West Nile Settlements: 82% • 794 responses • Risk STABLE</w:t>
      </w:r>
    </w:p>
    <w:p>
      <w:r>
        <w:t xml:space="preserve">Northern Uganda Settlements: 83% • 690 responses • Risk STABLE</w:t>
      </w:r>
    </w:p>
    <w:p>
      <w:r>
        <w:t xml:space="preserve">Southwest Settlements: 84% • 587 responses • Risk STABLE</w:t>
      </w:r>
    </w:p>
    <w:p>
      <w:r>
        <w:t xml:space="preserve">Kampala Urban Refugees: 52% • 485 responses • Risk CRITICAL</w:t>
      </w:r>
    </w:p>
    <w:p>
      <w:pPr>
        <w:pStyle w:val="Heading1"/>
      </w:pPr>
      <w:r>
        <w:t>Indicators and Target Gaps</w:t>
      </w:r>
    </w:p>
    <w:p>
      <w:r>
        <w:t xml:space="preserve">IND-01 Protracted-displacement duration: 51% vs 92% — OFF_TRACK</w:t>
      </w:r>
    </w:p>
    <w:p>
      <w:r>
        <w:t xml:space="preserve">IND-02 Durable-solutions pathway completion rate: 52% vs 76% — OFF_TRACK</w:t>
      </w:r>
    </w:p>
    <w:p>
      <w:r>
        <w:t xml:space="preserve">IND-03 Host-community service-strain index: 53% vs 77% — OFF_TRACK</w:t>
      </w:r>
    </w:p>
    <w:p>
      <w:r>
        <w:t xml:space="preserve">IND-04 Pathway-tracking data completeness: 54% vs 78% — OFF_TRACK</w:t>
      </w:r>
    </w:p>
    <w:p>
      <w:pPr>
        <w:pStyle w:val="Heading1"/>
      </w:pPr>
      <w:r>
        <w:t>Respondent Voice</w:t>
      </w:r>
    </w:p>
    <w:p>
      <w:r>
        <w:t xml:space="preserve">West Nile Settlements: “Rural women in West Nile Settlements frame it simply: when protracted displacement duration breaks down, everything else does too.”</w:t>
      </w:r>
    </w:p>
    <w:p>
      <w:r>
        <w:t xml:space="preserve">Northern Uganda Settlements: “In Northern Uganda Settlements, host-community service strain shapes whether young adults can turn services into lasting outcomes.”</w:t>
      </w:r>
    </w:p>
    <w:p>
      <w:r>
        <w:t xml:space="preserve">Southwest Settlements: “Persons with disabilities in Southwest Settlements put it plainly: durable-solutions pathway completion gaps are what decides whether progress holds or slips back.”</w:t>
      </w:r>
    </w:p>
    <w:p>
      <w:r>
        <w:t xml:space="preserve">Kampala Urban Refugees: “Why does Kampala Urban Refugees lag behind? Ask frontline workers, and the answer comes back to data gaps in pathway-completion tracking.”</w:t>
      </w:r>
    </w:p>
    <w:p>
      <w:r>
        <w:t xml:space="preserve">West Nile Settlements: “Elsewhere, return-versus-integration viability might be a footnote. For low-income households in West Nile Settlements, it is the whole story.”</w:t>
      </w:r>
    </w:p>
    <w:p>
      <w:r>
        <w:t xml:space="preserve">Northern Uganda Settlements: “Service managers in Northern Uganda Settlements frame it simply: when protracted displacement duration breaks down, everything else does too.”</w:t>
      </w:r>
    </w:p>
    <w:p>
      <w:r>
        <w:t xml:space="preserve">Southwest Settlements: “In Southwest Settlements, host-community service strain shapes whether community leaders can turn services into lasting outcomes.”</w:t>
      </w:r>
    </w:p>
    <w:p>
      <w:r>
        <w:t xml:space="preserve">Kampala Urban Refugees: “Private-sector partners in Kampala Urban Refugees put it plainly: durable-solutions pathway completion gaps are what decides whether progress holds or slips back.”</w:t>
      </w:r>
    </w:p>
    <w:p>
      <w:r>
        <w:t xml:space="preserve">West Nile Settlements: “Why does West Nile Settlements lag behind? Ask rural women, and the answer comes back to data gaps in pathway-completion tracking.”</w:t>
      </w:r>
    </w:p>
    <w:p>
      <w:r>
        <w:t xml:space="preserve">Northern Uganda Settlements: “Elsewhere, return-versus-integration viability might be a footnote. For young adults in Northern Uganda Settlements, it is the whole story.”</w:t>
      </w:r>
    </w:p>
    <w:p>
      <w:pPr>
        <w:pStyle w:val="Heading1"/>
      </w:pPr>
      <w:r>
        <w:t>Decision Intelligence</w:t>
      </w:r>
    </w:p>
    <w:p>
      <w:pPr>
        <w:pStyle w:val="Heading2"/>
      </w:pPr>
      <w:r>
        <w:t>DEC-DIS-01 CRITICAL</w:t>
      </w:r>
    </w:p>
    <w:p>
      <w:r>
        <w:t xml:space="preserve">Prioritise the durable-solutions pathway with the strongest real prospects.</w:t>
      </w:r>
    </w:p>
    <w:p>
      <w:r>
        <w:t xml:space="preserve">Owner: Humanitarian Coordinator / Cluster Lead • Timeline: 0–90 days • Budget: High — full business case and multi-year funding commitment required • Indicator: Quarterly-verified progress against the milestones agreed for this critical-tier decision (DEC-DIS-01)</w:t>
      </w:r>
    </w:p>
    <w:p>
      <w:pPr>
        <w:pStyle w:val="Heading2"/>
      </w:pPr>
      <w:r>
        <w:t>DEC-DIS-02 CRITICAL</w:t>
      </w:r>
    </w:p>
    <w:p>
      <w:r>
        <w:t xml:space="preserve">Invest in host-community services to sustain local integration.</w:t>
      </w:r>
    </w:p>
    <w:p>
      <w:r>
        <w:t xml:space="preserve">Owner: Humanitarian Coordinator / Cluster Lead • Timeline: 3–12 months • Budget: Medium — detailed costing and fiduciary review required • Indicator: Number of agreed milestones for DEC-DIS-02 confirmed complete at each quarterly review</w:t>
      </w:r>
    </w:p>
    <w:p>
      <w:pPr>
        <w:pStyle w:val="Heading2"/>
      </w:pPr>
      <w:r>
        <w:t>DEC-DIS-03 HIGH</w:t>
      </w:r>
    </w:p>
    <w:p>
      <w:r>
        <w:t xml:space="preserve">Close data gaps in pathway-completion tracking.</w:t>
      </w:r>
    </w:p>
    <w:p>
      <w:r>
        <w:t xml:space="preserve">Owner: Humanitarian Coordinator / Cluster Lead • Timeline: 3–12 months • Budget: Medium — likely fundable from existing lines, pending confirmation • Indicator: Percentage of agreed milestones completed for DEC-DIS-03</w:t>
      </w:r>
    </w:p>
    <w:p>
      <w:pPr>
        <w:pStyle w:val="Heading2"/>
      </w:pPr>
      <w:r>
        <w:t>DEC-DIS-04 HIGH</w:t>
      </w:r>
    </w:p>
    <w:p>
      <w:r>
        <w:t xml:space="preserve">Assess return-versus-integration viability by settlement.</w:t>
      </w:r>
    </w:p>
    <w:p>
      <w:r>
        <w:t xml:space="preserve">Owner: Humanitarian Coordinator / Cluster Lead • Timeline: 3–12 months • Budget: Low to medium — validate through the formal planning cycle • Indicator: Share of the high-tier delivery plan confirmed complete each quarter (DEC-DIS-04)</w:t>
      </w:r>
    </w:p>
    <w:p>
      <w:pPr>
        <w:pStyle w:val="Heading2"/>
      </w:pPr>
      <w:r>
        <w:t>DEC-DIS-05 MEDIUM</w:t>
      </w:r>
    </w:p>
    <w:p>
      <w:r>
        <w:t xml:space="preserve">Scale livelihoods support tied to durable-solutions pathways.</w:t>
      </w:r>
    </w:p>
    <w:p>
      <w:r>
        <w:t xml:space="preserve">Owner: Humanitarian Coordinator / Cluster Lead • Timeline: 6–18 months • Budget: Low — absorbable within existing allocations, subject to confirmation • Indicator: Milestone completion rate tracked against the DEC-DIS-05 delivery plan</w:t>
      </w:r>
    </w:p>
    <w:p>
      <w:pPr>
        <w:pStyle w:val="Heading1"/>
      </w:pPr>
      <w:r>
        <w:t>Methodology</w:t>
      </w:r>
    </w:p>
    <w:p>
      <w:r>
        <w:t xml:space="preserve">research objectives: ["Assess displacement and durable solutions performance and equity","Identify operational drivers and decision priorities"]</w:t>
      </w:r>
    </w:p>
    <w:p>
      <w:r>
        <w:t xml:space="preserve">evaluation questions: ["What outcomes are changing?","Who is being left behind?","Which actions are most likely to improve performance?"]</w:t>
      </w:r>
    </w:p>
    <w:p>
      <w:r>
        <w:t xml:space="preserve">sampling frame: Synthetic programme population frame for Uganda</w:t>
      </w:r>
    </w:p>
    <w:p>
      <w:r>
        <w:t xml:space="preserve">sample size: 2556</w:t>
      </w:r>
    </w:p>
    <w:p>
      <w:r>
        <w:t xml:space="preserve">stratification: ["Region","Location type","Sex","Age","Disability"]</w:t>
      </w:r>
    </w:p>
    <w:p>
      <w:r>
        <w:t xml:space="preserve">weights: Normalized post-stratification weights</w:t>
      </w:r>
    </w:p>
    <w:p>
      <w:r>
        <w:t xml:space="preserve">confidence intervals: 95%</w:t>
      </w:r>
    </w:p>
    <w:p>
      <w:r>
        <w:t xml:space="preserve">design effect: 1.2</w:t>
      </w:r>
    </w:p>
    <w:p>
      <w:r>
        <w:t xml:space="preserve">missing data: Documented and sensitivity-tested</w:t>
      </w:r>
    </w:p>
    <w:p>
      <w:r>
        <w:t xml:space="preserve">reliability: Cronbach alpha 0.86</w:t>
      </w:r>
    </w:p>
    <w:p>
      <w:r>
        <w:t xml:space="preserve">validity: Content and construct validity checks</w:t>
      </w:r>
    </w:p>
    <w:p>
      <w:r>
        <w:t xml:space="preserve">metadata: Complete synthetic data dictionary and lineage registry</w:t>
      </w:r>
    </w:p>
    <w:p>
      <w:pPr>
        <w:pStyle w:val="Heading1"/>
      </w:pPr>
      <w:r>
        <w:t>Institutional &amp; Methodology Assurance</w:t>
      </w:r>
    </w:p>
    <w:p>
      <w:r>
        <w:t xml:space="preserve">protocol: Governed synthetic research protocol with sampling, weighting, reliability, validity and reproducibility controls</w:t>
      </w:r>
    </w:p>
    <w:p>
      <w:r>
        <w:t xml:space="preserve">ethics: Synthetic records only; no real participants or personal data</w:t>
      </w:r>
    </w:p>
    <w:p>
      <w:r>
        <w:t xml:space="preserve">peer review: Independent synthetic-publication review checklist completed</w:t>
      </w:r>
    </w:p>
    <w:p>
      <w:r>
        <w:t xml:space="preserve">reproducibility: Deterministic inputs, versioned dataset and export manifest</w:t>
      </w:r>
    </w:p>
    <w:p>
      <w:pPr>
        <w:pStyle w:val="Heading1"/>
      </w:pPr>
      <w:r>
        <w:t>Analytical Depth &amp; Reproducibility</w:t>
      </w:r>
    </w:p>
    <w:p>
      <w:r>
        <w:t xml:space="preserve">inferential statistics: Enabled where assumptions and design permit</w:t>
      </w:r>
    </w:p>
    <w:p>
      <w:r>
        <w:t xml:space="preserve">segmentation: Evidence-led segments</w:t>
      </w:r>
    </w:p>
    <w:p>
      <w:r>
        <w:t xml:space="preserve">trend analysis: Three-period synthetic series</w:t>
      </w:r>
    </w:p>
    <w:p>
      <w:pPr>
        <w:pStyle w:val="Heading1"/>
      </w:pPr>
      <w:r>
        <w:t>Decision Architecture</w:t>
      </w:r>
    </w:p>
    <w:p>
      <w:pPr>
        <w:pStyle w:val="Heading2"/>
      </w:pPr>
      <w:r>
        <w:t>DEC-DIS-01</w:t>
      </w:r>
    </w:p>
    <w:p>
      <w:r>
        <w:t xml:space="preserve">Prioritise the durable-solutions pathway with the strongest real prospects.</w:t>
      </w:r>
    </w:p>
    <w:p>
      <w:r>
        <w:t xml:space="preserve">Owner: Humanitarian Coordinator / Cluster Lead • Window: 0–90 days • Cost: High — full business case and multi-year funding commitment required • Indicator: Quarterly-verified progress against the milestones agreed for this critical-tier decision (DEC-DIS-01)</w:t>
      </w:r>
    </w:p>
    <w:p>
      <w:pPr>
        <w:pStyle w:val="Heading2"/>
      </w:pPr>
      <w:r>
        <w:t>DEC-DIS-02</w:t>
      </w:r>
    </w:p>
    <w:p>
      <w:r>
        <w:t xml:space="preserve">Invest in host-community services to sustain local integration.</w:t>
      </w:r>
    </w:p>
    <w:p>
      <w:r>
        <w:t xml:space="preserve">Owner: Humanitarian Coordinator / Cluster Lead • Window: 3–12 months • Cost: Medium — detailed costing and fiduciary review required • Indicator: Number of agreed milestones for DEC-DIS-02 confirmed complete at each quarterly review</w:t>
      </w:r>
    </w:p>
    <w:p>
      <w:pPr>
        <w:pStyle w:val="Heading2"/>
      </w:pPr>
      <w:r>
        <w:t>DEC-DIS-03</w:t>
      </w:r>
    </w:p>
    <w:p>
      <w:r>
        <w:t xml:space="preserve">Close data gaps in pathway-completion tracking.</w:t>
      </w:r>
    </w:p>
    <w:p>
      <w:r>
        <w:t xml:space="preserve">Owner: Humanitarian Coordinator / Cluster Lead • Window: 3–12 months • Cost: Medium — likely fundable from existing lines, pending confirmation • Indicator: Percentage of agreed milestones completed for DEC-DIS-03</w:t>
      </w:r>
    </w:p>
    <w:p>
      <w:pPr>
        <w:pStyle w:val="Heading2"/>
      </w:pPr>
      <w:r>
        <w:t>DEC-DIS-04</w:t>
      </w:r>
    </w:p>
    <w:p>
      <w:r>
        <w:t xml:space="preserve">Assess return-versus-integration viability by settlement.</w:t>
      </w:r>
    </w:p>
    <w:p>
      <w:r>
        <w:t xml:space="preserve">Owner: Humanitarian Coordinator / Cluster Lead • Window: 3–12 months • Cost: Low to medium — validate through the formal planning cycle • Indicator: Share of the high-tier delivery plan confirmed complete each quarter (DEC-DIS-04)</w:t>
      </w:r>
    </w:p>
    <w:p>
      <w:pPr>
        <w:pStyle w:val="Heading2"/>
      </w:pPr>
      <w:r>
        <w:t>DEC-DIS-05</w:t>
      </w:r>
    </w:p>
    <w:p>
      <w:r>
        <w:t xml:space="preserve">Scale livelihoods support tied to durable-solutions pathways.</w:t>
      </w:r>
    </w:p>
    <w:p>
      <w:r>
        <w:t xml:space="preserve">Owner: Humanitarian Coordinator / Cluster Lead • Window: 6–18 months • Cost: Low — absorbable within existing allocations, subject to confirmation • Indicator: Milestone completion rate tracked against the DEC-DIS-05 delivery plan</w:t>
      </w:r>
    </w:p>
    <w:p>
      <w:pPr>
        <w:pStyle w:val="Heading1"/>
      </w:pPr>
      <w:r>
        <w:t>Evidence Lineage &amp; Citation Registry</w:t>
      </w:r>
    </w:p>
    <w:p>
      <w:r>
        <w:t xml:space="preserve">EVI-DIS-001: [object Object] • APPROVED_SYNTHETIC_DEMONSTRATION • 96%</w:t>
      </w:r>
    </w:p>
    <w:p>
      <w:r>
        <w:t xml:space="preserve">EVI-DIS-002: [object Object] • APPROVED_SYNTHETIC_DEMONSTRATION • 97%</w:t>
      </w:r>
    </w:p>
    <w:p>
      <w:r>
        <w:t xml:space="preserve">EVI-DIS-003: [object Object] • APPROVED_SYNTHETIC_DEMONSTRATION • 98%</w:t>
      </w:r>
    </w:p>
    <w:p>
      <w:r>
        <w:t xml:space="preserve">EVI-DIS-004: [object Object] • APPROVED_SYNTHETIC_DEMONSTRATION • 88%</w:t>
      </w:r>
    </w:p>
    <w:p>
      <w:r>
        <w:t xml:space="preserve">EVI-DIS-005: [object Object] • APPROVED_SYNTHETIC_DEMONSTRATION • 89%</w:t>
      </w:r>
    </w:p>
    <w:p>
      <w:r>
        <w:t xml:space="preserve">EVI-DIS-006: [object Object] • APPROVED_SYNTHETIC_DEMONSTRATION • 90%</w:t>
      </w:r>
    </w:p>
    <w:p>
      <w:r>
        <w:t xml:space="preserve">EVI-DIS-007: [object Object] • APPROVED_SYNTHETIC_DEMONSTRATION • 91%</w:t>
      </w:r>
    </w:p>
    <w:p>
      <w:r>
        <w:t xml:space="preserve">EVI-DIS-008: [object Object] • APPROVED_SYNTHETIC_DEMONSTRATION • 92%</w:t>
      </w:r>
    </w:p>
    <w:p>
      <w:r>
        <w:t xml:space="preserve">EVI-DIS-009: [object Object] • APPROVED_SYNTHETIC_DEMONSTRATION • 93%</w:t>
      </w:r>
    </w:p>
    <w:p>
      <w:r>
        <w:t xml:space="preserve">EVI-DIS-010: [object Object] • APPROVED_SYNTHETIC_DEMONSTRATION • 94%</w:t>
      </w:r>
    </w:p>
    <w:p>
      <w:r>
        <w:t xml:space="preserve">CIT-EVI-DIS-001: VoiceInsights Africa. Displacement and Durable Solutions Intelligence Report. synthetic-displacement-durable-solutions-intelligence-2026.1, EVI-DIS-001, Q1: How does protracted displacement duration affect displacement and durable solutions outcomes in West Nile Settlements?</w:t>
      </w:r>
    </w:p>
    <w:p>
      <w:r>
        <w:t xml:space="preserve">CIT-EVI-DIS-002: VoiceInsights Africa. Displacement and Durable Solutions Intelligence Report. synthetic-displacement-durable-solutions-intelligence-2026.1, EVI-DIS-002, Q2: How does host-community service strain affect displacement and durable solutions outcomes in Northern Uganda Settlements?</w:t>
      </w:r>
    </w:p>
    <w:p>
      <w:r>
        <w:t xml:space="preserve">CIT-EVI-DIS-003: VoiceInsights Africa. Displacement and Durable Solutions Intelligence Report. synthetic-displacement-durable-solutions-intelligence-2026.1, EVI-DIS-003, Q3: How does durable-solutions pathway completion gaps affect displacement and durable solutions outcomes in Southwest Settlements?</w:t>
      </w:r>
    </w:p>
    <w:p>
      <w:r>
        <w:t xml:space="preserve">CIT-EVI-DIS-004: VoiceInsights Africa. Displacement and Durable Solutions Intelligence Report. synthetic-displacement-durable-solutions-intelligence-2026.1, EVI-DIS-004, Q4: How does data gaps in pathway-completion tracking affect displacement and durable solutions outcomes in Kampala Urban Refugees?</w:t>
      </w:r>
    </w:p>
    <w:p>
      <w:r>
        <w:t xml:space="preserve">CIT-EVI-DIS-005: VoiceInsights Africa. Displacement and Durable Solutions Intelligence Report. synthetic-displacement-durable-solutions-intelligence-2026.1, EVI-DIS-005, Q5: How does return-versus-integration viability affect displacement and durable solutions outcomes in West Nile Settlements?</w:t>
      </w:r>
    </w:p>
    <w:p>
      <w:r>
        <w:t xml:space="preserve">CIT-EVI-DIS-006: VoiceInsights Africa. Displacement and Durable Solutions Intelligence Report. synthetic-displacement-durable-solutions-intelligence-2026.1, EVI-DIS-006, Q6: How does protracted displacement duration affect displacement and durable solutions outcomes in Northern Uganda Settlements?</w:t>
      </w:r>
    </w:p>
    <w:p>
      <w:r>
        <w:t xml:space="preserve">CIT-EVI-DIS-007: VoiceInsights Africa. Displacement and Durable Solutions Intelligence Report. synthetic-displacement-durable-solutions-intelligence-2026.1, EVI-DIS-007, Q7: How does host-community service strain affect displacement and durable solutions outcomes in Southwest Settlements?</w:t>
      </w:r>
    </w:p>
    <w:p>
      <w:r>
        <w:t xml:space="preserve">CIT-EVI-DIS-008: VoiceInsights Africa. Displacement and Durable Solutions Intelligence Report. synthetic-displacement-durable-solutions-intelligence-2026.1, EVI-DIS-008, Q8: How does durable-solutions pathway completion gaps affect displacement and durable solutions outcomes in Kampala Urban Refugees?</w:t>
      </w:r>
    </w:p>
    <w:p>
      <w:r>
        <w:t xml:space="preserve">CIT-EVI-DIS-009: VoiceInsights Africa. Displacement and Durable Solutions Intelligence Report. synthetic-displacement-durable-solutions-intelligence-2026.1, EVI-DIS-009, Q9: How does data gaps in pathway-completion tracking affect displacement and durable solutions outcomes in West Nile Settlements?</w:t>
      </w:r>
    </w:p>
    <w:p>
      <w:r>
        <w:t xml:space="preserve">CIT-EVI-DIS-010: VoiceInsights Africa. Displacement and Durable Solutions Intelligence Report. synthetic-displacement-durable-solutions-intelligence-2026.1, EVI-DIS-010, Q10: How does return-versus-integration viability affect displacement and durable solutions outcomes in Northern Uganda Settlements?</w:t>
      </w:r>
    </w:p>
    <w:p>
      <w:pPr>
        <w:pStyle w:val="Heading1"/>
      </w:pPr>
      <w:r>
        <w:t>Publication Architecture</w:t>
      </w:r>
    </w:p>
    <w:p>
      <w:r>
        <w:t xml:space="preserve">Executive Intelligence Book (2–7): Executive brief; Decision snapshot; Risks; Opportunities; Budget implications</w:t>
      </w:r>
    </w:p>
    <w:p>
      <w:r>
        <w:t xml:space="preserve">Evidence Intelligence Book (8–15): Critical findings; Respondent voice; Evidence chains; Citation registry</w:t>
      </w:r>
    </w:p>
    <w:p>
      <w:r>
        <w:t xml:space="preserve">Statistical Intelligence Book (16–22): Sampling; Weighting; Uncertainty; Reliability; Model diagnostics</w:t>
      </w:r>
    </w:p>
    <w:p>
      <w:r>
        <w:t xml:space="preserve">Decision Intelligence Book (23–27): Decision matrix; Ownership; Budget; Roadmap; Management response</w:t>
      </w:r>
    </w:p>
    <w:p>
      <w:r>
        <w:t xml:space="preserve">Standards &amp; Assurance (28–31): Relevant frameworks; Safeguarding; Privacy; Responsible AI; Accessibility</w:t>
      </w:r>
    </w:p>
    <w:p>
      <w:r>
        <w:t xml:space="preserve">Technical Appendices (32–34): Data dictionary; Quality gate; Export manifest; Responsible-use notice</w:t>
      </w:r>
    </w:p>
    <w:p>
      <w:pPr>
        <w:pStyle w:val="Heading1"/>
      </w:pPr>
      <w:r>
        <w:t>Peer Review &amp; Accessibility</w:t>
      </w:r>
    </w:p>
    <w:p>
      <w:r>
        <w:t xml:space="preserve">wcag target: WCAG 2.2 AA</w:t>
      </w:r>
    </w:p>
    <w:p>
      <w:r>
        <w:t xml:space="preserve">tagged pdf required: true</w:t>
      </w:r>
    </w:p>
    <w:p>
      <w:r>
        <w:t xml:space="preserve">alt text required: true</w:t>
      </w:r>
    </w:p>
    <w:p>
      <w:r>
        <w:t xml:space="preserve">table fallback required: true</w:t>
      </w:r>
    </w:p>
    <w:p>
      <w:r>
        <w:t xml:space="preserve">keyboard navigation required: true</w:t>
      </w:r>
    </w:p>
    <w:p>
      <w:r>
        <w:t xml:space="preserve">colour independent labels required: true</w:t>
      </w:r>
    </w:p>
    <w:p>
      <w:pPr>
        <w:pStyle w:val="Heading1"/>
      </w:pPr>
      <w:r>
        <w:t>International Standards Alignment</w:t>
      </w:r>
    </w:p>
    <w:p>
      <w:r>
        <w:t xml:space="preserve">CHS: APPLIED_WHERE_RELEVANT — Mapped to EVI-DIS-001, EVI-DIS-002; Synthetic demonstration mapping; institutional validation not implied</w:t>
      </w:r>
    </w:p>
    <w:p>
      <w:r>
        <w:t xml:space="preserve">Protection: APPLIED_WHERE_RELEVANT — Mapped to EVI-DIS-002, EVI-DIS-003; Synthetic demonstration mapping; institutional validation not implied</w:t>
      </w:r>
    </w:p>
    <w:p>
      <w:r>
        <w:t xml:space="preserve">Human Rights Based Approach: APPLIED_WHERE_RELEVANT — Mapped to EVI-DIS-003, EVI-DIS-004; Synthetic demonstration mapping; institutional validation not implied</w:t>
      </w:r>
    </w:p>
    <w:p>
      <w:r>
        <w:t xml:space="preserve">Evidence Traceability: APPLIED — Control linked to EVI-DIS-001 and the deterministic publication gate.</w:t>
      </w:r>
    </w:p>
    <w:p>
      <w:r>
        <w:t xml:space="preserve">Research Ethics: APPLIED — Control linked to EVI-DIS-002 and the deterministic publication gate.</w:t>
      </w:r>
    </w:p>
    <w:p>
      <w:r>
        <w:t xml:space="preserve">Data Protection: APPLIED — Control linked to EVI-DIS-003 and the deterministic publication gate.</w:t>
      </w:r>
    </w:p>
    <w:p>
      <w:r>
        <w:t xml:space="preserve">Accessibility: APPLIED — Control linked to EVI-DIS-004 and the deterministic publication gate.</w:t>
      </w:r>
    </w:p>
    <w:p>
      <w:r>
        <w:t xml:space="preserve">Responsible AI: APPLIED — Control linked to EVI-DIS-005 and the deterministic publication gate.</w:t>
      </w:r>
    </w:p>
    <w:p>
      <w:r>
        <w:t xml:space="preserve">Publication Integrity: APPLIED — Control linked to EVI-DIS-006 and the deterministic publication gate.</w:t>
      </w:r>
    </w:p>
    <w:p>
      <w:pPr>
        <w:pStyle w:val="Heading1"/>
      </w:pPr>
      <w:r>
        <w:t>SDG Contribution</w:t>
      </w:r>
    </w:p>
    <w:p>
      <w:r>
        <w:t xml:space="preserve">SDG 10: undefined — Indicators —</w:t>
      </w:r>
    </w:p>
    <w:p>
      <w:r>
        <w:t xml:space="preserve">SDG 1: undefined — Indicators —</w:t>
      </w:r>
    </w:p>
    <w:p>
      <w:r>
        <w:t xml:space="preserve">SDG 16: undefined — Indicators —</w:t>
      </w:r>
    </w:p>
    <w:p>
      <w:pPr>
        <w:pStyle w:val="Heading1"/>
      </w:pPr>
      <w:r>
        <w:t>OECD-DAC Evaluation Criteria</w:t>
      </w:r>
    </w:p>
    <w:p>
      <w:r>
        <w:t xml:space="preserve">Relevance: Synthetic evidence indicates a strong relevance signal, subject to the stated design limitations. (86/100) — Review relevance evidence at the next formal management gate.</w:t>
      </w:r>
    </w:p>
    <w:p>
      <w:r>
        <w:t xml:space="preserve">Coherence: Synthetic evidence indicates a moderate-to-strong coherence signal, subject to the stated design limitations. (87/100) — Review coherence evidence at the next formal management gate.</w:t>
      </w:r>
    </w:p>
    <w:p>
      <w:r>
        <w:t xml:space="preserve">Effectiveness: Synthetic evidence indicates a strong effectiveness signal, subject to the stated design limitations. (88/100) — Review effectiveness evidence at the next formal management gate.</w:t>
      </w:r>
    </w:p>
    <w:p>
      <w:r>
        <w:t xml:space="preserve">Efficiency: Synthetic evidence indicates a moderate-to-strong efficiency signal, subject to the stated design limitations. (89/100) — Review efficiency evidence at the next formal management gate.</w:t>
      </w:r>
    </w:p>
    <w:p>
      <w:r>
        <w:t xml:space="preserve">Impact: Synthetic evidence indicates a strong impact signal, subject to the stated design limitations. (90/100) — Review impact evidence at the next formal management gate.</w:t>
      </w:r>
    </w:p>
    <w:p>
      <w:r>
        <w:t xml:space="preserve">Sustainability: Synthetic evidence indicates a moderate-to-strong sustainability signal, subject to the stated design limitations. (91/100) — Review sustainability evidence at the next formal management gate.</w:t>
      </w:r>
    </w:p>
    <w:p>
      <w:pPr>
        <w:pStyle w:val="Heading1"/>
      </w:pPr>
      <w:r>
        <w:t>Results-Based Management</w:t>
      </w:r>
    </w:p>
    <w:p>
      <w:r>
        <w:t xml:space="preserve">Impact: Sustained, equitable improvement in displacement and durable solutions performance</w:t>
      </w:r>
    </w:p>
    <w:p>
      <w:r>
        <w:t xml:space="preserve">OC-01: Improved displacement and durable solutions delivery and accountability — Indicators IND-01, IND-02</w:t>
      </w:r>
    </w:p>
    <w:p>
      <w:r>
        <w:t xml:space="preserve">OC-02: More equitable and durable outcomes — Indicators IND-03, IND-04</w:t>
      </w:r>
    </w:p>
    <w:p>
      <w:r>
        <w:t xml:space="preserve">OUT-01: Verified findings and interpreted decision products</w:t>
      </w:r>
    </w:p>
    <w:p>
      <w:r>
        <w:t xml:space="preserve">OUT-02: Assigned actions with monitoring indicators</w:t>
      </w:r>
    </w:p>
    <w:p>
      <w:pPr>
        <w:pStyle w:val="Heading1"/>
      </w:pPr>
      <w:r>
        <w:t>CHS Accountability Mapping</w:t>
      </w:r>
    </w:p>
    <w:p>
      <w:r>
        <w:t xml:space="preserve">Commitment 1: CHS Commitment 1 — APPLIED. Validate relevance and assign an accountable owner before live use.</w:t>
      </w:r>
    </w:p>
    <w:p>
      <w:r>
        <w:t xml:space="preserve">Commitment 2: CHS Commitment 2 — APPLIED. Validate relevance and assign an accountable owner before live use.</w:t>
      </w:r>
    </w:p>
    <w:p>
      <w:r>
        <w:t xml:space="preserve">Commitment 3: CHS Commitment 3 — APPLIED. Validate relevance and assign an accountable owner before live use.</w:t>
      </w:r>
    </w:p>
    <w:p>
      <w:r>
        <w:t xml:space="preserve">Commitment 4: CHS Commitment 4 — APPLIED. Validate relevance and assign an accountable owner before live use.</w:t>
      </w:r>
    </w:p>
    <w:p>
      <w:r>
        <w:t xml:space="preserve">Commitment 5: CHS Commitment 5 — APPLIED. Validate relevance and assign an accountable owner before live use.</w:t>
      </w:r>
    </w:p>
    <w:p>
      <w:r>
        <w:t xml:space="preserve">Commitment 6: CHS Commitment 6 — APPLIED. Validate relevance and assign an accountable owner before live use.</w:t>
      </w:r>
    </w:p>
    <w:p>
      <w:r>
        <w:t xml:space="preserve">Commitment 7: CHS Commitment 7 — APPLIED. Validate relevance and assign an accountable owner before live use.</w:t>
      </w:r>
    </w:p>
    <w:p>
      <w:r>
        <w:t xml:space="preserve">Commitment 8: CHS Commitment 8 — APPLIED. Validate relevance and assign an accountable owner before live use.</w:t>
      </w:r>
    </w:p>
    <w:p>
      <w:r>
        <w:t xml:space="preserve">Commitment 9: CHS Commitment 9 — APPLIED. Validate relevance and assign an accountable owner before live use.</w:t>
      </w:r>
    </w:p>
    <w:p>
      <w:pPr>
        <w:pStyle w:val="Heading1"/>
      </w:pPr>
      <w:r>
        <w:t>Evidence Register</w:t>
      </w:r>
    </w:p>
    <w:p>
      <w:r>
        <w:t xml:space="preserve">EVI-DIS-001 • survey • SYN-DISP-0001 • APPROVED • 96%</w:t>
      </w:r>
    </w:p>
    <w:p>
      <w:r>
        <w:t xml:space="preserve">EVI-DIS-002 • key_informant_interview • SYN-DISP-0002 • APPROVED • 97%</w:t>
      </w:r>
    </w:p>
    <w:p>
      <w:r>
        <w:t xml:space="preserve">EVI-DIS-003 • administrative_record • SYN-DISP-0003 • APPROVED • 98%</w:t>
      </w:r>
    </w:p>
    <w:p>
      <w:r>
        <w:t xml:space="preserve">EVI-DIS-004 • survey • SYN-DISP-0004 • APPROVED • 88%</w:t>
      </w:r>
    </w:p>
    <w:p>
      <w:r>
        <w:t xml:space="preserve">EVI-DIS-005 • key_informant_interview • SYN-DISP-0005 • APPROVED • 89%</w:t>
      </w:r>
    </w:p>
    <w:p>
      <w:r>
        <w:t xml:space="preserve">EVI-DIS-006 • administrative_record • SYN-DISP-0006 • APPROVED • 90%</w:t>
      </w:r>
    </w:p>
    <w:p>
      <w:r>
        <w:t xml:space="preserve">EVI-DIS-007 • survey • SYN-DISP-0007 • APPROVED • 91%</w:t>
      </w:r>
    </w:p>
    <w:p>
      <w:r>
        <w:t xml:space="preserve">EVI-DIS-008 • key_informant_interview • SYN-DISP-0008 • APPROVED • 92%</w:t>
      </w:r>
    </w:p>
    <w:p>
      <w:r>
        <w:t xml:space="preserve">EVI-DIS-009 • administrative_record • SYN-DISP-0009 • APPROVED • 93%</w:t>
      </w:r>
    </w:p>
    <w:p>
      <w:r>
        <w:t xml:space="preserve">EVI-DIS-010 • survey • SYN-DISP-0010 • APPROVED • 94%</w:t>
      </w:r>
    </w:p>
    <w:p>
      <w:pPr>
        <w:pStyle w:val="Heading1"/>
      </w:pPr>
      <w:r>
        <w:t>Data Dictionary</w:t>
      </w:r>
    </w:p>
    <w:p>
      <w:r>
        <w:t xml:space="preserve">indicator_1: Synthetic Displacement and Durable Solutions indicator 1; numeric; allowed: 0–100; missing: NA</w:t>
      </w:r>
    </w:p>
    <w:p>
      <w:r>
        <w:t xml:space="preserve">indicator_2: Synthetic Displacement and Durable Solutions indicator 2; categorical; allowed: Documented code list; missing: NA</w:t>
      </w:r>
    </w:p>
    <w:p>
      <w:r>
        <w:t xml:space="preserve">indicator_3: Synthetic Displacement and Durable Solutions indicator 3; categorical; allowed: Documented code list; missing: NA</w:t>
      </w:r>
    </w:p>
    <w:p>
      <w:r>
        <w:t xml:space="preserve">indicator_4: Synthetic Displacement and Durable Solutions indicator 4; numeric; allowed: 0–100; missing: NA</w:t>
      </w:r>
    </w:p>
    <w:p>
      <w:r>
        <w:t xml:space="preserve">indicator_5: Synthetic Displacement and Durable Solutions indicator 5; categorical; allowed: Documented code list; missing: NA</w:t>
      </w:r>
    </w:p>
    <w:p>
      <w:r>
        <w:t xml:space="preserve">indicator_6: Synthetic Displacement and Durable Solutions indicator 6; categorical; allowed: Documented code list; missing: NA</w:t>
      </w:r>
    </w:p>
    <w:p>
      <w:r>
        <w:t xml:space="preserve">indicator_7: Synthetic Displacement and Durable Solutions indicator 7; numeric; allowed: 0–100; missing: NA</w:t>
      </w:r>
    </w:p>
    <w:p>
      <w:r>
        <w:t xml:space="preserve">indicator_8: Synthetic Displacement and Durable Solutions indicator 8; categorical; allowed: Documented code list; missing: NA</w:t>
      </w:r>
    </w:p>
    <w:p>
      <w:r>
        <w:t xml:space="preserve">indicator_9: Synthetic Displacement and Durable Solutions indicator 9; categorical; allowed: Documented code list; missing: NA</w:t>
      </w:r>
    </w:p>
    <w:p>
      <w:r>
        <w:t xml:space="preserve">indicator_10: Synthetic Displacement and Durable Solutions indicator 10; numeric; allowed: 0–100; missing: NA</w:t>
      </w:r>
    </w:p>
    <w:p>
      <w:r>
        <w:t xml:space="preserve">indicator_11: Synthetic Displacement and Durable Solutions indicator 11; categorical; allowed: Documented code list; missing: NA</w:t>
      </w:r>
    </w:p>
    <w:p>
      <w:r>
        <w:t xml:space="preserve">indicator_12: Synthetic Displacement and Durable Solutions indicator 12; categorical; allowed: Documented code list; missing: NA</w:t>
      </w:r>
    </w:p>
    <w:p>
      <w:pPr>
        <w:pStyle w:val="Heading1"/>
      </w:pPr>
      <w:r>
        <w:t>Limitations &amp; Responsible Use</w:t>
      </w:r>
    </w:p>
    <w:p>
      <w:r>
        <w:t xml:space="preserve">All content is synthetic and must not be interpreted as official statistics</w:t>
      </w:r>
    </w:p>
    <w:p>
      <w:r>
        <w:t xml:space="preserve">Geographic references are illustrative</w:t>
      </w:r>
    </w:p>
    <w:p>
      <w:r>
        <w:t xml:space="preserve">Budget implications are directional and require formal costing</w:t>
      </w:r>
    </w:p>
    <w:p>
      <w:r>
        <w:t xml:space="preserve">Causal claims are not made without an appropriate design</w:t>
      </w:r>
    </w:p>
    <w:sectPr>
      <w:pgSz w:w="11906" w:h="16838"/>
      <w:pgMar w:top="1100" w:right="1100" w:bottom="1100" w:left="1100"/>
    </w:sectPr>
  </w:body>
</w:document>
</file>

<file path=word/styles.xml><?xml version="1.0" encoding="utf-8"?>
<w:styles xmlns:w="http://schemas.openxmlformats.org/wordprocessingml/2006/main">
  <w:style w:type="paragraph" w:default="1" w:styleId="Normal">
    <w:name w:val="Normal"/>
    <w:rPr>
      <w:rFonts w:ascii="Aptos"/>
      <w:sz w:val="22"/>
    </w:rPr>
  </w:style>
  <w:style w:type="paragraph" w:styleId="Heading1">
    <w:name w:val="heading 1"/>
    <w:basedOn w:val="Normal"/>
    <w:rPr>
      <w:b/>
      <w:color w:val="0B2E59"/>
      <w:sz w:val="32"/>
    </w:rPr>
  </w:style>
  <w:style w:type="paragraph" w:styleId="Heading2">
    <w:name w:val="heading 2"/>
    <w:basedOn w:val="Normal"/>
    <w:rPr>
      <w:b/>
      <w:color w:val="1C7ED6"/>
      <w:sz w:val="26"/>
    </w:rPr>
  </w:style>
</w:styles>
</file>

<file path=word/_rels/document.xml.rels><?xml version="1.0"?><Relationships xmlns="http://schemas.openxmlformats.org/package/2006/relationships"><Relationship Id="rId1" Type="http://schemas.openxmlformats.org/officeDocument/2006/relationships/styles" Target="styles.xml"/></Relationships>
</file>