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200"/>
      </w:pPr>
      <w:r>
        <w:rPr>
          <w:b/>
          <w:sz w:val="42"/>
        </w:rPr>
        <w:t>Donor Impact Evaluation Report</w:t>
      </w:r>
    </w:p>
    <w:p>
      <w:r>
        <w:t xml:space="preserve">VoiceInsights Africa — Full Synthetic Demonstration Publication</w:t>
      </w:r>
    </w:p>
    <w:p>
      <w:r>
        <w:t xml:space="preserve">Synthetic Demonstration Publication produced by VoiceInsights Africa. All people, quotations, locations and statistics are synthetic, internally governed demonstration content and are not official statistics.</w:t>
      </w:r>
    </w:p>
    <w:p>
      <w:pPr>
        <w:pStyle w:val="Heading1"/>
      </w:pPr>
      <w:r>
        <w:t>Executive Intelligence</w:t>
      </w:r>
    </w:p>
    <w:p>
      <w:r>
        <w:t xml:space="preserve">Every number in this publication answers one question: what is actually happening with integrated livelihoods performance in Uganda, and for whom. The pattern that emerges is one of uneven progress, concentrated risk, and opportunities that remain genuinely actionable. The discipline behind this publication is traceability — synthetic evidence behind every finding, a named owner behind every recommendation, one internally consistent dataset behind every statistic.</w:t>
      </w:r>
    </w:p>
    <w:p>
      <w:pPr>
        <w:pStyle w:val="Heading1"/>
      </w:pPr>
      <w:r>
        <w:t>Table of Contents</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pPr>
        <w:pStyle w:val="Heading1"/>
      </w:pPr>
      <w:r>
        <w:t>Critical Findings</w:t>
      </w:r>
    </w:p>
    <w:p>
      <w:pPr>
        <w:pStyle w:val="Heading2"/>
      </w:pPr>
      <w:r>
        <w:t>Outcome additionality</w:t>
      </w:r>
    </w:p>
    <w:p>
      <w:r>
        <w:t xml:space="preserve">63%. That is the outcome additionality signal recorded in Northern Livelihoods Cluster, and the headline figure understates the problem: disaggregated by group, rural women sit well below it. The clearest gap sits in Northern Livelihoods Cluster, concentrated among rural women. A twelve-month delay would let the gap compound into a harder, costlier problem.</w:t>
      </w:r>
    </w:p>
    <w:p>
      <w:r>
        <w:t xml:space="preserve">Evidence: EVI-DON-001, EVI-DON-004 • Confidence 93%</w:t>
      </w:r>
    </w:p>
    <w:p>
      <w:pPr>
        <w:pStyle w:val="Heading2"/>
      </w:pPr>
      <w:r>
        <w:t>Value for money</w:t>
      </w:r>
    </w:p>
    <w:p>
      <w:r>
        <w:t xml:space="preserve">What would it take to fix value for money? Start with Eastern Enterprise Cluster, where the signal sits at 64% and young adults carry most of the shortfall. The honest answer is sustained attention, not a single intervention. Eastern Enterprise Cluster shows the sharpest divide, where young adults carry the largest share of the gap. Left unaddressed for a year, the imbalance is likely to erode equity, delivery confidence and the durability of results.</w:t>
      </w:r>
    </w:p>
    <w:p>
      <w:r>
        <w:t xml:space="preserve">Evidence: EVI-DON-002, EVI-DON-005 • Confidence 94%</w:t>
      </w:r>
    </w:p>
    <w:p>
      <w:pPr>
        <w:pStyle w:val="Heading2"/>
      </w:pPr>
      <w:r>
        <w:t>Livelihood resilience</w:t>
      </w:r>
    </w:p>
    <w:p>
      <w:r>
        <w:t xml:space="preserve">The aggregate result conceals a material implementation divide. Lake Communities records a 65% signal for livelihood resilience; the shortfall is concentrated among persons with disabilities, where service continuity and confidence move together. Of every study area examined in Uganda, livelihood resilience shows up hardest there, and persons with disabilities feel it most. A year of inaction would turn a gap into a pattern that is far harder to reverse.</w:t>
      </w:r>
    </w:p>
    <w:p>
      <w:r>
        <w:t xml:space="preserve">Evidence: EVI-DON-003, EVI-DON-006 • Confidence 89.5%</w:t>
      </w:r>
    </w:p>
    <w:p>
      <w:pPr>
        <w:pStyle w:val="Heading2"/>
      </w:pPr>
      <w:r>
        <w:t>Gendered benefit distribution</w:t>
      </w:r>
    </w:p>
    <w:p>
      <w:r>
        <w:t xml:space="preserve">Two things are true at once about gendered benefit distribution. The national picture is improving, and Central Markets — where frontline workers report a 66% signal — is not improving fast enough to close the gap. Integrated livelihoods performance in Uganda looks stable in aggregate but splits sharply once gendered benefit distribution is disaggregated. Central Markets anchors the low end, and frontline workers bear most of that shortfall — a pattern that risks compounding without intervention within the year.</w:t>
      </w:r>
    </w:p>
    <w:p>
      <w:r>
        <w:t xml:space="preserve">Evidence: EVI-DON-004, EVI-DON-007 • Confidence 90.5%</w:t>
      </w:r>
    </w:p>
    <w:p>
      <w:pPr>
        <w:pStyle w:val="Heading2"/>
      </w:pPr>
      <w:r>
        <w:t>Sustainability after exit</w:t>
      </w:r>
    </w:p>
    <w:p>
      <w:r>
        <w:t xml:space="preserve">The strategic opportunity lies in the variation, not the average. At 67%, Northern Livelihoods Cluster's sustainability after exit signal shows where implementation can move quickly, while the experience of low-income households defines the safeguard that must accompany scale. The same gap that makes sustainability after exit a risk also makes it an opportunity: Northern Livelihoods Cluster could close most of the distance to the rest of Uganda within a year if action starts now, with the clearest gains reaching low-income households first.</w:t>
      </w:r>
    </w:p>
    <w:p>
      <w:r>
        <w:t xml:space="preserve">Evidence: EVI-DON-005, EVI-DON-008 • Confidence 91.5%</w:t>
      </w:r>
    </w:p>
    <w:p>
      <w:pPr>
        <w:pStyle w:val="Heading1"/>
      </w:pPr>
      <w:r>
        <w:t>Regional Intelligence</w:t>
      </w:r>
    </w:p>
    <w:p>
      <w:r>
        <w:t xml:space="preserve">Northern Livelihoods Cluster: 73% • 537 responses • Risk STABLE</w:t>
      </w:r>
    </w:p>
    <w:p>
      <w:r>
        <w:t xml:space="preserve">Eastern Enterprise Cluster: 74% • 466 responses • Risk STABLE</w:t>
      </w:r>
    </w:p>
    <w:p>
      <w:r>
        <w:t xml:space="preserve">Lake Communities: 75% • 397 responses • Risk STABLE</w:t>
      </w:r>
    </w:p>
    <w:p>
      <w:r>
        <w:t xml:space="preserve">Central Markets: 76% • 328 responses • Risk STABLE</w:t>
      </w:r>
    </w:p>
    <w:p>
      <w:pPr>
        <w:pStyle w:val="Heading1"/>
      </w:pPr>
      <w:r>
        <w:t>Indicators and Target Gaps</w:t>
      </w:r>
    </w:p>
    <w:p>
      <w:r>
        <w:t xml:space="preserve">IND-01 Outcome additionality index: 73% vs 80% — WATCH</w:t>
      </w:r>
    </w:p>
    <w:p>
      <w:r>
        <w:t xml:space="preserve">IND-02 Cost per sustained outcome: 74% vs 81% — WATCH</w:t>
      </w:r>
    </w:p>
    <w:p>
      <w:r>
        <w:t xml:space="preserve">IND-03 Resilience capacity score: 75% vs 82% — WATCH</w:t>
      </w:r>
    </w:p>
    <w:p>
      <w:r>
        <w:t xml:space="preserve">IND-04 Women-controlled income gain: 76% vs 83% — WATCH</w:t>
      </w:r>
    </w:p>
    <w:p>
      <w:pPr>
        <w:pStyle w:val="Heading1"/>
      </w:pPr>
      <w:r>
        <w:t>Respondent Voice</w:t>
      </w:r>
    </w:p>
    <w:p>
      <w:r>
        <w:t xml:space="preserve">Northern Livelihoods Cluster: “In Northern Livelihoods Cluster, outcome additionality shapes whether rural women can turn services into lasting outcomes.”</w:t>
      </w:r>
    </w:p>
    <w:p>
      <w:r>
        <w:t xml:space="preserve">Eastern Enterprise Cluster: “Young adults in Eastern Enterprise Cluster put it plainly: value for money is what decides whether progress holds or slips back.”</w:t>
      </w:r>
    </w:p>
    <w:p>
      <w:r>
        <w:t xml:space="preserve">Lake Communities: “Why does Lake Communities lag behind? Ask persons with disabilities, and the answer comes back to livelihood resilience.”</w:t>
      </w:r>
    </w:p>
    <w:p>
      <w:r>
        <w:t xml:space="preserve">Central Markets: “Elsewhere, gendered benefit distribution might be a footnote. For frontline workers in Central Markets, it is the whole story.”</w:t>
      </w:r>
    </w:p>
    <w:p>
      <w:r>
        <w:t xml:space="preserve">Northern Livelihoods Cluster: “Low-income households in Northern Livelihoods Cluster frame it simply: when sustainability after exit breaks down, everything else does too.”</w:t>
      </w:r>
    </w:p>
    <w:p>
      <w:r>
        <w:t xml:space="preserve">Eastern Enterprise Cluster: “In Eastern Enterprise Cluster, outcome additionality shapes whether service managers can turn services into lasting outcomes.”</w:t>
      </w:r>
    </w:p>
    <w:p>
      <w:r>
        <w:t xml:space="preserve">Lake Communities: “Community leaders in Lake Communities put it plainly: value for money is what decides whether progress holds or slips back.”</w:t>
      </w:r>
    </w:p>
    <w:p>
      <w:r>
        <w:t xml:space="preserve">Central Markets: “Why does Central Markets lag behind? Ask private-sector partners, and the answer comes back to livelihood resilience.”</w:t>
      </w:r>
    </w:p>
    <w:p>
      <w:r>
        <w:t xml:space="preserve">Northern Livelihoods Cluster: “Elsewhere, gendered benefit distribution might be a footnote. For rural women in Northern Livelihoods Cluster, it is the whole story.”</w:t>
      </w:r>
    </w:p>
    <w:p>
      <w:r>
        <w:t xml:space="preserve">Eastern Enterprise Cluster: “Young adults in Eastern Enterprise Cluster frame it simply: when sustainability after exit breaks down, everything else does too.”</w:t>
      </w:r>
    </w:p>
    <w:p>
      <w:pPr>
        <w:pStyle w:val="Heading1"/>
      </w:pPr>
      <w:r>
        <w:t>Decision Intelligence</w:t>
      </w:r>
    </w:p>
    <w:p>
      <w:pPr>
        <w:pStyle w:val="Heading2"/>
      </w:pPr>
      <w:r>
        <w:t>DEC-DON-01 CRITICAL</w:t>
      </w:r>
    </w:p>
    <w:p>
      <w:r>
        <w:t xml:space="preserve">Approve an adaptive results and learning window.</w:t>
      </w:r>
    </w:p>
    <w:p>
      <w:r>
        <w:t xml:space="preserve">Owner: Country Director / Programme Executive • Timeline: 0–90 days • Budget: High — full business case and multi-year funding commitment required • Indicator: Quarterly-verified progress against the milestones agreed for this critical-tier decision (DEC-DON-01)</w:t>
      </w:r>
    </w:p>
    <w:p>
      <w:pPr>
        <w:pStyle w:val="Heading2"/>
      </w:pPr>
      <w:r>
        <w:t>DEC-DON-02 CRITICAL</w:t>
      </w:r>
    </w:p>
    <w:p>
      <w:r>
        <w:t xml:space="preserve">Reallocate financing toward high-additionality pathways.</w:t>
      </w:r>
    </w:p>
    <w:p>
      <w:r>
        <w:t xml:space="preserve">Owner: Country Director / Programme Executive • Timeline: 3–12 months • Budget: Medium — detailed costing and fiduciary review required • Indicator: Number of agreed milestones for DEC-DON-02 confirmed complete at each quarterly review</w:t>
      </w:r>
    </w:p>
    <w:p>
      <w:pPr>
        <w:pStyle w:val="Heading2"/>
      </w:pPr>
      <w:r>
        <w:t>DEC-DON-03 HIGH</w:t>
      </w:r>
    </w:p>
    <w:p>
      <w:r>
        <w:t xml:space="preserve">Introduce equity-weighted value-for-money reviews.</w:t>
      </w:r>
    </w:p>
    <w:p>
      <w:r>
        <w:t xml:space="preserve">Owner: Country Director / Programme Executive • Timeline: 3–12 months • Budget: Low — absorbable within existing allocations, subject to confirmation • Indicator: Percentage of agreed milestones completed for DEC-DON-03</w:t>
      </w:r>
    </w:p>
    <w:p>
      <w:pPr>
        <w:pStyle w:val="Heading2"/>
      </w:pPr>
      <w:r>
        <w:t>DEC-DON-04 HIGH</w:t>
      </w:r>
    </w:p>
    <w:p>
      <w:r>
        <w:t xml:space="preserve">Fund partner transition and institutional ownership.</w:t>
      </w:r>
    </w:p>
    <w:p>
      <w:r>
        <w:t xml:space="preserve">Owner: Country Director / Programme Executive • Timeline: 3–12 months • Budget: Low — deliverable inside the current operating budget with light validation • Indicator: Share of the high-tier delivery plan confirmed complete each quarter (DEC-DON-04)</w:t>
      </w:r>
    </w:p>
    <w:p>
      <w:pPr>
        <w:pStyle w:val="Heading2"/>
      </w:pPr>
      <w:r>
        <w:t>DEC-DON-05 MEDIUM</w:t>
      </w:r>
    </w:p>
    <w:p>
      <w:r>
        <w:t xml:space="preserve">Commission a pre-exit sustainability verification.</w:t>
      </w:r>
    </w:p>
    <w:p>
      <w:r>
        <w:t xml:space="preserve">Owner: Country Director / Programme Executive • Timeline: 6–18 months • Budget: Medium — likely fundable from existing lines, pending confirmation • Indicator: Milestone completion rate tracked against the DEC-DON-05 delivery plan</w:t>
      </w:r>
    </w:p>
    <w:p>
      <w:pPr>
        <w:pStyle w:val="Heading1"/>
      </w:pPr>
      <w:r>
        <w:t>Methodology</w:t>
      </w:r>
    </w:p>
    <w:p>
      <w:r>
        <w:t xml:space="preserve">research objectives: ["Assess integrated livelihoods performance and equity","Identify operational drivers and decision priorities"]</w:t>
      </w:r>
    </w:p>
    <w:p>
      <w:r>
        <w:t xml:space="preserve">evaluation questions: ["What outcomes are changing?","Who is being left behind?","Which actions are most likely to improve performance?"]</w:t>
      </w:r>
    </w:p>
    <w:p>
      <w:r>
        <w:t xml:space="preserve">sampling frame: Synthetic programme population frame for Uganda</w:t>
      </w:r>
    </w:p>
    <w:p>
      <w:r>
        <w:t xml:space="preserve">sample size: 1728</w:t>
      </w:r>
    </w:p>
    <w:p>
      <w:r>
        <w:t xml:space="preserve">stratification: ["Region","Location type","Sex","Age","Disability"]</w:t>
      </w:r>
    </w:p>
    <w:p>
      <w:r>
        <w:t xml:space="preserve">weights: Normalized post-stratification weights</w:t>
      </w:r>
    </w:p>
    <w:p>
      <w:r>
        <w:t xml:space="preserve">confidence intervals: 95%</w:t>
      </w:r>
    </w:p>
    <w:p>
      <w:r>
        <w:t xml:space="preserve">design effect: 1.8</w:t>
      </w:r>
    </w:p>
    <w:p>
      <w:r>
        <w:t xml:space="preserve">missing data: Documented and sensitivity-tested</w:t>
      </w:r>
    </w:p>
    <w:p>
      <w:r>
        <w:t xml:space="preserve">reliability: Cronbach alpha 0.86</w:t>
      </w:r>
    </w:p>
    <w:p>
      <w:r>
        <w:t xml:space="preserve">validity: Content and construct validity checks</w:t>
      </w:r>
    </w:p>
    <w:p>
      <w:r>
        <w:t xml:space="preserve">metadata: Complete synthetic data dictionary and lineage registry</w:t>
      </w:r>
    </w:p>
    <w:p>
      <w:pPr>
        <w:pStyle w:val="Heading1"/>
      </w:pPr>
      <w:r>
        <w:t>Institutional &amp; Methodology Assurance</w:t>
      </w:r>
    </w:p>
    <w:p>
      <w:r>
        <w:t xml:space="preserve">protocol: Governed synthetic research protocol with sampling, weighting, reliability, validity and reproducibility controls</w:t>
      </w:r>
    </w:p>
    <w:p>
      <w:r>
        <w:t xml:space="preserve">ethics: Synthetic records only; no real participants or personal data</w:t>
      </w:r>
    </w:p>
    <w:p>
      <w:r>
        <w:t xml:space="preserve">peer review: Independent synthetic-publication review checklist completed</w:t>
      </w:r>
    </w:p>
    <w:p>
      <w:r>
        <w:t xml:space="preserve">reproducibility: Deterministic inputs, versioned dataset and export manifest</w:t>
      </w:r>
    </w:p>
    <w:p>
      <w:pPr>
        <w:pStyle w:val="Heading1"/>
      </w:pPr>
      <w:r>
        <w:t>Analytical Depth &amp; Reproducibility</w:t>
      </w:r>
    </w:p>
    <w:p>
      <w:r>
        <w:t xml:space="preserve">inferential statistics: Enabled where assumptions and design permit</w:t>
      </w:r>
    </w:p>
    <w:p>
      <w:r>
        <w:t xml:space="preserve">segmentation: Evidence-led segments</w:t>
      </w:r>
    </w:p>
    <w:p>
      <w:r>
        <w:t xml:space="preserve">trend analysis: Three-period synthetic series</w:t>
      </w:r>
    </w:p>
    <w:p>
      <w:pPr>
        <w:pStyle w:val="Heading1"/>
      </w:pPr>
      <w:r>
        <w:t>Decision Architecture</w:t>
      </w:r>
    </w:p>
    <w:p>
      <w:pPr>
        <w:pStyle w:val="Heading2"/>
      </w:pPr>
      <w:r>
        <w:t>DEC-DON-01</w:t>
      </w:r>
    </w:p>
    <w:p>
      <w:r>
        <w:t xml:space="preserve">Approve an adaptive results and learning window.</w:t>
      </w:r>
    </w:p>
    <w:p>
      <w:r>
        <w:t xml:space="preserve">Owner: Country Director / Programme Executive • Window: 0–90 days • Cost: High — full business case and multi-year funding commitment required • Indicator: Quarterly-verified progress against the milestones agreed for this critical-tier decision (DEC-DON-01)</w:t>
      </w:r>
    </w:p>
    <w:p>
      <w:pPr>
        <w:pStyle w:val="Heading2"/>
      </w:pPr>
      <w:r>
        <w:t>DEC-DON-02</w:t>
      </w:r>
    </w:p>
    <w:p>
      <w:r>
        <w:t xml:space="preserve">Reallocate financing toward high-additionality pathways.</w:t>
      </w:r>
    </w:p>
    <w:p>
      <w:r>
        <w:t xml:space="preserve">Owner: Country Director / Programme Executive • Window: 3–12 months • Cost: Medium — detailed costing and fiduciary review required • Indicator: Number of agreed milestones for DEC-DON-02 confirmed complete at each quarterly review</w:t>
      </w:r>
    </w:p>
    <w:p>
      <w:pPr>
        <w:pStyle w:val="Heading2"/>
      </w:pPr>
      <w:r>
        <w:t>DEC-DON-03</w:t>
      </w:r>
    </w:p>
    <w:p>
      <w:r>
        <w:t xml:space="preserve">Introduce equity-weighted value-for-money reviews.</w:t>
      </w:r>
    </w:p>
    <w:p>
      <w:r>
        <w:t xml:space="preserve">Owner: Country Director / Programme Executive • Window: 3–12 months • Cost: Low — absorbable within existing allocations, subject to confirmation • Indicator: Percentage of agreed milestones completed for DEC-DON-03</w:t>
      </w:r>
    </w:p>
    <w:p>
      <w:pPr>
        <w:pStyle w:val="Heading2"/>
      </w:pPr>
      <w:r>
        <w:t>DEC-DON-04</w:t>
      </w:r>
    </w:p>
    <w:p>
      <w:r>
        <w:t xml:space="preserve">Fund partner transition and institutional ownership.</w:t>
      </w:r>
    </w:p>
    <w:p>
      <w:r>
        <w:t xml:space="preserve">Owner: Country Director / Programme Executive • Window: 3–12 months • Cost: Low — deliverable inside the current operating budget with light validation • Indicator: Share of the high-tier delivery plan confirmed complete each quarter (DEC-DON-04)</w:t>
      </w:r>
    </w:p>
    <w:p>
      <w:pPr>
        <w:pStyle w:val="Heading2"/>
      </w:pPr>
      <w:r>
        <w:t>DEC-DON-05</w:t>
      </w:r>
    </w:p>
    <w:p>
      <w:r>
        <w:t xml:space="preserve">Commission a pre-exit sustainability verification.</w:t>
      </w:r>
    </w:p>
    <w:p>
      <w:r>
        <w:t xml:space="preserve">Owner: Country Director / Programme Executive • Window: 6–18 months • Cost: Medium — likely fundable from existing lines, pending confirmation • Indicator: Milestone completion rate tracked against the DEC-DON-05 delivery plan</w:t>
      </w:r>
    </w:p>
    <w:p>
      <w:pPr>
        <w:pStyle w:val="Heading1"/>
      </w:pPr>
      <w:r>
        <w:t>Evidence Lineage &amp; Citation Registry</w:t>
      </w:r>
    </w:p>
    <w:p>
      <w:r>
        <w:t xml:space="preserve">EVI-DON-001: [object Object] • APPROVED_SYNTHETIC_DEMONSTRATION • 97%</w:t>
      </w:r>
    </w:p>
    <w:p>
      <w:r>
        <w:t xml:space="preserve">EVI-DON-002: [object Object] • APPROVED_SYNTHETIC_DEMONSTRATION • 98%</w:t>
      </w:r>
    </w:p>
    <w:p>
      <w:r>
        <w:t xml:space="preserve">EVI-DON-003: [object Object] • APPROVED_SYNTHETIC_DEMONSTRATION • 88%</w:t>
      </w:r>
    </w:p>
    <w:p>
      <w:r>
        <w:t xml:space="preserve">EVI-DON-004: [object Object] • APPROVED_SYNTHETIC_DEMONSTRATION • 89%</w:t>
      </w:r>
    </w:p>
    <w:p>
      <w:r>
        <w:t xml:space="preserve">EVI-DON-005: [object Object] • APPROVED_SYNTHETIC_DEMONSTRATION • 90%</w:t>
      </w:r>
    </w:p>
    <w:p>
      <w:r>
        <w:t xml:space="preserve">EVI-DON-006: [object Object] • APPROVED_SYNTHETIC_DEMONSTRATION • 91%</w:t>
      </w:r>
    </w:p>
    <w:p>
      <w:r>
        <w:t xml:space="preserve">EVI-DON-007: [object Object] • APPROVED_SYNTHETIC_DEMONSTRATION • 92%</w:t>
      </w:r>
    </w:p>
    <w:p>
      <w:r>
        <w:t xml:space="preserve">EVI-DON-008: [object Object] • APPROVED_SYNTHETIC_DEMONSTRATION • 93%</w:t>
      </w:r>
    </w:p>
    <w:p>
      <w:r>
        <w:t xml:space="preserve">EVI-DON-009: [object Object] • APPROVED_SYNTHETIC_DEMONSTRATION • 94%</w:t>
      </w:r>
    </w:p>
    <w:p>
      <w:r>
        <w:t xml:space="preserve">EVI-DON-010: [object Object] • APPROVED_SYNTHETIC_DEMONSTRATION • 95%</w:t>
      </w:r>
    </w:p>
    <w:p>
      <w:r>
        <w:t xml:space="preserve">CIT-EVI-DON-001: VoiceInsights Africa. Donor Impact Evaluation Report. synthetic-donor-impact-evaluation-2026.1, EVI-DON-001, Q1: How does outcome additionality affect integrated livelihoods outcomes in Northern Livelihoods Cluster?</w:t>
      </w:r>
    </w:p>
    <w:p>
      <w:r>
        <w:t xml:space="preserve">CIT-EVI-DON-002: VoiceInsights Africa. Donor Impact Evaluation Report. synthetic-donor-impact-evaluation-2026.1, EVI-DON-002, Q2: How does value for money affect integrated livelihoods outcomes in Eastern Enterprise Cluster?</w:t>
      </w:r>
    </w:p>
    <w:p>
      <w:r>
        <w:t xml:space="preserve">CIT-EVI-DON-003: VoiceInsights Africa. Donor Impact Evaluation Report. synthetic-donor-impact-evaluation-2026.1, EVI-DON-003, Q3: How does livelihood resilience affect integrated livelihoods outcomes in Lake Communities?</w:t>
      </w:r>
    </w:p>
    <w:p>
      <w:r>
        <w:t xml:space="preserve">CIT-EVI-DON-004: VoiceInsights Africa. Donor Impact Evaluation Report. synthetic-donor-impact-evaluation-2026.1, EVI-DON-004, Q4: How does gendered benefit distribution affect integrated livelihoods outcomes in Central Markets?</w:t>
      </w:r>
    </w:p>
    <w:p>
      <w:r>
        <w:t xml:space="preserve">CIT-EVI-DON-005: VoiceInsights Africa. Donor Impact Evaluation Report. synthetic-donor-impact-evaluation-2026.1, EVI-DON-005, Q5: How does sustainability after exit affect integrated livelihoods outcomes in Northern Livelihoods Cluster?</w:t>
      </w:r>
    </w:p>
    <w:p>
      <w:r>
        <w:t xml:space="preserve">CIT-EVI-DON-006: VoiceInsights Africa. Donor Impact Evaluation Report. synthetic-donor-impact-evaluation-2026.1, EVI-DON-006, Q6: How does outcome additionality affect integrated livelihoods outcomes in Eastern Enterprise Cluster?</w:t>
      </w:r>
    </w:p>
    <w:p>
      <w:r>
        <w:t xml:space="preserve">CIT-EVI-DON-007: VoiceInsights Africa. Donor Impact Evaluation Report. synthetic-donor-impact-evaluation-2026.1, EVI-DON-007, Q7: How does value for money affect integrated livelihoods outcomes in Lake Communities?</w:t>
      </w:r>
    </w:p>
    <w:p>
      <w:r>
        <w:t xml:space="preserve">CIT-EVI-DON-008: VoiceInsights Africa. Donor Impact Evaluation Report. synthetic-donor-impact-evaluation-2026.1, EVI-DON-008, Q8: How does livelihood resilience affect integrated livelihoods outcomes in Central Markets?</w:t>
      </w:r>
    </w:p>
    <w:p>
      <w:r>
        <w:t xml:space="preserve">CIT-EVI-DON-009: VoiceInsights Africa. Donor Impact Evaluation Report. synthetic-donor-impact-evaluation-2026.1, EVI-DON-009, Q9: How does gendered benefit distribution affect integrated livelihoods outcomes in Northern Livelihoods Cluster?</w:t>
      </w:r>
    </w:p>
    <w:p>
      <w:r>
        <w:t xml:space="preserve">CIT-EVI-DON-010: VoiceInsights Africa. Donor Impact Evaluation Report. synthetic-donor-impact-evaluation-2026.1, EVI-DON-010, Q10: How does sustainability after exit affect integrated livelihoods outcomes in Eastern Enterprise Cluster?</w:t>
      </w:r>
    </w:p>
    <w:p>
      <w:pPr>
        <w:pStyle w:val="Heading1"/>
      </w:pPr>
      <w:r>
        <w:t>Publication Architecture</w:t>
      </w:r>
    </w:p>
    <w:p>
      <w:r>
        <w:t xml:space="preserve">Executive Intelligence Book (2–7): Executive brief; Decision snapshot; Risks; Opportunities; Budget implications</w:t>
      </w:r>
    </w:p>
    <w:p>
      <w:r>
        <w:t xml:space="preserve">Evidence Intelligence Book (8–15): Critical findings; Respondent voice; Evidence chains; Citation registry</w:t>
      </w:r>
    </w:p>
    <w:p>
      <w:r>
        <w:t xml:space="preserve">Statistical Intelligence Book (16–22): Sampling; Weighting; Uncertainty; Reliability; Model diagnostics</w:t>
      </w:r>
    </w:p>
    <w:p>
      <w:r>
        <w:t xml:space="preserve">Decision Intelligence Book (23–27): Decision matrix; Ownership; Budget; Roadmap; Management response</w:t>
      </w:r>
    </w:p>
    <w:p>
      <w:r>
        <w:t xml:space="preserve">Standards &amp; Assurance (28–31): Relevant frameworks; Safeguarding; Privacy; Responsible AI; Accessibility</w:t>
      </w:r>
    </w:p>
    <w:p>
      <w:r>
        <w:t xml:space="preserve">Technical Appendices (32–34): Data dictionary; Quality gate; Export manifest; Responsible-use notice</w:t>
      </w:r>
    </w:p>
    <w:p>
      <w:pPr>
        <w:pStyle w:val="Heading1"/>
      </w:pPr>
      <w:r>
        <w:t>Peer Review &amp; Accessibility</w:t>
      </w:r>
    </w:p>
    <w:p>
      <w:r>
        <w:t xml:space="preserve">wcag target: WCAG 2.2 AA</w:t>
      </w:r>
    </w:p>
    <w:p>
      <w:r>
        <w:t xml:space="preserve">tagged pdf required: true</w:t>
      </w:r>
    </w:p>
    <w:p>
      <w:r>
        <w:t xml:space="preserve">alt text required: true</w:t>
      </w:r>
    </w:p>
    <w:p>
      <w:r>
        <w:t xml:space="preserve">table fallback required: true</w:t>
      </w:r>
    </w:p>
    <w:p>
      <w:r>
        <w:t xml:space="preserve">keyboard navigation required: true</w:t>
      </w:r>
    </w:p>
    <w:p>
      <w:r>
        <w:t xml:space="preserve">colour independent labels required: true</w:t>
      </w:r>
    </w:p>
    <w:p>
      <w:pPr>
        <w:pStyle w:val="Heading1"/>
      </w:pPr>
      <w:r>
        <w:t>International Standards Alignment</w:t>
      </w:r>
    </w:p>
    <w:p>
      <w:r>
        <w:t xml:space="preserve">OECD-DAC: APPLIED_WHERE_RELEVANT — Mapped to EVI-DON-001, EVI-DON-002; Synthetic demonstration mapping; institutional validation not implied</w:t>
      </w:r>
    </w:p>
    <w:p>
      <w:r>
        <w:t xml:space="preserve">RBM: APPLIED_WHERE_RELEVANT — Mapped to EVI-DON-002, EVI-DON-003; Synthetic demonstration mapping; institutional validation not implied</w:t>
      </w:r>
    </w:p>
    <w:p>
      <w:r>
        <w:t xml:space="preserve">Theory of Change: APPLIED_WHERE_RELEVANT — Mapped to EVI-DON-003, EVI-DON-004; Synthetic demonstration mapping; institutional validation not implied</w:t>
      </w:r>
    </w:p>
    <w:p>
      <w:r>
        <w:t xml:space="preserve">UNEG: APPLIED_WHERE_RELEVANT — Mapped to EVI-DON-004, EVI-DON-005; Synthetic demonstration mapping; institutional validation not implied</w:t>
      </w:r>
    </w:p>
    <w:p>
      <w:r>
        <w:t xml:space="preserve">Gender Equality: APPLIED_WHERE_RELEVANT — Mapped to EVI-DON-005, EVI-DON-006; Synthetic demonstration mapping; institutional validation not implied</w:t>
      </w:r>
    </w:p>
    <w:p>
      <w:r>
        <w:t xml:space="preserve">Evidence Traceability: APPLIED — Control linked to EVI-DON-001 and the deterministic publication gate.</w:t>
      </w:r>
    </w:p>
    <w:p>
      <w:r>
        <w:t xml:space="preserve">Research Ethics: APPLIED — Control linked to EVI-DON-002 and the deterministic publication gate.</w:t>
      </w:r>
    </w:p>
    <w:p>
      <w:r>
        <w:t xml:space="preserve">Data Protection: APPLIED — Control linked to EVI-DON-003 and the deterministic publication gate.</w:t>
      </w:r>
    </w:p>
    <w:p>
      <w:r>
        <w:t xml:space="preserve">Accessibility: APPLIED — Control linked to EVI-DON-004 and the deterministic publication gate.</w:t>
      </w:r>
    </w:p>
    <w:p>
      <w:r>
        <w:t xml:space="preserve">Responsible AI: APPLIED — Control linked to EVI-DON-005 and the deterministic publication gate.</w:t>
      </w:r>
    </w:p>
    <w:p>
      <w:r>
        <w:t xml:space="preserve">Publication Integrity: APPLIED — Control linked to EVI-DON-006 and the deterministic publication gate.</w:t>
      </w:r>
    </w:p>
    <w:p>
      <w:pPr>
        <w:pStyle w:val="Heading1"/>
      </w:pPr>
      <w:r>
        <w:t>SDG Contribution</w:t>
      </w:r>
    </w:p>
    <w:p>
      <w:r>
        <w:t xml:space="preserve">SDG 1: undefined — Indicators —</w:t>
      </w:r>
    </w:p>
    <w:p>
      <w:r>
        <w:t xml:space="preserve">SDG 5: undefined — Indicators —</w:t>
      </w:r>
    </w:p>
    <w:p>
      <w:r>
        <w:t xml:space="preserve">SDG 8: undefined — Indicators —</w:t>
      </w:r>
    </w:p>
    <w:p>
      <w:r>
        <w:t xml:space="preserve">SDG 17: undefined — Indicators —</w:t>
      </w:r>
    </w:p>
    <w:p>
      <w:pPr>
        <w:pStyle w:val="Heading1"/>
      </w:pPr>
      <w:r>
        <w:t>OECD-DAC Evaluation Criteria</w:t>
      </w:r>
    </w:p>
    <w:p>
      <w:r>
        <w:t xml:space="preserve">Relevance: Synthetic evidence indicates a strong relevance signal, subject to the stated design limitations. (72/100) — Review relevance evidence at the next formal management gate.</w:t>
      </w:r>
    </w:p>
    <w:p>
      <w:r>
        <w:t xml:space="preserve">Coherence: Synthetic evidence indicates a moderate-to-strong coherence signal, subject to the stated design limitations. (73/100) — Review coherence evidence at the next formal management gate.</w:t>
      </w:r>
    </w:p>
    <w:p>
      <w:r>
        <w:t xml:space="preserve">Effectiveness: Synthetic evidence indicates a strong effectiveness signal, subject to the stated design limitations. (74/100) — Review effectiveness evidence at the next formal management gate.</w:t>
      </w:r>
    </w:p>
    <w:p>
      <w:r>
        <w:t xml:space="preserve">Efficiency: Synthetic evidence indicates a moderate-to-strong efficiency signal, subject to the stated design limitations. (75/100) — Review efficiency evidence at the next formal management gate.</w:t>
      </w:r>
    </w:p>
    <w:p>
      <w:r>
        <w:t xml:space="preserve">Impact: Synthetic evidence indicates a strong impact signal, subject to the stated design limitations. (76/100) — Review impact evidence at the next formal management gate.</w:t>
      </w:r>
    </w:p>
    <w:p>
      <w:r>
        <w:t xml:space="preserve">Sustainability: Synthetic evidence indicates a moderate-to-strong sustainability signal, subject to the stated design limitations. (77/100) — Review sustainability evidence at the next formal management gate.</w:t>
      </w:r>
    </w:p>
    <w:p>
      <w:pPr>
        <w:pStyle w:val="Heading1"/>
      </w:pPr>
      <w:r>
        <w:t>Results-Based Management</w:t>
      </w:r>
    </w:p>
    <w:p>
      <w:r>
        <w:t xml:space="preserve">Impact: Sustained, equitable improvement in integrated livelihoods performance</w:t>
      </w:r>
    </w:p>
    <w:p>
      <w:r>
        <w:t xml:space="preserve">OC-01: Improved integrated livelihoods delivery and accountability — Indicators IND-01, IND-02</w:t>
      </w:r>
    </w:p>
    <w:p>
      <w:r>
        <w:t xml:space="preserve">OC-02: More equitable and durable outcomes — Indicators IND-03, IND-04</w:t>
      </w:r>
    </w:p>
    <w:p>
      <w:r>
        <w:t xml:space="preserve">OUT-01: Verified findings and interpreted decision products</w:t>
      </w:r>
    </w:p>
    <w:p>
      <w:r>
        <w:t xml:space="preserve">OUT-02: Assigned actions with monitoring indicators</w:t>
      </w:r>
    </w:p>
    <w:p>
      <w:pPr>
        <w:pStyle w:val="Heading1"/>
      </w:pPr>
      <w:r>
        <w:t>CHS Accountability Mapping</w:t>
      </w:r>
    </w:p>
    <w:p>
      <w:r>
        <w:t xml:space="preserve">Commitment 1: CHS Commitment 1 — CONTEXT_ONLY. Validate relevance and assign an accountable owner before live use.</w:t>
      </w:r>
    </w:p>
    <w:p>
      <w:r>
        <w:t xml:space="preserve">Commitment 2: CHS Commitment 2 — CONTEXT_ONLY. Validate relevance and assign an accountable owner before live use.</w:t>
      </w:r>
    </w:p>
    <w:p>
      <w:r>
        <w:t xml:space="preserve">Commitment 3: CHS Commitment 3 — CONTEXT_ONLY. Validate relevance and assign an accountable owner before live use.</w:t>
      </w:r>
    </w:p>
    <w:p>
      <w:r>
        <w:t xml:space="preserve">Commitment 4: CHS Commitment 4 — CONTEXT_ONLY. Validate relevance and assign an accountable owner before live use.</w:t>
      </w:r>
    </w:p>
    <w:p>
      <w:r>
        <w:t xml:space="preserve">Commitment 5: CHS Commitment 5 — CONTEXT_ONLY. Validate relevance and assign an accountable owner before live use.</w:t>
      </w:r>
    </w:p>
    <w:p>
      <w:r>
        <w:t xml:space="preserve">Commitment 6: CHS Commitment 6 — CONTEXT_ONLY. Validate relevance and assign an accountable owner before live use.</w:t>
      </w:r>
    </w:p>
    <w:p>
      <w:r>
        <w:t xml:space="preserve">Commitment 7: CHS Commitment 7 — CONTEXT_ONLY. Validate relevance and assign an accountable owner before live use.</w:t>
      </w:r>
    </w:p>
    <w:p>
      <w:r>
        <w:t xml:space="preserve">Commitment 8: CHS Commitment 8 — CONTEXT_ONLY. Validate relevance and assign an accountable owner before live use.</w:t>
      </w:r>
    </w:p>
    <w:p>
      <w:r>
        <w:t xml:space="preserve">Commitment 9: CHS Commitment 9 — CONTEXT_ONLY. Validate relevance and assign an accountable owner before live use.</w:t>
      </w:r>
    </w:p>
    <w:p>
      <w:pPr>
        <w:pStyle w:val="Heading1"/>
      </w:pPr>
      <w:r>
        <w:t>Evidence Register</w:t>
      </w:r>
    </w:p>
    <w:p>
      <w:r>
        <w:t xml:space="preserve">EVI-DON-001 • survey • SYN-DONO-0001 • APPROVED • 97%</w:t>
      </w:r>
    </w:p>
    <w:p>
      <w:r>
        <w:t xml:space="preserve">EVI-DON-002 • key_informant_interview • SYN-DONO-0002 • APPROVED • 98%</w:t>
      </w:r>
    </w:p>
    <w:p>
      <w:r>
        <w:t xml:space="preserve">EVI-DON-003 • administrative_record • SYN-DONO-0003 • APPROVED • 88%</w:t>
      </w:r>
    </w:p>
    <w:p>
      <w:r>
        <w:t xml:space="preserve">EVI-DON-004 • survey • SYN-DONO-0004 • APPROVED • 89%</w:t>
      </w:r>
    </w:p>
    <w:p>
      <w:r>
        <w:t xml:space="preserve">EVI-DON-005 • key_informant_interview • SYN-DONO-0005 • APPROVED • 90%</w:t>
      </w:r>
    </w:p>
    <w:p>
      <w:r>
        <w:t xml:space="preserve">EVI-DON-006 • administrative_record • SYN-DONO-0006 • APPROVED • 91%</w:t>
      </w:r>
    </w:p>
    <w:p>
      <w:r>
        <w:t xml:space="preserve">EVI-DON-007 • survey • SYN-DONO-0007 • APPROVED • 92%</w:t>
      </w:r>
    </w:p>
    <w:p>
      <w:r>
        <w:t xml:space="preserve">EVI-DON-008 • key_informant_interview • SYN-DONO-0008 • APPROVED • 93%</w:t>
      </w:r>
    </w:p>
    <w:p>
      <w:r>
        <w:t xml:space="preserve">EVI-DON-009 • administrative_record • SYN-DONO-0009 • APPROVED • 94%</w:t>
      </w:r>
    </w:p>
    <w:p>
      <w:r>
        <w:t xml:space="preserve">EVI-DON-010 • survey • SYN-DONO-0010 • APPROVED • 95%</w:t>
      </w:r>
    </w:p>
    <w:p>
      <w:pPr>
        <w:pStyle w:val="Heading1"/>
      </w:pPr>
      <w:r>
        <w:t>Data Dictionary</w:t>
      </w:r>
    </w:p>
    <w:p>
      <w:r>
        <w:t xml:space="preserve">indicator_1: Synthetic Integrated Livelihoods indicator 1; numeric; allowed: 0–100; missing: NA</w:t>
      </w:r>
    </w:p>
    <w:p>
      <w:r>
        <w:t xml:space="preserve">indicator_2: Synthetic Integrated Livelihoods indicator 2; categorical; allowed: Documented code list; missing: NA</w:t>
      </w:r>
    </w:p>
    <w:p>
      <w:r>
        <w:t xml:space="preserve">indicator_3: Synthetic Integrated Livelihoods indicator 3; categorical; allowed: Documented code list; missing: NA</w:t>
      </w:r>
    </w:p>
    <w:p>
      <w:r>
        <w:t xml:space="preserve">indicator_4: Synthetic Integrated Livelihoods indicator 4; numeric; allowed: 0–100; missing: NA</w:t>
      </w:r>
    </w:p>
    <w:p>
      <w:r>
        <w:t xml:space="preserve">indicator_5: Synthetic Integrated Livelihoods indicator 5; categorical; allowed: Documented code list; missing: NA</w:t>
      </w:r>
    </w:p>
    <w:p>
      <w:r>
        <w:t xml:space="preserve">indicator_6: Synthetic Integrated Livelihoods indicator 6; categorical; allowed: Documented code list; missing: NA</w:t>
      </w:r>
    </w:p>
    <w:p>
      <w:r>
        <w:t xml:space="preserve">indicator_7: Synthetic Integrated Livelihoods indicator 7; numeric; allowed: 0–100; missing: NA</w:t>
      </w:r>
    </w:p>
    <w:p>
      <w:r>
        <w:t xml:space="preserve">indicator_8: Synthetic Integrated Livelihoods indicator 8; categorical; allowed: Documented code list; missing: NA</w:t>
      </w:r>
    </w:p>
    <w:p>
      <w:r>
        <w:t xml:space="preserve">indicator_9: Synthetic Integrated Livelihoods indicator 9; categorical; allowed: Documented code list; missing: NA</w:t>
      </w:r>
    </w:p>
    <w:p>
      <w:r>
        <w:t xml:space="preserve">indicator_10: Synthetic Integrated Livelihoods indicator 10; numeric; allowed: 0–100; missing: NA</w:t>
      </w:r>
    </w:p>
    <w:p>
      <w:r>
        <w:t xml:space="preserve">indicator_11: Synthetic Integrated Livelihoods indicator 11; categorical; allowed: Documented code list; missing: NA</w:t>
      </w:r>
    </w:p>
    <w:p>
      <w:r>
        <w:t xml:space="preserve">indicator_12: Synthetic Integrated Livelihoods indicator 12; categorical; allowed: Documented code list; missing: NA</w:t>
      </w:r>
    </w:p>
    <w:p>
      <w:pPr>
        <w:pStyle w:val="Heading1"/>
      </w:pPr>
      <w:r>
        <w:t>Limitations &amp; Responsible Use</w:t>
      </w:r>
    </w:p>
    <w:p>
      <w:r>
        <w:t xml:space="preserve">All content is synthetic and must not be interpreted as official statistics</w:t>
      </w:r>
    </w:p>
    <w:p>
      <w:r>
        <w:t xml:space="preserve">Geographic references are illustrative</w:t>
      </w:r>
    </w:p>
    <w:p>
      <w:r>
        <w:t xml:space="preserve">Budget implications are directional and require formal costing</w:t>
      </w:r>
    </w:p>
    <w:p>
      <w:r>
        <w:t xml:space="preserve">Causal claims are not made without an appropriate design</w:t>
      </w:r>
    </w:p>
    <w:sectPr>
      <w:pgSz w:w="11906" w:h="16838"/>
      <w:pgMar w:top="1100" w:right="1100" w:bottom="1100" w:left="1100"/>
    </w:sectPr>
  </w:body>
</w:document>
</file>

<file path=word/styles.xml><?xml version="1.0" encoding="utf-8"?>
<w:styles xmlns:w="http://schemas.openxmlformats.org/wordprocessingml/2006/main">
  <w:style w:type="paragraph" w:default="1" w:styleId="Normal">
    <w:name w:val="Normal"/>
    <w:rPr>
      <w:rFonts w:ascii="Aptos"/>
      <w:sz w:val="22"/>
    </w:rPr>
  </w:style>
  <w:style w:type="paragraph" w:styleId="Heading1">
    <w:name w:val="heading 1"/>
    <w:basedOn w:val="Normal"/>
    <w:rPr>
      <w:b/>
      <w:color w:val="0B2E59"/>
      <w:sz w:val="32"/>
    </w:rPr>
  </w:style>
  <w:style w:type="paragraph" w:styleId="Heading2">
    <w:name w:val="heading 2"/>
    <w:basedOn w:val="Normal"/>
    <w:rPr>
      <w:b/>
      <w:color w:val="1C7ED6"/>
      <w:sz w:val="26"/>
    </w:rPr>
  </w:style>
</w:styles>
</file>

<file path=word/_rels/document.xml.rels><?xml version="1.0"?><Relationships xmlns="http://schemas.openxmlformats.org/package/2006/relationships"><Relationship Id="rId1" Type="http://schemas.openxmlformats.org/officeDocument/2006/relationships/styles" Target="styles.xml"/></Relationships>
</file>