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2200"/>
      </w:pPr>
      <w:r>
        <w:rPr>
          <w:b/>
          <w:sz w:val="42"/>
        </w:rPr>
        <w:t>Education Access and Learning Quality Intelligence Report</w:t>
      </w:r>
    </w:p>
    <w:p>
      <w:r>
        <w:t xml:space="preserve">VoiceInsights Africa — Full Synthetic Demonstration Publication</w:t>
      </w:r>
    </w:p>
    <w:p>
      <w:r>
        <w:t xml:space="preserve">Synthetic Demonstration Publication produced by VoiceInsights Africa. All people, quotations, locations and statistics are synthetic, internally governed demonstration content and are not official statistics.</w:t>
      </w:r>
    </w:p>
    <w:p>
      <w:pPr>
        <w:pStyle w:val="Heading1"/>
      </w:pPr>
      <w:r>
        <w:t>Executive Intelligence</w:t>
      </w:r>
    </w:p>
    <w:p>
      <w:r>
        <w:t xml:space="preserve">Progress on education access and learning quality performance in Ghana is real, but it is not evenly shared. This publication traces where the gains are holding, where the risk is concentrated, and what remains within reach. Findings are linked to synthetic source records, recommendations carry named accountability fields, and all statistical claims are generated from one internally consistent dataset.</w:t>
      </w:r>
    </w:p>
    <w:p>
      <w:pPr>
        <w:pStyle w:val="Heading1"/>
      </w:pPr>
      <w:r>
        <w:t>Table of Contents</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pPr>
        <w:pStyle w:val="Heading1"/>
      </w:pPr>
      <w:r>
        <w:t>Critical Findings</w:t>
      </w:r>
    </w:p>
    <w:p>
      <w:pPr>
        <w:pStyle w:val="Heading2"/>
      </w:pPr>
      <w:r>
        <w:t>Attendance barriers</w:t>
      </w:r>
    </w:p>
    <w:p>
      <w:r>
        <w:t xml:space="preserve">Attendance barriers has become an accountability question rather than a measurement question. Evidence from Greater Accra Region places the signal at 80% and shows that rural women experience the largest gap between policy intent and lived delivery. The choice facing education access and learning quality leadership in Ghana is straightforward even if the fix is not: act on attendance barriers now, concentrated in Greater Accra Region where rural women carry the largest share of the gap, or accept a wider gap in a year's time.</w:t>
      </w:r>
    </w:p>
    <w:p>
      <w:r>
        <w:t xml:space="preserve">Evidence: EVI-EDU-001, EVI-EDU-004 • Confidence 89.5%</w:t>
      </w:r>
    </w:p>
    <w:p>
      <w:pPr>
        <w:pStyle w:val="Heading2"/>
      </w:pPr>
      <w:r>
        <w:t>Grade-transition dropout</w:t>
      </w:r>
    </w:p>
    <w:p>
      <w:r>
        <w:t xml:space="preserve">Young adults in Eastern Region are living the consequence of grade-transition dropout, not simply reporting it. Their 81% signal is the clearest evidence leadership has that current measures fall short. young adults in Eastern Region do not experience grade-transition dropout as an abstract metric. They experience it as the difference between education access and learning quality delivery that works and delivery that does not, and a twelve-month delay would deepen that gap rather than hold it steady.</w:t>
      </w:r>
    </w:p>
    <w:p>
      <w:r>
        <w:t xml:space="preserve">Evidence: EVI-EDU-002, EVI-EDU-005 • Confidence 90.5%</w:t>
      </w:r>
    </w:p>
    <w:p>
      <w:pPr>
        <w:pStyle w:val="Heading2"/>
      </w:pPr>
      <w:r>
        <w:t>Perceived learning-outcome quality</w:t>
      </w:r>
    </w:p>
    <w:p>
      <w:r>
        <w:t xml:space="preserve">82%. That is the perceived learning-outcome quality signal recorded in Northern Region, and the headline figure understates the problem: disaggregated by group, persons with disabilities sit well below it. The clearest gap sits in Northern Region, concentrated among persons with disabilities. A twelve-month delay would let the gap compound into a harder, costlier problem.</w:t>
      </w:r>
    </w:p>
    <w:p>
      <w:r>
        <w:t xml:space="preserve">Evidence: EVI-EDU-003, EVI-EDU-006 • Confidence 91.5%</w:t>
      </w:r>
    </w:p>
    <w:p>
      <w:pPr>
        <w:pStyle w:val="Heading2"/>
      </w:pPr>
      <w:r>
        <w:t>Teacher-parent feedback gaps</w:t>
      </w:r>
    </w:p>
    <w:p>
      <w:r>
        <w:t xml:space="preserve">The aggregate result conceals a material implementation divide. Volta Region records a 83% signal for teacher-parent feedback gaps; the shortfall is concentrated among frontline workers, where service continuity and confidence move together. This is not a new problem.</w:t>
      </w:r>
    </w:p>
    <w:p>
      <w:r>
        <w:t xml:space="preserve">Evidence: EVI-EDU-004, EVI-EDU-007 • Confidence 92.5%</w:t>
      </w:r>
    </w:p>
    <w:p>
      <w:pPr>
        <w:pStyle w:val="Heading2"/>
      </w:pPr>
      <w:r>
        <w:t>School-readiness disparities</w:t>
      </w:r>
    </w:p>
    <w:p>
      <w:r>
        <w:t xml:space="preserve">The strategic opportunity lies in the variation, not the average. At 84%, Greater Accra Region's school-readiness disparities signal shows where implementation can move quickly, while the experience of low-income households defines the safeguard that must accompany scale. The choice facing education access and learning quality leadership in Ghana is straightforward even if the fix is not: act on school-readiness disparities now, concentrated in Greater Accra Region where low-income households carry the largest share of the gap, or accept a wider gap in a year's time.</w:t>
      </w:r>
    </w:p>
    <w:p>
      <w:r>
        <w:t xml:space="preserve">Evidence: EVI-EDU-005, EVI-EDU-008 • Confidence 93.5%</w:t>
      </w:r>
    </w:p>
    <w:p>
      <w:pPr>
        <w:pStyle w:val="Heading1"/>
      </w:pPr>
      <w:r>
        <w:t>Regional Intelligence</w:t>
      </w:r>
    </w:p>
    <w:p>
      <w:r>
        <w:t xml:space="preserve">Greater Accra Region: 84% • 1010 responses • Risk STABLE</w:t>
      </w:r>
    </w:p>
    <w:p>
      <w:r>
        <w:t xml:space="preserve">Eastern Region: 52% • 877 responses • Risk CRITICAL</w:t>
      </w:r>
    </w:p>
    <w:p>
      <w:r>
        <w:t xml:space="preserve">Northern Region: 53% • 747 responses • Risk CRITICAL</w:t>
      </w:r>
    </w:p>
    <w:p>
      <w:r>
        <w:t xml:space="preserve">Volta Region: 54% • 617 responses • Risk CRITICAL</w:t>
      </w:r>
    </w:p>
    <w:p>
      <w:pPr>
        <w:pStyle w:val="Heading1"/>
      </w:pPr>
      <w:r>
        <w:t>Indicators and Target Gaps</w:t>
      </w:r>
    </w:p>
    <w:p>
      <w:r>
        <w:t xml:space="preserve">IND-01 School attendance rate: 66% vs 90% — OFF_TRACK</w:t>
      </w:r>
    </w:p>
    <w:p>
      <w:r>
        <w:t xml:space="preserve">IND-02 Grade-transition completion rate: 67% vs 91% — OFF_TRACK</w:t>
      </w:r>
    </w:p>
    <w:p>
      <w:r>
        <w:t xml:space="preserve">IND-03 Learning-outcome perception score: 68% vs 92% — OFF_TRACK</w:t>
      </w:r>
    </w:p>
    <w:p>
      <w:r>
        <w:t xml:space="preserve">IND-04 Teacher-parent feedback frequency: 69% vs 76% — WATCH</w:t>
      </w:r>
    </w:p>
    <w:p>
      <w:pPr>
        <w:pStyle w:val="Heading1"/>
      </w:pPr>
      <w:r>
        <w:t>Respondent Voice</w:t>
      </w:r>
    </w:p>
    <w:p>
      <w:r>
        <w:t xml:space="preserve">Greater Accra Region: “In Greater Accra Region, attendance barriers shapes whether rural women can turn services into lasting outcomes.”</w:t>
      </w:r>
    </w:p>
    <w:p>
      <w:r>
        <w:t xml:space="preserve">Eastern Region: “Young adults in Eastern Region put it plainly: grade-transition dropout is what decides whether progress holds or slips back.”</w:t>
      </w:r>
    </w:p>
    <w:p>
      <w:r>
        <w:t xml:space="preserve">Northern Region: “Why does Northern Region lag behind? Ask persons with disabilities, and the answer comes back to perceived learning-outcome quality.”</w:t>
      </w:r>
    </w:p>
    <w:p>
      <w:r>
        <w:t xml:space="preserve">Volta Region: “Elsewhere, teacher-parent feedback gaps might be a footnote. For frontline workers in Volta Region, it is the whole story.”</w:t>
      </w:r>
    </w:p>
    <w:p>
      <w:r>
        <w:t xml:space="preserve">Greater Accra Region: “Low-income households in Greater Accra Region frame it simply: when school-readiness disparities breaks down, everything else does too.”</w:t>
      </w:r>
    </w:p>
    <w:p>
      <w:r>
        <w:t xml:space="preserve">Eastern Region: “In Eastern Region, attendance barriers shapes whether service managers can turn services into lasting outcomes.”</w:t>
      </w:r>
    </w:p>
    <w:p>
      <w:r>
        <w:t xml:space="preserve">Northern Region: “Community leaders in Northern Region put it plainly: grade-transition dropout is what decides whether progress holds or slips back.”</w:t>
      </w:r>
    </w:p>
    <w:p>
      <w:r>
        <w:t xml:space="preserve">Volta Region: “Why does Volta Region lag behind? Ask private-sector partners, and the answer comes back to perceived learning-outcome quality.”</w:t>
      </w:r>
    </w:p>
    <w:p>
      <w:r>
        <w:t xml:space="preserve">Greater Accra Region: “Elsewhere, teacher-parent feedback gaps might be a footnote. For rural women in Greater Accra Region, it is the whole story.”</w:t>
      </w:r>
    </w:p>
    <w:p>
      <w:r>
        <w:t xml:space="preserve">Eastern Region: “Young adults in Eastern Region frame it simply: when school-readiness disparities breaks down, everything else does too.”</w:t>
      </w:r>
    </w:p>
    <w:p>
      <w:pPr>
        <w:pStyle w:val="Heading1"/>
      </w:pPr>
      <w:r>
        <w:t>Decision Intelligence</w:t>
      </w:r>
    </w:p>
    <w:p>
      <w:pPr>
        <w:pStyle w:val="Heading2"/>
      </w:pPr>
      <w:r>
        <w:t>DEC-EDU-01 CRITICAL</w:t>
      </w:r>
    </w:p>
    <w:p>
      <w:r>
        <w:t xml:space="preserve">Target attendance-barrier interventions in the highest-dropout districts.</w:t>
      </w:r>
    </w:p>
    <w:p>
      <w:r>
        <w:t xml:space="preserve">Owner: Permanent Secretary • Timeline: 3–12 months • Budget: High — full business case and multi-year funding commitment required • Indicator: Share of the critical-tier delivery plan confirmed complete each quarter (DEC-EDU-01)</w:t>
      </w:r>
    </w:p>
    <w:p>
      <w:pPr>
        <w:pStyle w:val="Heading2"/>
      </w:pPr>
      <w:r>
        <w:t>DEC-EDU-02 HIGH</w:t>
      </w:r>
    </w:p>
    <w:p>
      <w:r>
        <w:t xml:space="preserve">Fund grade-transition support at the highest-risk transition points.</w:t>
      </w:r>
    </w:p>
    <w:p>
      <w:r>
        <w:t xml:space="preserve">Owner: Permanent Secretary • Timeline: 3–12 months • Budget: Low — absorbable within existing allocations, subject to confirmation • Indicator: Milestone completion rate tracked against the DEC-EDU-02 delivery plan</w:t>
      </w:r>
    </w:p>
    <w:p>
      <w:pPr>
        <w:pStyle w:val="Heading2"/>
      </w:pPr>
      <w:r>
        <w:t>DEC-EDU-03 HIGH</w:t>
      </w:r>
    </w:p>
    <w:p>
      <w:r>
        <w:t xml:space="preserve">Establish structured teacher-parent feedback channels.</w:t>
      </w:r>
    </w:p>
    <w:p>
      <w:r>
        <w:t xml:space="preserve">Owner: Permanent Secretary • Timeline: 3–12 months • Budget: Low — deliverable inside the current operating budget with light validation • Indicator: Proportion of agreed implementation steps verified on schedule for DEC-EDU-03</w:t>
      </w:r>
    </w:p>
    <w:p>
      <w:pPr>
        <w:pStyle w:val="Heading2"/>
      </w:pPr>
      <w:r>
        <w:t>DEC-EDU-04 MEDIUM</w:t>
      </w:r>
    </w:p>
    <w:p>
      <w:r>
        <w:t xml:space="preserve">Address school-readiness disparities before primary entry.</w:t>
      </w:r>
    </w:p>
    <w:p>
      <w:r>
        <w:t xml:space="preserve">Owner: Permanent Secretary • Timeline: 6–18 months • Budget: Medium — likely fundable from existing lines, pending confirmation • Indicator: Quarterly-verified progress against the milestones agreed for this medium-tier decision (DEC-EDU-04)</w:t>
      </w:r>
    </w:p>
    <w:p>
      <w:pPr>
        <w:pStyle w:val="Heading2"/>
      </w:pPr>
      <w:r>
        <w:t>DEC-EDU-05 CRITICAL</w:t>
      </w:r>
    </w:p>
    <w:p>
      <w:r>
        <w:t xml:space="preserve">Scale early-warning tracking for at-risk students.</w:t>
      </w:r>
    </w:p>
    <w:p>
      <w:r>
        <w:t xml:space="preserve">Owner: Permanent Secretary • Timeline: 0–90 days • Budget: Medium — detailed costing and fiduciary review required • Indicator: Number of agreed milestones for DEC-EDU-05 confirmed complete at each quarterly review</w:t>
      </w:r>
    </w:p>
    <w:p>
      <w:pPr>
        <w:pStyle w:val="Heading1"/>
      </w:pPr>
      <w:r>
        <w:t>Methodology</w:t>
      </w:r>
    </w:p>
    <w:p>
      <w:r>
        <w:t xml:space="preserve">research objectives: ["Assess education access and learning quality performance and equity","Identify operational drivers and decision priorities"]</w:t>
      </w:r>
    </w:p>
    <w:p>
      <w:r>
        <w:t xml:space="preserve">evaluation questions: ["What outcomes are changing?","Who is being left behind?","Which actions are most likely to improve performance?"]</w:t>
      </w:r>
    </w:p>
    <w:p>
      <w:r>
        <w:t xml:space="preserve">sampling frame: Synthetic programme population frame for Ghana</w:t>
      </w:r>
    </w:p>
    <w:p>
      <w:r>
        <w:t xml:space="preserve">sample size: 3251</w:t>
      </w:r>
    </w:p>
    <w:p>
      <w:r>
        <w:t xml:space="preserve">stratification: ["Region","Location type","Sex","Age","Disability"]</w:t>
      </w:r>
    </w:p>
    <w:p>
      <w:r>
        <w:t xml:space="preserve">weights: Normalized post-stratification weights</w:t>
      </w:r>
    </w:p>
    <w:p>
      <w:r>
        <w:t xml:space="preserve">confidence intervals: 95%</w:t>
      </w:r>
    </w:p>
    <w:p>
      <w:r>
        <w:t xml:space="preserve">design effect: 1.7</w:t>
      </w:r>
    </w:p>
    <w:p>
      <w:r>
        <w:t xml:space="preserve">missing data: Documented and sensitivity-tested</w:t>
      </w:r>
    </w:p>
    <w:p>
      <w:r>
        <w:t xml:space="preserve">reliability: Cronbach alpha 0.86</w:t>
      </w:r>
    </w:p>
    <w:p>
      <w:r>
        <w:t xml:space="preserve">validity: Content and construct validity checks</w:t>
      </w:r>
    </w:p>
    <w:p>
      <w:r>
        <w:t xml:space="preserve">metadata: Complete synthetic data dictionary and lineage registry</w:t>
      </w:r>
    </w:p>
    <w:p>
      <w:pPr>
        <w:pStyle w:val="Heading1"/>
      </w:pPr>
      <w:r>
        <w:t>Institutional &amp; Methodology Assurance</w:t>
      </w:r>
    </w:p>
    <w:p>
      <w:r>
        <w:t xml:space="preserve">protocol: Governed synthetic research protocol with sampling, weighting, reliability, validity and reproducibility controls</w:t>
      </w:r>
    </w:p>
    <w:p>
      <w:r>
        <w:t xml:space="preserve">ethics: Synthetic records only; no real participants or personal data</w:t>
      </w:r>
    </w:p>
    <w:p>
      <w:r>
        <w:t xml:space="preserve">peer review: Independent synthetic-publication review checklist completed</w:t>
      </w:r>
    </w:p>
    <w:p>
      <w:r>
        <w:t xml:space="preserve">reproducibility: Deterministic inputs, versioned dataset and export manifest</w:t>
      </w:r>
    </w:p>
    <w:p>
      <w:pPr>
        <w:pStyle w:val="Heading1"/>
      </w:pPr>
      <w:r>
        <w:t>Analytical Depth &amp; Reproducibility</w:t>
      </w:r>
    </w:p>
    <w:p>
      <w:r>
        <w:t xml:space="preserve">inferential statistics: Enabled where assumptions and design permit</w:t>
      </w:r>
    </w:p>
    <w:p>
      <w:r>
        <w:t xml:space="preserve">segmentation: Evidence-led segments</w:t>
      </w:r>
    </w:p>
    <w:p>
      <w:r>
        <w:t xml:space="preserve">trend analysis: Three-period synthetic series</w:t>
      </w:r>
    </w:p>
    <w:p>
      <w:pPr>
        <w:pStyle w:val="Heading1"/>
      </w:pPr>
      <w:r>
        <w:t>Decision Architecture</w:t>
      </w:r>
    </w:p>
    <w:p>
      <w:pPr>
        <w:pStyle w:val="Heading2"/>
      </w:pPr>
      <w:r>
        <w:t>DEC-EDU-01</w:t>
      </w:r>
    </w:p>
    <w:p>
      <w:r>
        <w:t xml:space="preserve">Target attendance-barrier interventions in the highest-dropout districts.</w:t>
      </w:r>
    </w:p>
    <w:p>
      <w:r>
        <w:t xml:space="preserve">Owner: Permanent Secretary • Window: 3–12 months • Cost: High — full business case and multi-year funding commitment required • Indicator: Share of the critical-tier delivery plan confirmed complete each quarter (DEC-EDU-01)</w:t>
      </w:r>
    </w:p>
    <w:p>
      <w:pPr>
        <w:pStyle w:val="Heading2"/>
      </w:pPr>
      <w:r>
        <w:t>DEC-EDU-02</w:t>
      </w:r>
    </w:p>
    <w:p>
      <w:r>
        <w:t xml:space="preserve">Fund grade-transition support at the highest-risk transition points.</w:t>
      </w:r>
    </w:p>
    <w:p>
      <w:r>
        <w:t xml:space="preserve">Owner: Permanent Secretary • Window: 3–12 months • Cost: Low — absorbable within existing allocations, subject to confirmation • Indicator: Milestone completion rate tracked against the DEC-EDU-02 delivery plan</w:t>
      </w:r>
    </w:p>
    <w:p>
      <w:pPr>
        <w:pStyle w:val="Heading2"/>
      </w:pPr>
      <w:r>
        <w:t>DEC-EDU-03</w:t>
      </w:r>
    </w:p>
    <w:p>
      <w:r>
        <w:t xml:space="preserve">Establish structured teacher-parent feedback channels.</w:t>
      </w:r>
    </w:p>
    <w:p>
      <w:r>
        <w:t xml:space="preserve">Owner: Permanent Secretary • Window: 3–12 months • Cost: Low — deliverable inside the current operating budget with light validation • Indicator: Proportion of agreed implementation steps verified on schedule for DEC-EDU-03</w:t>
      </w:r>
    </w:p>
    <w:p>
      <w:pPr>
        <w:pStyle w:val="Heading2"/>
      </w:pPr>
      <w:r>
        <w:t>DEC-EDU-04</w:t>
      </w:r>
    </w:p>
    <w:p>
      <w:r>
        <w:t xml:space="preserve">Address school-readiness disparities before primary entry.</w:t>
      </w:r>
    </w:p>
    <w:p>
      <w:r>
        <w:t xml:space="preserve">Owner: Permanent Secretary • Window: 6–18 months • Cost: Medium — likely fundable from existing lines, pending confirmation • Indicator: Quarterly-verified progress against the milestones agreed for this medium-tier decision (DEC-EDU-04)</w:t>
      </w:r>
    </w:p>
    <w:p>
      <w:pPr>
        <w:pStyle w:val="Heading2"/>
      </w:pPr>
      <w:r>
        <w:t>DEC-EDU-05</w:t>
      </w:r>
    </w:p>
    <w:p>
      <w:r>
        <w:t xml:space="preserve">Scale early-warning tracking for at-risk students.</w:t>
      </w:r>
    </w:p>
    <w:p>
      <w:r>
        <w:t xml:space="preserve">Owner: Permanent Secretary • Window: 0–90 days • Cost: Medium — detailed costing and fiduciary review required • Indicator: Number of agreed milestones for DEC-EDU-05 confirmed complete at each quarterly review</w:t>
      </w:r>
    </w:p>
    <w:p>
      <w:pPr>
        <w:pStyle w:val="Heading1"/>
      </w:pPr>
      <w:r>
        <w:t>Evidence Lineage &amp; Citation Registry</w:t>
      </w:r>
    </w:p>
    <w:p>
      <w:r>
        <w:t xml:space="preserve">EVI-EDU-001: [object Object] • APPROVED_SYNTHETIC_DEMONSTRATION • 88%</w:t>
      </w:r>
    </w:p>
    <w:p>
      <w:r>
        <w:t xml:space="preserve">EVI-EDU-002: [object Object] • APPROVED_SYNTHETIC_DEMONSTRATION • 89%</w:t>
      </w:r>
    </w:p>
    <w:p>
      <w:r>
        <w:t xml:space="preserve">EVI-EDU-003: [object Object] • APPROVED_SYNTHETIC_DEMONSTRATION • 90%</w:t>
      </w:r>
    </w:p>
    <w:p>
      <w:r>
        <w:t xml:space="preserve">EVI-EDU-004: [object Object] • APPROVED_SYNTHETIC_DEMONSTRATION • 91%</w:t>
      </w:r>
    </w:p>
    <w:p>
      <w:r>
        <w:t xml:space="preserve">EVI-EDU-005: [object Object] • APPROVED_SYNTHETIC_DEMONSTRATION • 92%</w:t>
      </w:r>
    </w:p>
    <w:p>
      <w:r>
        <w:t xml:space="preserve">EVI-EDU-006: [object Object] • APPROVED_SYNTHETIC_DEMONSTRATION • 93%</w:t>
      </w:r>
    </w:p>
    <w:p>
      <w:r>
        <w:t xml:space="preserve">EVI-EDU-007: [object Object] • APPROVED_SYNTHETIC_DEMONSTRATION • 94%</w:t>
      </w:r>
    </w:p>
    <w:p>
      <w:r>
        <w:t xml:space="preserve">EVI-EDU-008: [object Object] • APPROVED_SYNTHETIC_DEMONSTRATION • 95%</w:t>
      </w:r>
    </w:p>
    <w:p>
      <w:r>
        <w:t xml:space="preserve">EVI-EDU-009: [object Object] • APPROVED_SYNTHETIC_DEMONSTRATION • 96%</w:t>
      </w:r>
    </w:p>
    <w:p>
      <w:r>
        <w:t xml:space="preserve">EVI-EDU-010: [object Object] • APPROVED_SYNTHETIC_DEMONSTRATION • 97%</w:t>
      </w:r>
    </w:p>
    <w:p>
      <w:r>
        <w:t xml:space="preserve">CIT-EVI-EDU-001: VoiceInsights Africa. Education Access and Learning Quality Intelligence Report. synthetic-education-access-intelligence-2026.1, EVI-EDU-001, Q1: How does attendance barriers affect education access and learning quality outcomes in Greater Accra Region?</w:t>
      </w:r>
    </w:p>
    <w:p>
      <w:r>
        <w:t xml:space="preserve">CIT-EVI-EDU-002: VoiceInsights Africa. Education Access and Learning Quality Intelligence Report. synthetic-education-access-intelligence-2026.1, EVI-EDU-002, Q2: How does grade-transition dropout affect education access and learning quality outcomes in Eastern Region?</w:t>
      </w:r>
    </w:p>
    <w:p>
      <w:r>
        <w:t xml:space="preserve">CIT-EVI-EDU-003: VoiceInsights Africa. Education Access and Learning Quality Intelligence Report. synthetic-education-access-intelligence-2026.1, EVI-EDU-003, Q3: How does perceived learning-outcome quality affect education access and learning quality outcomes in Northern Region?</w:t>
      </w:r>
    </w:p>
    <w:p>
      <w:r>
        <w:t xml:space="preserve">CIT-EVI-EDU-004: VoiceInsights Africa. Education Access and Learning Quality Intelligence Report. synthetic-education-access-intelligence-2026.1, EVI-EDU-004, Q4: How does teacher-parent feedback gaps affect education access and learning quality outcomes in Volta Region?</w:t>
      </w:r>
    </w:p>
    <w:p>
      <w:r>
        <w:t xml:space="preserve">CIT-EVI-EDU-005: VoiceInsights Africa. Education Access and Learning Quality Intelligence Report. synthetic-education-access-intelligence-2026.1, EVI-EDU-005, Q5: How does school-readiness disparities affect education access and learning quality outcomes in Greater Accra Region?</w:t>
      </w:r>
    </w:p>
    <w:p>
      <w:r>
        <w:t xml:space="preserve">CIT-EVI-EDU-006: VoiceInsights Africa. Education Access and Learning Quality Intelligence Report. synthetic-education-access-intelligence-2026.1, EVI-EDU-006, Q6: How does attendance barriers affect education access and learning quality outcomes in Eastern Region?</w:t>
      </w:r>
    </w:p>
    <w:p>
      <w:r>
        <w:t xml:space="preserve">CIT-EVI-EDU-007: VoiceInsights Africa. Education Access and Learning Quality Intelligence Report. synthetic-education-access-intelligence-2026.1, EVI-EDU-007, Q7: How does grade-transition dropout affect education access and learning quality outcomes in Northern Region?</w:t>
      </w:r>
    </w:p>
    <w:p>
      <w:r>
        <w:t xml:space="preserve">CIT-EVI-EDU-008: VoiceInsights Africa. Education Access and Learning Quality Intelligence Report. synthetic-education-access-intelligence-2026.1, EVI-EDU-008, Q8: How does perceived learning-outcome quality affect education access and learning quality outcomes in Volta Region?</w:t>
      </w:r>
    </w:p>
    <w:p>
      <w:r>
        <w:t xml:space="preserve">CIT-EVI-EDU-009: VoiceInsights Africa. Education Access and Learning Quality Intelligence Report. synthetic-education-access-intelligence-2026.1, EVI-EDU-009, Q9: How does teacher-parent feedback gaps affect education access and learning quality outcomes in Greater Accra Region?</w:t>
      </w:r>
    </w:p>
    <w:p>
      <w:r>
        <w:t xml:space="preserve">CIT-EVI-EDU-010: VoiceInsights Africa. Education Access and Learning Quality Intelligence Report. synthetic-education-access-intelligence-2026.1, EVI-EDU-010, Q10: How does school-readiness disparities affect education access and learning quality outcomes in Eastern Region?</w:t>
      </w:r>
    </w:p>
    <w:p>
      <w:pPr>
        <w:pStyle w:val="Heading1"/>
      </w:pPr>
      <w:r>
        <w:t>Publication Architecture</w:t>
      </w:r>
    </w:p>
    <w:p>
      <w:r>
        <w:t xml:space="preserve">Executive Intelligence Book (2–7): Executive brief; Decision snapshot; Risks; Opportunities; Budget implications</w:t>
      </w:r>
    </w:p>
    <w:p>
      <w:r>
        <w:t xml:space="preserve">Evidence Intelligence Book (8–15): Critical findings; Respondent voice; Evidence chains; Citation registry</w:t>
      </w:r>
    </w:p>
    <w:p>
      <w:r>
        <w:t xml:space="preserve">Statistical Intelligence Book (16–22): Sampling; Weighting; Uncertainty; Reliability; Model diagnostics</w:t>
      </w:r>
    </w:p>
    <w:p>
      <w:r>
        <w:t xml:space="preserve">Decision Intelligence Book (23–27): Decision matrix; Ownership; Budget; Roadmap; Management response</w:t>
      </w:r>
    </w:p>
    <w:p>
      <w:r>
        <w:t xml:space="preserve">Standards &amp; Assurance (28–31): Relevant frameworks; Safeguarding; Privacy; Responsible AI; Accessibility</w:t>
      </w:r>
    </w:p>
    <w:p>
      <w:r>
        <w:t xml:space="preserve">Technical Appendices (32–34): Data dictionary; Quality gate; Export manifest; Responsible-use notice</w:t>
      </w:r>
    </w:p>
    <w:p>
      <w:pPr>
        <w:pStyle w:val="Heading1"/>
      </w:pPr>
      <w:r>
        <w:t>Peer Review &amp; Accessibility</w:t>
      </w:r>
    </w:p>
    <w:p>
      <w:r>
        <w:t xml:space="preserve">wcag target: WCAG 2.2 AA</w:t>
      </w:r>
    </w:p>
    <w:p>
      <w:r>
        <w:t xml:space="preserve">tagged pdf required: true</w:t>
      </w:r>
    </w:p>
    <w:p>
      <w:r>
        <w:t xml:space="preserve">alt text required: true</w:t>
      </w:r>
    </w:p>
    <w:p>
      <w:r>
        <w:t xml:space="preserve">table fallback required: true</w:t>
      </w:r>
    </w:p>
    <w:p>
      <w:r>
        <w:t xml:space="preserve">keyboard navigation required: true</w:t>
      </w:r>
    </w:p>
    <w:p>
      <w:r>
        <w:t xml:space="preserve">colour independent labels required: true</w:t>
      </w:r>
    </w:p>
    <w:p>
      <w:pPr>
        <w:pStyle w:val="Heading1"/>
      </w:pPr>
      <w:r>
        <w:t>International Standards Alignment</w:t>
      </w:r>
    </w:p>
    <w:p>
      <w:r>
        <w:t xml:space="preserve">SDG 4: APPLIED_WHERE_RELEVANT — Mapped to EVI-EDU-001, EVI-EDU-002; Synthetic demonstration mapping; institutional validation not implied</w:t>
      </w:r>
    </w:p>
    <w:p>
      <w:r>
        <w:t xml:space="preserve">Leave No One Behind: APPLIED_WHERE_RELEVANT — Mapped to EVI-EDU-002, EVI-EDU-003; Synthetic demonstration mapping; institutional validation not implied</w:t>
      </w:r>
    </w:p>
    <w:p>
      <w:r>
        <w:t xml:space="preserve">Data Protection: APPLIED_WHERE_RELEVANT — Mapped to EVI-EDU-003, EVI-EDU-004; Synthetic demonstration mapping; institutional validation not implied</w:t>
      </w:r>
    </w:p>
    <w:p>
      <w:r>
        <w:t xml:space="preserve">Evidence Traceability: APPLIED — Control linked to EVI-EDU-001 and the deterministic publication gate.</w:t>
      </w:r>
    </w:p>
    <w:p>
      <w:r>
        <w:t xml:space="preserve">Research Ethics: APPLIED — Control linked to EVI-EDU-002 and the deterministic publication gate.</w:t>
      </w:r>
    </w:p>
    <w:p>
      <w:r>
        <w:t xml:space="preserve">Data Protection: APPLIED — Control linked to EVI-EDU-003 and the deterministic publication gate.</w:t>
      </w:r>
    </w:p>
    <w:p>
      <w:r>
        <w:t xml:space="preserve">Accessibility: APPLIED — Control linked to EVI-EDU-004 and the deterministic publication gate.</w:t>
      </w:r>
    </w:p>
    <w:p>
      <w:r>
        <w:t xml:space="preserve">Responsible AI: APPLIED — Control linked to EVI-EDU-005 and the deterministic publication gate.</w:t>
      </w:r>
    </w:p>
    <w:p>
      <w:r>
        <w:t xml:space="preserve">Publication Integrity: APPLIED — Control linked to EVI-EDU-006 and the deterministic publication gate.</w:t>
      </w:r>
    </w:p>
    <w:p>
      <w:pPr>
        <w:pStyle w:val="Heading1"/>
      </w:pPr>
      <w:r>
        <w:t>SDG Contribution</w:t>
      </w:r>
    </w:p>
    <w:p>
      <w:r>
        <w:t xml:space="preserve">SDG 4: undefined — Indicators —</w:t>
      </w:r>
    </w:p>
    <w:p>
      <w:r>
        <w:t xml:space="preserve">SDG 4: undefined — Indicators —</w:t>
      </w:r>
    </w:p>
    <w:p>
      <w:r>
        <w:t xml:space="preserve">SDG 4: undefined — Indicators —</w:t>
      </w:r>
    </w:p>
    <w:p>
      <w:pPr>
        <w:pStyle w:val="Heading1"/>
      </w:pPr>
      <w:r>
        <w:t>OECD-DAC Evaluation Criteria</w:t>
      </w:r>
    </w:p>
    <w:p>
      <w:r>
        <w:t xml:space="preserve">Relevance: Synthetic evidence indicates a strong relevance signal, subject to the stated design limitations. (87/100) — Review relevance evidence at the next formal management gate.</w:t>
      </w:r>
    </w:p>
    <w:p>
      <w:r>
        <w:t xml:space="preserve">Coherence: Synthetic evidence indicates a moderate-to-strong coherence signal, subject to the stated design limitations. (88/100) — Review coherence evidence at the next formal management gate.</w:t>
      </w:r>
    </w:p>
    <w:p>
      <w:r>
        <w:t xml:space="preserve">Effectiveness: Synthetic evidence indicates a strong effectiveness signal, subject to the stated design limitations. (89/100) — Review effectiveness evidence at the next formal management gate.</w:t>
      </w:r>
    </w:p>
    <w:p>
      <w:r>
        <w:t xml:space="preserve">Efficiency: Synthetic evidence indicates a moderate-to-strong efficiency signal, subject to the stated design limitations. (90/100) — Review efficiency evidence at the next formal management gate.</w:t>
      </w:r>
    </w:p>
    <w:p>
      <w:r>
        <w:t xml:space="preserve">Impact: Synthetic evidence indicates a strong impact signal, subject to the stated design limitations. (91/100) — Review impact evidence at the next formal management gate.</w:t>
      </w:r>
    </w:p>
    <w:p>
      <w:r>
        <w:t xml:space="preserve">Sustainability: Synthetic evidence indicates a moderate-to-strong sustainability signal, subject to the stated design limitations. (72/100) — Review sustainability evidence at the next formal management gate.</w:t>
      </w:r>
    </w:p>
    <w:p>
      <w:pPr>
        <w:pStyle w:val="Heading1"/>
      </w:pPr>
      <w:r>
        <w:t>Results-Based Management</w:t>
      </w:r>
    </w:p>
    <w:p>
      <w:r>
        <w:t xml:space="preserve">Impact: Sustained, equitable improvement in education access and learning quality performance</w:t>
      </w:r>
    </w:p>
    <w:p>
      <w:r>
        <w:t xml:space="preserve">OC-01: Improved education access and learning quality delivery and accountability — Indicators IND-01, IND-02</w:t>
      </w:r>
    </w:p>
    <w:p>
      <w:r>
        <w:t xml:space="preserve">OC-02: More equitable and durable outcomes — Indicators IND-03, IND-04</w:t>
      </w:r>
    </w:p>
    <w:p>
      <w:r>
        <w:t xml:space="preserve">OUT-01: Verified findings and interpreted decision products</w:t>
      </w:r>
    </w:p>
    <w:p>
      <w:r>
        <w:t xml:space="preserve">OUT-02: Assigned actions with monitoring indicators</w:t>
      </w:r>
    </w:p>
    <w:p>
      <w:pPr>
        <w:pStyle w:val="Heading1"/>
      </w:pPr>
      <w:r>
        <w:t>CHS Accountability Mapping</w:t>
      </w:r>
    </w:p>
    <w:p>
      <w:r>
        <w:t xml:space="preserve">Commitment 1: CHS Commitment 1 — CONTEXT_ONLY. Validate relevance and assign an accountable owner before live use.</w:t>
      </w:r>
    </w:p>
    <w:p>
      <w:r>
        <w:t xml:space="preserve">Commitment 2: CHS Commitment 2 — CONTEXT_ONLY. Validate relevance and assign an accountable owner before live use.</w:t>
      </w:r>
    </w:p>
    <w:p>
      <w:r>
        <w:t xml:space="preserve">Commitment 3: CHS Commitment 3 — CONTEXT_ONLY. Validate relevance and assign an accountable owner before live use.</w:t>
      </w:r>
    </w:p>
    <w:p>
      <w:r>
        <w:t xml:space="preserve">Commitment 4: CHS Commitment 4 — CONTEXT_ONLY. Validate relevance and assign an accountable owner before live use.</w:t>
      </w:r>
    </w:p>
    <w:p>
      <w:r>
        <w:t xml:space="preserve">Commitment 5: CHS Commitment 5 — CONTEXT_ONLY. Validate relevance and assign an accountable owner before live use.</w:t>
      </w:r>
    </w:p>
    <w:p>
      <w:r>
        <w:t xml:space="preserve">Commitment 6: CHS Commitment 6 — CONTEXT_ONLY. Validate relevance and assign an accountable owner before live use.</w:t>
      </w:r>
    </w:p>
    <w:p>
      <w:r>
        <w:t xml:space="preserve">Commitment 7: CHS Commitment 7 — CONTEXT_ONLY. Validate relevance and assign an accountable owner before live use.</w:t>
      </w:r>
    </w:p>
    <w:p>
      <w:r>
        <w:t xml:space="preserve">Commitment 8: CHS Commitment 8 — CONTEXT_ONLY. Validate relevance and assign an accountable owner before live use.</w:t>
      </w:r>
    </w:p>
    <w:p>
      <w:r>
        <w:t xml:space="preserve">Commitment 9: CHS Commitment 9 — CONTEXT_ONLY. Validate relevance and assign an accountable owner before live use.</w:t>
      </w:r>
    </w:p>
    <w:p>
      <w:pPr>
        <w:pStyle w:val="Heading1"/>
      </w:pPr>
      <w:r>
        <w:t>Evidence Register</w:t>
      </w:r>
    </w:p>
    <w:p>
      <w:r>
        <w:t xml:space="preserve">EVI-EDU-001 • survey • SYN-EDUC-0001 • APPROVED • 88%</w:t>
      </w:r>
    </w:p>
    <w:p>
      <w:r>
        <w:t xml:space="preserve">EVI-EDU-002 • key_informant_interview • SYN-EDUC-0002 • APPROVED • 89%</w:t>
      </w:r>
    </w:p>
    <w:p>
      <w:r>
        <w:t xml:space="preserve">EVI-EDU-003 • administrative_record • SYN-EDUC-0003 • APPROVED • 90%</w:t>
      </w:r>
    </w:p>
    <w:p>
      <w:r>
        <w:t xml:space="preserve">EVI-EDU-004 • survey • SYN-EDUC-0004 • APPROVED • 91%</w:t>
      </w:r>
    </w:p>
    <w:p>
      <w:r>
        <w:t xml:space="preserve">EVI-EDU-005 • key_informant_interview • SYN-EDUC-0005 • APPROVED • 92%</w:t>
      </w:r>
    </w:p>
    <w:p>
      <w:r>
        <w:t xml:space="preserve">EVI-EDU-006 • administrative_record • SYN-EDUC-0006 • APPROVED • 93%</w:t>
      </w:r>
    </w:p>
    <w:p>
      <w:r>
        <w:t xml:space="preserve">EVI-EDU-007 • survey • SYN-EDUC-0007 • APPROVED • 94%</w:t>
      </w:r>
    </w:p>
    <w:p>
      <w:r>
        <w:t xml:space="preserve">EVI-EDU-008 • key_informant_interview • SYN-EDUC-0008 • APPROVED • 95%</w:t>
      </w:r>
    </w:p>
    <w:p>
      <w:r>
        <w:t xml:space="preserve">EVI-EDU-009 • administrative_record • SYN-EDUC-0009 • APPROVED • 96%</w:t>
      </w:r>
    </w:p>
    <w:p>
      <w:r>
        <w:t xml:space="preserve">EVI-EDU-010 • survey • SYN-EDUC-0010 • APPROVED • 97%</w:t>
      </w:r>
    </w:p>
    <w:p>
      <w:pPr>
        <w:pStyle w:val="Heading1"/>
      </w:pPr>
      <w:r>
        <w:t>Data Dictionary</w:t>
      </w:r>
    </w:p>
    <w:p>
      <w:r>
        <w:t xml:space="preserve">indicator_1: Synthetic Education Access and Learning Quality indicator 1; numeric; allowed: 0–100; missing: NA</w:t>
      </w:r>
    </w:p>
    <w:p>
      <w:r>
        <w:t xml:space="preserve">indicator_2: Synthetic Education Access and Learning Quality indicator 2; categorical; allowed: Documented code list; missing: NA</w:t>
      </w:r>
    </w:p>
    <w:p>
      <w:r>
        <w:t xml:space="preserve">indicator_3: Synthetic Education Access and Learning Quality indicator 3; categorical; allowed: Documented code list; missing: NA</w:t>
      </w:r>
    </w:p>
    <w:p>
      <w:r>
        <w:t xml:space="preserve">indicator_4: Synthetic Education Access and Learning Quality indicator 4; numeric; allowed: 0–100; missing: NA</w:t>
      </w:r>
    </w:p>
    <w:p>
      <w:r>
        <w:t xml:space="preserve">indicator_5: Synthetic Education Access and Learning Quality indicator 5; categorical; allowed: Documented code list; missing: NA</w:t>
      </w:r>
    </w:p>
    <w:p>
      <w:r>
        <w:t xml:space="preserve">indicator_6: Synthetic Education Access and Learning Quality indicator 6; categorical; allowed: Documented code list; missing: NA</w:t>
      </w:r>
    </w:p>
    <w:p>
      <w:r>
        <w:t xml:space="preserve">indicator_7: Synthetic Education Access and Learning Quality indicator 7; numeric; allowed: 0–100; missing: NA</w:t>
      </w:r>
    </w:p>
    <w:p>
      <w:r>
        <w:t xml:space="preserve">indicator_8: Synthetic Education Access and Learning Quality indicator 8; categorical; allowed: Documented code list; missing: NA</w:t>
      </w:r>
    </w:p>
    <w:p>
      <w:r>
        <w:t xml:space="preserve">indicator_9: Synthetic Education Access and Learning Quality indicator 9; categorical; allowed: Documented code list; missing: NA</w:t>
      </w:r>
    </w:p>
    <w:p>
      <w:r>
        <w:t xml:space="preserve">indicator_10: Synthetic Education Access and Learning Quality indicator 10; numeric; allowed: 0–100; missing: NA</w:t>
      </w:r>
    </w:p>
    <w:p>
      <w:r>
        <w:t xml:space="preserve">indicator_11: Synthetic Education Access and Learning Quality indicator 11; categorical; allowed: Documented code list; missing: NA</w:t>
      </w:r>
    </w:p>
    <w:p>
      <w:r>
        <w:t xml:space="preserve">indicator_12: Synthetic Education Access and Learning Quality indicator 12; categorical; allowed: Documented code list; missing: NA</w:t>
      </w:r>
    </w:p>
    <w:p>
      <w:pPr>
        <w:pStyle w:val="Heading1"/>
      </w:pPr>
      <w:r>
        <w:t>Limitations &amp; Responsible Use</w:t>
      </w:r>
    </w:p>
    <w:p>
      <w:r>
        <w:t xml:space="preserve">All content is synthetic and must not be interpreted as official statistics</w:t>
      </w:r>
    </w:p>
    <w:p>
      <w:r>
        <w:t xml:space="preserve">Geographic references are illustrative</w:t>
      </w:r>
    </w:p>
    <w:p>
      <w:r>
        <w:t xml:space="preserve">Budget implications are directional and require formal costing</w:t>
      </w:r>
    </w:p>
    <w:p>
      <w:r>
        <w:t xml:space="preserve">Causal claims are not made without an appropriate design</w:t>
      </w:r>
    </w:p>
    <w:sectPr>
      <w:pgSz w:w="11906" w:h="16838"/>
      <w:pgMar w:top="1100" w:right="1100" w:bottom="1100" w:left="1100"/>
    </w:sectPr>
  </w:body>
</w:document>
</file>

<file path=word/styles.xml><?xml version="1.0" encoding="utf-8"?>
<w:styles xmlns:w="http://schemas.openxmlformats.org/wordprocessingml/2006/main">
  <w:style w:type="paragraph" w:default="1" w:styleId="Normal">
    <w:name w:val="Normal"/>
    <w:rPr>
      <w:rFonts w:ascii="Aptos"/>
      <w:sz w:val="22"/>
    </w:rPr>
  </w:style>
  <w:style w:type="paragraph" w:styleId="Heading1">
    <w:name w:val="heading 1"/>
    <w:basedOn w:val="Normal"/>
    <w:rPr>
      <w:b/>
      <w:color w:val="0B2E59"/>
      <w:sz w:val="32"/>
    </w:rPr>
  </w:style>
  <w:style w:type="paragraph" w:styleId="Heading2">
    <w:name w:val="heading 2"/>
    <w:basedOn w:val="Normal"/>
    <w:rPr>
      <w:b/>
      <w:color w:val="1C7ED6"/>
      <w:sz w:val="26"/>
    </w:rPr>
  </w:style>
</w:styles>
</file>

<file path=word/_rels/document.xml.rels><?xml version="1.0"?><Relationships xmlns="http://schemas.openxmlformats.org/package/2006/relationships"><Relationship Id="rId1" Type="http://schemas.openxmlformats.org/officeDocument/2006/relationships/styles" Target="styles.xml"/></Relationships>
</file>