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Energy Access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Tanzania has made real gains in energy access performance — and real gaps remain alongside them. This publication separates the two, using a governed evidence model built to surface risk and opportunity, not just describe them. No claim in this publication stands alone: findings link to synthetic evidence, recommendations carry a named owner, and every statistic shares one internally consistent dataset.</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Grid-extension versus off-grid economics</w:t>
      </w:r>
    </w:p>
    <w:p>
      <w:r>
        <w:t xml:space="preserve">The aggregate result conceals a material implementation divide. Dodoma Region records a 86% signal for grid-extension versus off-grid economics; the shortfall is concentrated among rural women, where service continuity and confidence move together. This is not a new problem.</w:t>
      </w:r>
    </w:p>
    <w:p>
      <w:r>
        <w:t xml:space="preserve">Evidence: EVI-ENE-001, EVI-ENE-004 • Confidence 89.5%</w:t>
      </w:r>
    </w:p>
    <w:p>
      <w:pPr>
        <w:pStyle w:val="Heading2"/>
      </w:pPr>
      <w:r>
        <w:t>Supply-reliability gaps</w:t>
      </w:r>
    </w:p>
    <w:p>
      <w:r>
        <w:t xml:space="preserve">54%. That is the supply-reliability gaps signal recorded in Mwanza Region, and the headline figure understates the problem: disaggregated by group, young adults sit well below it. The clearest gap sits in Mwanza Region, concentrated among young adults. A twelve-month delay would let the gap compound into a harder, costlier problem.</w:t>
      </w:r>
    </w:p>
    <w:p>
      <w:r>
        <w:t xml:space="preserve">Evidence: EVI-ENE-002, EVI-ENE-005 • Confidence 90.5%</w:t>
      </w:r>
    </w:p>
    <w:p>
      <w:pPr>
        <w:pStyle w:val="Heading2"/>
      </w:pPr>
      <w:r>
        <w:t>Productive-use uptake among newly connected households</w:t>
      </w:r>
    </w:p>
    <w:p>
      <w:r>
        <w:t xml:space="preserve">What would it take to fix productive-use uptake among newly connected households? Start with Mbeya Region, where the signal sits at 55% and persons with disabilities carry most of the shortfall. The honest answer is sustained attention, not a single intervention. Mbeya Region shows the sharpest divide, where persons with disabilities carry the largest share of the gap. Left unaddressed for a year, the imbalance is likely to erode equity, delivery confidence and the durability of results.</w:t>
      </w:r>
    </w:p>
    <w:p>
      <w:r>
        <w:t xml:space="preserve">Evidence: EVI-ENE-003, EVI-ENE-006 • Confidence 91.5%</w:t>
      </w:r>
    </w:p>
    <w:p>
      <w:pPr>
        <w:pStyle w:val="Heading2"/>
      </w:pPr>
      <w:r>
        <w:t>Connection-to-reliable-supply gap</w:t>
      </w:r>
    </w:p>
    <w:p>
      <w:r>
        <w:t xml:space="preserve">Progress on connection-to-reliable-supply gap remains visible but not yet durable. The 56% result in Coastal Region weakens after disaggregation, particularly for frontline workers, suggesting that current gains depend on delivery conditions that remain fragile. Of every study area examined in Tanzania, connection-to-reliable-supply gap shows up hardest there, and frontline workers feel it most. A year of inaction would turn a gap into a pattern that is far harder to reverse.</w:t>
      </w:r>
    </w:p>
    <w:p>
      <w:r>
        <w:t xml:space="preserve">Evidence: EVI-ENE-004, EVI-ENE-007 • Confidence 92.5%</w:t>
      </w:r>
    </w:p>
    <w:p>
      <w:pPr>
        <w:pStyle w:val="Heading2"/>
      </w:pPr>
      <w:r>
        <w:t>Rural electrification prioritisation</w:t>
      </w:r>
    </w:p>
    <w:p>
      <w:r>
        <w:t xml:space="preserve">Two things are true at once about rural electrification prioritisation. The national picture is improving, and Dodoma Region — where low-income households report a 57% signal — is not improving fast enough to close the gap. Energy access performance in Tanzania looks stable in aggregate but splits sharply once rural electrification prioritisation is disaggregated. Dodoma Region anchors the low end, and low-income households bear most of that shortfall — a pattern that risks compounding without intervention within the year.</w:t>
      </w:r>
    </w:p>
    <w:p>
      <w:r>
        <w:t xml:space="preserve">Evidence: EVI-ENE-005, EVI-ENE-008 • Confidence 93.5%</w:t>
      </w:r>
    </w:p>
    <w:p>
      <w:pPr>
        <w:pStyle w:val="Heading1"/>
      </w:pPr>
      <w:r>
        <w:t>Regional Intelligence</w:t>
      </w:r>
    </w:p>
    <w:p>
      <w:r>
        <w:t xml:space="preserve">Dodoma Region: 68% • 1168 responses • Risk WATCH</w:t>
      </w:r>
    </w:p>
    <w:p>
      <w:r>
        <w:t xml:space="preserve">Mwanza Region: 69% • 1016 responses • Risk WATCH</w:t>
      </w:r>
    </w:p>
    <w:p>
      <w:r>
        <w:t xml:space="preserve">Mbeya Region: 70% • 865 responses • Risk STABLE</w:t>
      </w:r>
    </w:p>
    <w:p>
      <w:r>
        <w:t xml:space="preserve">Coastal Region: 71% • 714 responses • Risk STABLE</w:t>
      </w:r>
    </w:p>
    <w:p>
      <w:pPr>
        <w:pStyle w:val="Heading1"/>
      </w:pPr>
      <w:r>
        <w:t>Indicators and Target Gaps</w:t>
      </w:r>
    </w:p>
    <w:p>
      <w:r>
        <w:t xml:space="preserve">IND-01 Household electrification rate: 68% vs 92% — OFF_TRACK</w:t>
      </w:r>
    </w:p>
    <w:p>
      <w:r>
        <w:t xml:space="preserve">IND-02 Average daily supply-reliability hours: 69% vs 76% — WATCH</w:t>
      </w:r>
    </w:p>
    <w:p>
      <w:r>
        <w:t xml:space="preserve">IND-03 Productive-use connection share: 70% vs 77% — WATCH</w:t>
      </w:r>
    </w:p>
    <w:p>
      <w:r>
        <w:t xml:space="preserve">IND-04 Rural electrification gap: 71% vs 78% — WATCH</w:t>
      </w:r>
    </w:p>
    <w:p>
      <w:pPr>
        <w:pStyle w:val="Heading1"/>
      </w:pPr>
      <w:r>
        <w:t>Respondent Voice</w:t>
      </w:r>
    </w:p>
    <w:p>
      <w:r>
        <w:t xml:space="preserve">Dodoma Region: “Elsewhere, grid-extension versus off-grid economics might be a footnote. For rural women in Dodoma Region, it is the whole story.”</w:t>
      </w:r>
    </w:p>
    <w:p>
      <w:r>
        <w:t xml:space="preserve">Mwanza Region: “Young adults in Mwanza Region frame it simply: when supply-reliability gaps breaks down, everything else does too.”</w:t>
      </w:r>
    </w:p>
    <w:p>
      <w:r>
        <w:t xml:space="preserve">Mbeya Region: “In Mbeya Region, productive-use uptake among newly connected households shapes whether persons with disabilities can turn services into lasting outcomes.”</w:t>
      </w:r>
    </w:p>
    <w:p>
      <w:r>
        <w:t xml:space="preserve">Coastal Region: “Frontline workers in Coastal Region put it plainly: connection-to-reliable-supply gap is what decides whether progress holds or slips back.”</w:t>
      </w:r>
    </w:p>
    <w:p>
      <w:r>
        <w:t xml:space="preserve">Dodoma Region: “Why does Dodoma Region lag behind? Ask low-income households, and the answer comes back to rural electrification prioritisation.”</w:t>
      </w:r>
    </w:p>
    <w:p>
      <w:r>
        <w:t xml:space="preserve">Mwanza Region: “Elsewhere, grid-extension versus off-grid economics might be a footnote. For service managers in Mwanza Region, it is the whole story.”</w:t>
      </w:r>
    </w:p>
    <w:p>
      <w:r>
        <w:t xml:space="preserve">Mbeya Region: “Community leaders in Mbeya Region frame it simply: when supply-reliability gaps breaks down, everything else does too.”</w:t>
      </w:r>
    </w:p>
    <w:p>
      <w:r>
        <w:t xml:space="preserve">Coastal Region: “In Coastal Region, productive-use uptake among newly connected households shapes whether private-sector partners can turn services into lasting outcomes.”</w:t>
      </w:r>
    </w:p>
    <w:p>
      <w:r>
        <w:t xml:space="preserve">Dodoma Region: “Rural women in Dodoma Region put it plainly: connection-to-reliable-supply gap is what decides whether progress holds or slips back.”</w:t>
      </w:r>
    </w:p>
    <w:p>
      <w:r>
        <w:t xml:space="preserve">Mwanza Region: “Why does Mwanza Region lag behind? Ask young adults, and the answer comes back to rural electrification prioritisation.”</w:t>
      </w:r>
    </w:p>
    <w:p>
      <w:pPr>
        <w:pStyle w:val="Heading1"/>
      </w:pPr>
      <w:r>
        <w:t>Decision Intelligence</w:t>
      </w:r>
    </w:p>
    <w:p>
      <w:pPr>
        <w:pStyle w:val="Heading2"/>
      </w:pPr>
      <w:r>
        <w:t>DEC-ENE-01 MEDIUM</w:t>
      </w:r>
    </w:p>
    <w:p>
      <w:r>
        <w:t xml:space="preserve">Direct the next investment cycle to the higher-return grid-extension versus off-grid split.</w:t>
      </w:r>
    </w:p>
    <w:p>
      <w:r>
        <w:t xml:space="preserve">Owner: Country Director / Programme Executive • Timeline: 6–18 months • Budget: Low to medium — validate through the formal planning cycle • Indicator: Proportion of agreed implementation steps verified on schedule for DEC-ENE-01</w:t>
      </w:r>
    </w:p>
    <w:p>
      <w:pPr>
        <w:pStyle w:val="Heading2"/>
      </w:pPr>
      <w:r>
        <w:t>DEC-ENE-02 CRITICAL</w:t>
      </w:r>
    </w:p>
    <w:p>
      <w:r>
        <w:t xml:space="preserve">Address the supply-reliability gap undermining connection value.</w:t>
      </w:r>
    </w:p>
    <w:p>
      <w:r>
        <w:t xml:space="preserve">Owner: Country Director / Programme Executive • Timeline: 0–90 days • Budget: High — full business case and multi-year funding commitment required • Indicator: Quarterly-verified progress against the milestones agreed for this critical-tier decision (DEC-ENE-02)</w:t>
      </w:r>
    </w:p>
    <w:p>
      <w:pPr>
        <w:pStyle w:val="Heading2"/>
      </w:pPr>
      <w:r>
        <w:t>DEC-ENE-03 CRITICAL</w:t>
      </w:r>
    </w:p>
    <w:p>
      <w:r>
        <w:t xml:space="preserve">Support productive-use uptake among newly connected households.</w:t>
      </w:r>
    </w:p>
    <w:p>
      <w:r>
        <w:t xml:space="preserve">Owner: Country Director / Programme Executive • Timeline: 3–12 months • Budget: Medium — detailed costing and fiduciary review required • Indicator: Number of agreed milestones for DEC-ENE-03 confirmed complete at each quarterly review</w:t>
      </w:r>
    </w:p>
    <w:p>
      <w:pPr>
        <w:pStyle w:val="Heading2"/>
      </w:pPr>
      <w:r>
        <w:t>DEC-ENE-04 HIGH</w:t>
      </w:r>
    </w:p>
    <w:p>
      <w:r>
        <w:t xml:space="preserve">Prioritise rural electrification in the least-served districts.</w:t>
      </w:r>
    </w:p>
    <w:p>
      <w:r>
        <w:t xml:space="preserve">Owner: Country Director / Programme Executive • Timeline: 3–12 months • Budget: Medium — likely fundable from existing lines, pending confirmation • Indicator: Percentage of agreed milestones completed for DEC-ENE-04</w:t>
      </w:r>
    </w:p>
    <w:p>
      <w:pPr>
        <w:pStyle w:val="Heading2"/>
      </w:pPr>
      <w:r>
        <w:t>DEC-ENE-05 HIGH</w:t>
      </w:r>
    </w:p>
    <w:p>
      <w:r>
        <w:t xml:space="preserve">Introduce reliability service-level monitoring for connected areas.</w:t>
      </w:r>
    </w:p>
    <w:p>
      <w:r>
        <w:t xml:space="preserve">Owner: Country Director / Programme Executive • Timeline: 3–12 months • Budget: Low to medium — validate through the formal planning cycle • Indicator: Share of the high-tier delivery plan confirmed complete each quarter (DEC-ENE-05)</w:t>
      </w:r>
    </w:p>
    <w:p>
      <w:pPr>
        <w:pStyle w:val="Heading1"/>
      </w:pPr>
      <w:r>
        <w:t>Methodology</w:t>
      </w:r>
    </w:p>
    <w:p>
      <w:r>
        <w:t xml:space="preserve">research objectives: ["Assess energy access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Tanzania</w:t>
      </w:r>
    </w:p>
    <w:p>
      <w:r>
        <w:t xml:space="preserve">sample size: 3763</w:t>
      </w:r>
    </w:p>
    <w:p>
      <w:r>
        <w:t xml:space="preserve">stratification: ["Region","Location type","Sex","Age","Disability"]</w:t>
      </w:r>
    </w:p>
    <w:p>
      <w:r>
        <w:t xml:space="preserve">weights: Normalized post-stratification weights</w:t>
      </w:r>
    </w:p>
    <w:p>
      <w:r>
        <w:t xml:space="preserve">confidence intervals: 95%</w:t>
      </w:r>
    </w:p>
    <w:p>
      <w:r>
        <w:t xml:space="preserve">design effect: 1.6</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DEC-ENE-01</w:t>
      </w:r>
    </w:p>
    <w:p>
      <w:r>
        <w:t xml:space="preserve">Direct the next investment cycle to the higher-return grid-extension versus off-grid split.</w:t>
      </w:r>
    </w:p>
    <w:p>
      <w:r>
        <w:t xml:space="preserve">Owner: Country Director / Programme Executive • Window: 6–18 months • Cost: Low to medium — validate through the formal planning cycle • Indicator: Proportion of agreed implementation steps verified on schedule for DEC-ENE-01</w:t>
      </w:r>
    </w:p>
    <w:p>
      <w:pPr>
        <w:pStyle w:val="Heading2"/>
      </w:pPr>
      <w:r>
        <w:t>DEC-ENE-02</w:t>
      </w:r>
    </w:p>
    <w:p>
      <w:r>
        <w:t xml:space="preserve">Address the supply-reliability gap undermining connection value.</w:t>
      </w:r>
    </w:p>
    <w:p>
      <w:r>
        <w:t xml:space="preserve">Owner: Country Director / Programme Executive • Window: 0–90 days • Cost: High — full business case and multi-year funding commitment required • Indicator: Quarterly-verified progress against the milestones agreed for this critical-tier decision (DEC-ENE-02)</w:t>
      </w:r>
    </w:p>
    <w:p>
      <w:pPr>
        <w:pStyle w:val="Heading2"/>
      </w:pPr>
      <w:r>
        <w:t>DEC-ENE-03</w:t>
      </w:r>
    </w:p>
    <w:p>
      <w:r>
        <w:t xml:space="preserve">Support productive-use uptake among newly connected households.</w:t>
      </w:r>
    </w:p>
    <w:p>
      <w:r>
        <w:t xml:space="preserve">Owner: Country Director / Programme Executive • Window: 3–12 months • Cost: Medium — detailed costing and fiduciary review required • Indicator: Number of agreed milestones for DEC-ENE-03 confirmed complete at each quarterly review</w:t>
      </w:r>
    </w:p>
    <w:p>
      <w:pPr>
        <w:pStyle w:val="Heading2"/>
      </w:pPr>
      <w:r>
        <w:t>DEC-ENE-04</w:t>
      </w:r>
    </w:p>
    <w:p>
      <w:r>
        <w:t xml:space="preserve">Prioritise rural electrification in the least-served districts.</w:t>
      </w:r>
    </w:p>
    <w:p>
      <w:r>
        <w:t xml:space="preserve">Owner: Country Director / Programme Executive • Window: 3–12 months • Cost: Medium — likely fundable from existing lines, pending confirmation • Indicator: Percentage of agreed milestones completed for DEC-ENE-04</w:t>
      </w:r>
    </w:p>
    <w:p>
      <w:pPr>
        <w:pStyle w:val="Heading2"/>
      </w:pPr>
      <w:r>
        <w:t>DEC-ENE-05</w:t>
      </w:r>
    </w:p>
    <w:p>
      <w:r>
        <w:t xml:space="preserve">Introduce reliability service-level monitoring for connected areas.</w:t>
      </w:r>
    </w:p>
    <w:p>
      <w:r>
        <w:t xml:space="preserve">Owner: Country Director / Programme Executive • Window: 3–12 months • Cost: Low to medium — validate through the formal planning cycle • Indicator: Share of the high-tier delivery plan confirmed complete each quarter (DEC-ENE-05)</w:t>
      </w:r>
    </w:p>
    <w:p>
      <w:pPr>
        <w:pStyle w:val="Heading1"/>
      </w:pPr>
      <w:r>
        <w:t>Evidence Lineage &amp; Citation Registry</w:t>
      </w:r>
    </w:p>
    <w:p>
      <w:r>
        <w:t xml:space="preserve">EVI-ENE-001: [object Object] • APPROVED_SYNTHETIC_DEMONSTRATION • 88%</w:t>
      </w:r>
    </w:p>
    <w:p>
      <w:r>
        <w:t xml:space="preserve">EVI-ENE-002: [object Object] • APPROVED_SYNTHETIC_DEMONSTRATION • 89%</w:t>
      </w:r>
    </w:p>
    <w:p>
      <w:r>
        <w:t xml:space="preserve">EVI-ENE-003: [object Object] • APPROVED_SYNTHETIC_DEMONSTRATION • 90%</w:t>
      </w:r>
    </w:p>
    <w:p>
      <w:r>
        <w:t xml:space="preserve">EVI-ENE-004: [object Object] • APPROVED_SYNTHETIC_DEMONSTRATION • 91%</w:t>
      </w:r>
    </w:p>
    <w:p>
      <w:r>
        <w:t xml:space="preserve">EVI-ENE-005: [object Object] • APPROVED_SYNTHETIC_DEMONSTRATION • 92%</w:t>
      </w:r>
    </w:p>
    <w:p>
      <w:r>
        <w:t xml:space="preserve">EVI-ENE-006: [object Object] • APPROVED_SYNTHETIC_DEMONSTRATION • 93%</w:t>
      </w:r>
    </w:p>
    <w:p>
      <w:r>
        <w:t xml:space="preserve">EVI-ENE-007: [object Object] • APPROVED_SYNTHETIC_DEMONSTRATION • 94%</w:t>
      </w:r>
    </w:p>
    <w:p>
      <w:r>
        <w:t xml:space="preserve">EVI-ENE-008: [object Object] • APPROVED_SYNTHETIC_DEMONSTRATION • 95%</w:t>
      </w:r>
    </w:p>
    <w:p>
      <w:r>
        <w:t xml:space="preserve">EVI-ENE-009: [object Object] • APPROVED_SYNTHETIC_DEMONSTRATION • 96%</w:t>
      </w:r>
    </w:p>
    <w:p>
      <w:r>
        <w:t xml:space="preserve">EVI-ENE-010: [object Object] • APPROVED_SYNTHETIC_DEMONSTRATION • 97%</w:t>
      </w:r>
    </w:p>
    <w:p>
      <w:r>
        <w:t xml:space="preserve">CIT-EVI-ENE-001: VoiceInsights Africa. Energy Access Intelligence Report. synthetic-energy-access-intelligence-2026.1, EVI-ENE-001, Q1: How does grid-extension versus off-grid economics affect energy access outcomes in Dodoma Region?</w:t>
      </w:r>
    </w:p>
    <w:p>
      <w:r>
        <w:t xml:space="preserve">CIT-EVI-ENE-002: VoiceInsights Africa. Energy Access Intelligence Report. synthetic-energy-access-intelligence-2026.1, EVI-ENE-002, Q2: How does supply-reliability gaps affect energy access outcomes in Mwanza Region?</w:t>
      </w:r>
    </w:p>
    <w:p>
      <w:r>
        <w:t xml:space="preserve">CIT-EVI-ENE-003: VoiceInsights Africa. Energy Access Intelligence Report. synthetic-energy-access-intelligence-2026.1, EVI-ENE-003, Q3: How does productive-use uptake among newly connected households affect energy access outcomes in Mbeya Region?</w:t>
      </w:r>
    </w:p>
    <w:p>
      <w:r>
        <w:t xml:space="preserve">CIT-EVI-ENE-004: VoiceInsights Africa. Energy Access Intelligence Report. synthetic-energy-access-intelligence-2026.1, EVI-ENE-004, Q4: How does connection-to-reliable-supply gap affect energy access outcomes in Coastal Region?</w:t>
      </w:r>
    </w:p>
    <w:p>
      <w:r>
        <w:t xml:space="preserve">CIT-EVI-ENE-005: VoiceInsights Africa. Energy Access Intelligence Report. synthetic-energy-access-intelligence-2026.1, EVI-ENE-005, Q5: How does rural electrification prioritisation affect energy access outcomes in Dodoma Region?</w:t>
      </w:r>
    </w:p>
    <w:p>
      <w:r>
        <w:t xml:space="preserve">CIT-EVI-ENE-006: VoiceInsights Africa. Energy Access Intelligence Report. synthetic-energy-access-intelligence-2026.1, EVI-ENE-006, Q6: How does grid-extension versus off-grid economics affect energy access outcomes in Mwanza Region?</w:t>
      </w:r>
    </w:p>
    <w:p>
      <w:r>
        <w:t xml:space="preserve">CIT-EVI-ENE-007: VoiceInsights Africa. Energy Access Intelligence Report. synthetic-energy-access-intelligence-2026.1, EVI-ENE-007, Q7: How does supply-reliability gaps affect energy access outcomes in Mbeya Region?</w:t>
      </w:r>
    </w:p>
    <w:p>
      <w:r>
        <w:t xml:space="preserve">CIT-EVI-ENE-008: VoiceInsights Africa. Energy Access Intelligence Report. synthetic-energy-access-intelligence-2026.1, EVI-ENE-008, Q8: How does productive-use uptake among newly connected households affect energy access outcomes in Coastal Region?</w:t>
      </w:r>
    </w:p>
    <w:p>
      <w:r>
        <w:t xml:space="preserve">CIT-EVI-ENE-009: VoiceInsights Africa. Energy Access Intelligence Report. synthetic-energy-access-intelligence-2026.1, EVI-ENE-009, Q9: How does connection-to-reliable-supply gap affect energy access outcomes in Dodoma Region?</w:t>
      </w:r>
    </w:p>
    <w:p>
      <w:r>
        <w:t xml:space="preserve">CIT-EVI-ENE-010: VoiceInsights Africa. Energy Access Intelligence Report. synthetic-energy-access-intelligence-2026.1, EVI-ENE-010, Q10: How does rural electrification prioritisation affect energy access outcomes in Mwanza Region?</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SDG 7: APPLIED_WHERE_RELEVANT — Mapped to EVI-ENE-001, EVI-ENE-002; Synthetic demonstration mapping; institutional validation not implied</w:t>
      </w:r>
    </w:p>
    <w:p>
      <w:r>
        <w:t xml:space="preserve">Climate Resilience: APPLIED_WHERE_RELEVANT — Mapped to EVI-ENE-002, EVI-ENE-003; Synthetic demonstration mapping; institutional validation not implied</w:t>
      </w:r>
    </w:p>
    <w:p>
      <w:r>
        <w:t xml:space="preserve">Data Protection: APPLIED_WHERE_RELEVANT — Mapped to EVI-ENE-003, EVI-ENE-004; Synthetic demonstration mapping; institutional validation not implied</w:t>
      </w:r>
    </w:p>
    <w:p>
      <w:r>
        <w:t xml:space="preserve">Evidence Traceability: APPLIED — Control linked to EVI-ENE-001 and the deterministic publication gate.</w:t>
      </w:r>
    </w:p>
    <w:p>
      <w:r>
        <w:t xml:space="preserve">Research Ethics: APPLIED — Control linked to EVI-ENE-002 and the deterministic publication gate.</w:t>
      </w:r>
    </w:p>
    <w:p>
      <w:r>
        <w:t xml:space="preserve">Data Protection: APPLIED — Control linked to EVI-ENE-003 and the deterministic publication gate.</w:t>
      </w:r>
    </w:p>
    <w:p>
      <w:r>
        <w:t xml:space="preserve">Accessibility: APPLIED — Control linked to EVI-ENE-004 and the deterministic publication gate.</w:t>
      </w:r>
    </w:p>
    <w:p>
      <w:r>
        <w:t xml:space="preserve">Responsible AI: APPLIED — Control linked to EVI-ENE-005 and the deterministic publication gate.</w:t>
      </w:r>
    </w:p>
    <w:p>
      <w:r>
        <w:t xml:space="preserve">Publication Integrity: APPLIED — Control linked to EVI-ENE-006 and the deterministic publication gate.</w:t>
      </w:r>
    </w:p>
    <w:p>
      <w:pPr>
        <w:pStyle w:val="Heading1"/>
      </w:pPr>
      <w:r>
        <w:t>SDG Contribution</w:t>
      </w:r>
    </w:p>
    <w:p>
      <w:r>
        <w:t xml:space="preserve">SDG 7: undefined — Indicators —</w:t>
      </w:r>
    </w:p>
    <w:p>
      <w:r>
        <w:t xml:space="preserve">SDG 7: undefined — Indicators —</w:t>
      </w:r>
    </w:p>
    <w:p>
      <w:r>
        <w:t xml:space="preserve">SDG 5: undefined — Indicators —</w:t>
      </w:r>
    </w:p>
    <w:p>
      <w:pPr>
        <w:pStyle w:val="Heading1"/>
      </w:pPr>
      <w:r>
        <w:t>OECD-DAC Evaluation Criteria</w:t>
      </w:r>
    </w:p>
    <w:p>
      <w:r>
        <w:t xml:space="preserve">Relevance: Synthetic evidence indicates a strong relevance signal, subject to the stated design limitations. (75/100) — Review relevance evidence at the next formal management gate.</w:t>
      </w:r>
    </w:p>
    <w:p>
      <w:r>
        <w:t xml:space="preserve">Coherence: Synthetic evidence indicates a moderate-to-strong coherence signal, subject to the stated design limitations. (76/100) — Review coherence evidence at the next formal management gate.</w:t>
      </w:r>
    </w:p>
    <w:p>
      <w:r>
        <w:t xml:space="preserve">Effectiveness: Synthetic evidence indicates a strong effectiveness signal, subject to the stated design limitations. (77/100) — Review effectiveness evidence at the next formal management gate.</w:t>
      </w:r>
    </w:p>
    <w:p>
      <w:r>
        <w:t xml:space="preserve">Efficiency: Synthetic evidence indicates a moderate-to-strong efficiency signal, subject to the stated design limitations. (78/100) — Review efficiency evidence at the next formal management gate.</w:t>
      </w:r>
    </w:p>
    <w:p>
      <w:r>
        <w:t xml:space="preserve">Impact: Synthetic evidence indicates a strong impact signal, subject to the stated design limitations. (79/100) — Review impact evidence at the next formal management gate.</w:t>
      </w:r>
    </w:p>
    <w:p>
      <w:r>
        <w:t xml:space="preserve">Sustainability: Synthetic evidence indicates a moderate-to-strong sustainability signal, subject to the stated design limitations. (80/100) — Review sustainability evidence at the next formal management gate.</w:t>
      </w:r>
    </w:p>
    <w:p>
      <w:pPr>
        <w:pStyle w:val="Heading1"/>
      </w:pPr>
      <w:r>
        <w:t>Results-Based Management</w:t>
      </w:r>
    </w:p>
    <w:p>
      <w:r>
        <w:t xml:space="preserve">Impact: Sustained, equitable improvement in energy access performance</w:t>
      </w:r>
    </w:p>
    <w:p>
      <w:r>
        <w:t xml:space="preserve">OC-01: Improved energy access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EVI-ENE-001 • survey • SYN-ENER-0001 • APPROVED • 88%</w:t>
      </w:r>
    </w:p>
    <w:p>
      <w:r>
        <w:t xml:space="preserve">EVI-ENE-002 • key_informant_interview • SYN-ENER-0002 • APPROVED • 89%</w:t>
      </w:r>
    </w:p>
    <w:p>
      <w:r>
        <w:t xml:space="preserve">EVI-ENE-003 • administrative_record • SYN-ENER-0003 • APPROVED • 90%</w:t>
      </w:r>
    </w:p>
    <w:p>
      <w:r>
        <w:t xml:space="preserve">EVI-ENE-004 • survey • SYN-ENER-0004 • APPROVED • 91%</w:t>
      </w:r>
    </w:p>
    <w:p>
      <w:r>
        <w:t xml:space="preserve">EVI-ENE-005 • key_informant_interview • SYN-ENER-0005 • APPROVED • 92%</w:t>
      </w:r>
    </w:p>
    <w:p>
      <w:r>
        <w:t xml:space="preserve">EVI-ENE-006 • administrative_record • SYN-ENER-0006 • APPROVED • 93%</w:t>
      </w:r>
    </w:p>
    <w:p>
      <w:r>
        <w:t xml:space="preserve">EVI-ENE-007 • survey • SYN-ENER-0007 • APPROVED • 94%</w:t>
      </w:r>
    </w:p>
    <w:p>
      <w:r>
        <w:t xml:space="preserve">EVI-ENE-008 • key_informant_interview • SYN-ENER-0008 • APPROVED • 95%</w:t>
      </w:r>
    </w:p>
    <w:p>
      <w:r>
        <w:t xml:space="preserve">EVI-ENE-009 • administrative_record • SYN-ENER-0009 • APPROVED • 96%</w:t>
      </w:r>
    </w:p>
    <w:p>
      <w:r>
        <w:t xml:space="preserve">EVI-ENE-010 • survey • SYN-ENER-0010 • APPROVED • 97%</w:t>
      </w:r>
    </w:p>
    <w:p>
      <w:pPr>
        <w:pStyle w:val="Heading1"/>
      </w:pPr>
      <w:r>
        <w:t>Data Dictionary</w:t>
      </w:r>
    </w:p>
    <w:p>
      <w:r>
        <w:t xml:space="preserve">indicator_1: Synthetic Energy Access indicator 1; numeric; allowed: 0–100; missing: NA</w:t>
      </w:r>
    </w:p>
    <w:p>
      <w:r>
        <w:t xml:space="preserve">indicator_2: Synthetic Energy Access indicator 2; categorical; allowed: Documented code list; missing: NA</w:t>
      </w:r>
    </w:p>
    <w:p>
      <w:r>
        <w:t xml:space="preserve">indicator_3: Synthetic Energy Access indicator 3; categorical; allowed: Documented code list; missing: NA</w:t>
      </w:r>
    </w:p>
    <w:p>
      <w:r>
        <w:t xml:space="preserve">indicator_4: Synthetic Energy Access indicator 4; numeric; allowed: 0–100; missing: NA</w:t>
      </w:r>
    </w:p>
    <w:p>
      <w:r>
        <w:t xml:space="preserve">indicator_5: Synthetic Energy Access indicator 5; categorical; allowed: Documented code list; missing: NA</w:t>
      </w:r>
    </w:p>
    <w:p>
      <w:r>
        <w:t xml:space="preserve">indicator_6: Synthetic Energy Access indicator 6; categorical; allowed: Documented code list; missing: NA</w:t>
      </w:r>
    </w:p>
    <w:p>
      <w:r>
        <w:t xml:space="preserve">indicator_7: Synthetic Energy Access indicator 7; numeric; allowed: 0–100; missing: NA</w:t>
      </w:r>
    </w:p>
    <w:p>
      <w:r>
        <w:t xml:space="preserve">indicator_8: Synthetic Energy Access indicator 8; categorical; allowed: Documented code list; missing: NA</w:t>
      </w:r>
    </w:p>
    <w:p>
      <w:r>
        <w:t xml:space="preserve">indicator_9: Synthetic Energy Access indicator 9; categorical; allowed: Documented code list; missing: NA</w:t>
      </w:r>
    </w:p>
    <w:p>
      <w:r>
        <w:t xml:space="preserve">indicator_10: Synthetic Energy Access indicator 10; numeric; allowed: 0–100; missing: NA</w:t>
      </w:r>
    </w:p>
    <w:p>
      <w:r>
        <w:t xml:space="preserve">indicator_11: Synthetic Energy Access indicator 11; categorical; allowed: Documented code list; missing: NA</w:t>
      </w:r>
    </w:p>
    <w:p>
      <w:r>
        <w:t xml:space="preserve">indicator_12: Synthetic Energy Access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