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2200"/>
      </w:pPr>
      <w:r>
        <w:rPr>
          <w:b/>
          <w:sz w:val="42"/>
        </w:rPr>
        <w:t>Evidence Explorer Report</w:t>
      </w:r>
    </w:p>
    <w:p>
      <w:r>
        <w:t xml:space="preserve">VoiceInsights Africa — Full Synthetic Demonstration Publication</w:t>
      </w:r>
    </w:p>
    <w:p>
      <w:r>
        <w:t xml:space="preserve">Synthetic Demonstration Publication produced by VoiceInsights Africa. All people, quotations, locations and statistics are synthetic, internally governed demonstration content and are not official statistics.</w:t>
      </w:r>
    </w:p>
    <w:p>
      <w:pPr>
        <w:pStyle w:val="Heading1"/>
      </w:pPr>
      <w:r>
        <w:t>Executive Intelligence</w:t>
      </w:r>
    </w:p>
    <w:p>
      <w:r>
        <w:t xml:space="preserve">Progress on citizen feedback performance in Tanzania is real, but it is not evenly shared. This publication traces where the gains are holding, where the risk is concentrated, and what remains within reach. Findings are linked to synthetic source records, recommendations carry named accountability fields, and all statistical claims are generated from one internally consistent dataset.</w:t>
      </w:r>
    </w:p>
    <w:p>
      <w:pPr>
        <w:pStyle w:val="Heading1"/>
      </w:pPr>
      <w:r>
        <w:t>Table of Contents</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pPr>
        <w:pStyle w:val="Heading1"/>
      </w:pPr>
      <w:r>
        <w:t>Critical Findings</w:t>
      </w:r>
    </w:p>
    <w:p>
      <w:pPr>
        <w:pStyle w:val="Heading2"/>
      </w:pPr>
      <w:r>
        <w:t>Claim traceability</w:t>
      </w:r>
    </w:p>
    <w:p>
      <w:r>
        <w:t xml:space="preserve">What would it take to fix claim traceability? Start with Coastal Sample, where the signal sits at 75% and rural women carry most of the shortfall. The honest answer is sustained attention, not a single intervention. Coastal Sample shows the sharpest divide, where rural women carry the largest share of the gap. Left unaddressed for a year, the imbalance is likely to erode equity, delivery confidence and the durability of results.</w:t>
      </w:r>
    </w:p>
    <w:p>
      <w:r>
        <w:t xml:space="preserve">Evidence: EVI-EVI-001, EVI-EVI-004 • Confidence 93.5%</w:t>
      </w:r>
    </w:p>
    <w:p>
      <w:pPr>
        <w:pStyle w:val="Heading2"/>
      </w:pPr>
      <w:r>
        <w:t>Source triangulation</w:t>
      </w:r>
    </w:p>
    <w:p>
      <w:r>
        <w:t xml:space="preserve">Source triangulation is not a marginal delivery issue. In Lake Sample, the governed evidence indicates a 76% performance signal, with young adults carrying the most consequential constraint. Left unaddressed, source triangulation becomes a structural risk to citizen feedback delivery in Tanzania, not a temporary dip. Lake Sample is furthest exposed, and young adults would carry the earliest and heaviest consequences of a further year's delay.</w:t>
      </w:r>
    </w:p>
    <w:p>
      <w:r>
        <w:t xml:space="preserve">Evidence: EVI-EVI-002, EVI-EVI-005 • Confidence 94.5%</w:t>
      </w:r>
    </w:p>
    <w:p>
      <w:pPr>
        <w:pStyle w:val="Heading2"/>
      </w:pPr>
      <w:r>
        <w:t>Review consistency</w:t>
      </w:r>
    </w:p>
    <w:p>
      <w:r>
        <w:t xml:space="preserve">Two things are true at once about review consistency. The national picture is improving, and Northern Sample — where persons with disabilities report a 77% signal — is not improving fast enough to close the gap. Citizen feedback performance in Tanzania looks stable in aggregate but splits sharply once review consistency is disaggregated. Northern Sample anchors the low end, and persons with disabilities bear most of that shortfall — a pattern that risks compounding without intervention within the year.</w:t>
      </w:r>
    </w:p>
    <w:p>
      <w:r>
        <w:t xml:space="preserve">Evidence: EVI-EVI-003, EVI-EVI-006 • Confidence 95.5%</w:t>
      </w:r>
    </w:p>
    <w:p>
      <w:pPr>
        <w:pStyle w:val="Heading2"/>
      </w:pPr>
      <w:r>
        <w:t>Privacy-safe disclosure</w:t>
      </w:r>
    </w:p>
    <w:p>
      <w:r>
        <w:t xml:space="preserve">Frontline workers in Urban Sample are living the consequence of privacy-safe disclosure, not simply reporting it. Their 78% signal is the clearest evidence leadership has that current measures fall short. frontline workers in Urban Sample do not experience privacy-safe disclosure as an abstract metric. They experience it as the difference between citizen feedback delivery that works and delivery that does not, and a twelve-month delay would deepen that gap rather than hold it steady.</w:t>
      </w:r>
    </w:p>
    <w:p>
      <w:r>
        <w:t xml:space="preserve">Evidence: EVI-EVI-004, EVI-EVI-007 • Confidence 96.5%</w:t>
      </w:r>
    </w:p>
    <w:p>
      <w:pPr>
        <w:pStyle w:val="Heading2"/>
      </w:pPr>
      <w:r>
        <w:t>AI explanation grounding</w:t>
      </w:r>
    </w:p>
    <w:p>
      <w:r>
        <w:t xml:space="preserve">The strategic opportunity lies in the variation, not the average. At 79%, Coastal Sample's aI explanation grounding signal shows where implementation can move quickly, while the experience of low-income households defines the safeguard that must accompany scale. The same gap that makes AI explanation grounding a risk also makes it an opportunity: Coastal Sample could close most of the distance to the rest of Tanzania within a year if action starts now, with the clearest gains reaching low-income households first.</w:t>
      </w:r>
    </w:p>
    <w:p>
      <w:r>
        <w:t xml:space="preserve">Evidence: EVI-EVI-005, EVI-EVI-008 • Confidence 92%</w:t>
      </w:r>
    </w:p>
    <w:p>
      <w:pPr>
        <w:pStyle w:val="Heading1"/>
      </w:pPr>
      <w:r>
        <w:t>Regional Intelligence</w:t>
      </w:r>
    </w:p>
    <w:p>
      <w:r>
        <w:t xml:space="preserve">Coastal Sample: 68% • 730 responses • Risk WATCH</w:t>
      </w:r>
    </w:p>
    <w:p>
      <w:r>
        <w:t xml:space="preserve">Lake Sample: 69% • 635 responses • Risk WATCH</w:t>
      </w:r>
    </w:p>
    <w:p>
      <w:r>
        <w:t xml:space="preserve">Northern Sample: 70% • 541 responses • Risk STABLE</w:t>
      </w:r>
    </w:p>
    <w:p>
      <w:r>
        <w:t xml:space="preserve">Urban Sample: 71% • 447 responses • Risk STABLE</w:t>
      </w:r>
    </w:p>
    <w:p>
      <w:pPr>
        <w:pStyle w:val="Heading1"/>
      </w:pPr>
      <w:r>
        <w:t>Indicators and Target Gaps</w:t>
      </w:r>
    </w:p>
    <w:p>
      <w:r>
        <w:t xml:space="preserve">IND-01 Claim traceability rate: 52% vs 76% — OFF_TRACK</w:t>
      </w:r>
    </w:p>
    <w:p>
      <w:r>
        <w:t xml:space="preserve">IND-02 Triangulation strength: 53% vs 77% — OFF_TRACK</w:t>
      </w:r>
    </w:p>
    <w:p>
      <w:r>
        <w:t xml:space="preserve">IND-03 Reviewer agreement: 54% vs 78% — OFF_TRACK</w:t>
      </w:r>
    </w:p>
    <w:p>
      <w:r>
        <w:t xml:space="preserve">IND-04 Grounded explanation rate: 55% vs 79% — OFF_TRACK</w:t>
      </w:r>
    </w:p>
    <w:p>
      <w:pPr>
        <w:pStyle w:val="Heading1"/>
      </w:pPr>
      <w:r>
        <w:t>Respondent Voice</w:t>
      </w:r>
    </w:p>
    <w:p>
      <w:r>
        <w:t xml:space="preserve">Coastal Sample: “Rural women in Coastal Sample frame it simply: when claim traceability breaks down, everything else does too.”</w:t>
      </w:r>
    </w:p>
    <w:p>
      <w:r>
        <w:t xml:space="preserve">Lake Sample: “In Lake Sample, source triangulation shapes whether young adults can turn services into lasting outcomes.”</w:t>
      </w:r>
    </w:p>
    <w:p>
      <w:r>
        <w:t xml:space="preserve">Northern Sample: “Persons with disabilities in Northern Sample put it plainly: review consistency is what decides whether progress holds or slips back.”</w:t>
      </w:r>
    </w:p>
    <w:p>
      <w:r>
        <w:t xml:space="preserve">Urban Sample: “Why does Urban Sample lag behind? Ask frontline workers, and the answer comes back to privacy-safe disclosure.”</w:t>
      </w:r>
    </w:p>
    <w:p>
      <w:r>
        <w:t xml:space="preserve">Coastal Sample: “Elsewhere, AI explanation grounding might be a footnote. For low-income households in Coastal Sample, it is the whole story.”</w:t>
      </w:r>
    </w:p>
    <w:p>
      <w:r>
        <w:t xml:space="preserve">Lake Sample: “Service managers in Lake Sample frame it simply: when claim traceability breaks down, everything else does too.”</w:t>
      </w:r>
    </w:p>
    <w:p>
      <w:r>
        <w:t xml:space="preserve">Northern Sample: “In Northern Sample, source triangulation shapes whether community leaders can turn services into lasting outcomes.”</w:t>
      </w:r>
    </w:p>
    <w:p>
      <w:r>
        <w:t xml:space="preserve">Urban Sample: “Private-sector partners in Urban Sample put it plainly: review consistency is what decides whether progress holds or slips back.”</w:t>
      </w:r>
    </w:p>
    <w:p>
      <w:r>
        <w:t xml:space="preserve">Coastal Sample: “Why does Coastal Sample lag behind? Ask rural women, and the answer comes back to privacy-safe disclosure.”</w:t>
      </w:r>
    </w:p>
    <w:p>
      <w:r>
        <w:t xml:space="preserve">Lake Sample: “Elsewhere, AI explanation grounding might be a footnote. For young adults in Lake Sample, it is the whole story.”</w:t>
      </w:r>
    </w:p>
    <w:p>
      <w:pPr>
        <w:pStyle w:val="Heading1"/>
      </w:pPr>
      <w:r>
        <w:t>Decision Intelligence</w:t>
      </w:r>
    </w:p>
    <w:p>
      <w:pPr>
        <w:pStyle w:val="Heading2"/>
      </w:pPr>
      <w:r>
        <w:t>DEC-EVI-01 CRITICAL</w:t>
      </w:r>
    </w:p>
    <w:p>
      <w:r>
        <w:t xml:space="preserve">Require source lineage for every publishable claim.</w:t>
      </w:r>
    </w:p>
    <w:p>
      <w:r>
        <w:t xml:space="preserve">Owner: Country Director / Programme Executive • Timeline: 0–90 days • Budget: High — full business case and multi-year funding commitment required • Indicator: Share of the critical-tier delivery plan confirmed complete each quarter (DEC-EVI-01)</w:t>
      </w:r>
    </w:p>
    <w:p>
      <w:pPr>
        <w:pStyle w:val="Heading2"/>
      </w:pPr>
      <w:r>
        <w:t>DEC-EVI-02 CRITICAL</w:t>
      </w:r>
    </w:p>
    <w:p>
      <w:r>
        <w:t xml:space="preserve">Triangulate high-risk findings across source types.</w:t>
      </w:r>
    </w:p>
    <w:p>
      <w:r>
        <w:t xml:space="preserve">Owner: Country Director / Programme Executive • Timeline: 3–12 months • Budget: Medium — detailed costing and fiduciary review required • Indicator: Milestone completion rate tracked against the DEC-EVI-02 delivery plan</w:t>
      </w:r>
    </w:p>
    <w:p>
      <w:pPr>
        <w:pStyle w:val="Heading2"/>
      </w:pPr>
      <w:r>
        <w:t>DEC-EVI-03 HIGH</w:t>
      </w:r>
    </w:p>
    <w:p>
      <w:r>
        <w:t xml:space="preserve">Calibrate reviewer decisions with blinded cases.</w:t>
      </w:r>
    </w:p>
    <w:p>
      <w:r>
        <w:t xml:space="preserve">Owner: Country Director / Programme Executive • Timeline: 3–12 months • Budget: Low to medium — validate through the formal planning cycle • Indicator: Proportion of agreed implementation steps verified on schedule for DEC-EVI-03</w:t>
      </w:r>
    </w:p>
    <w:p>
      <w:pPr>
        <w:pStyle w:val="Heading2"/>
      </w:pPr>
      <w:r>
        <w:t>DEC-EVI-04 HIGH</w:t>
      </w:r>
    </w:p>
    <w:p>
      <w:r>
        <w:t xml:space="preserve">Enforce disclosure checks before evidence download.</w:t>
      </w:r>
    </w:p>
    <w:p>
      <w:r>
        <w:t xml:space="preserve">Owner: Country Director / Programme Executive • Timeline: 3–12 months • Budget: Low — absorbable within existing allocations, subject to confirmation • Indicator: Quarterly-verified progress against the milestones agreed for this high-tier decision (DEC-EVI-04)</w:t>
      </w:r>
    </w:p>
    <w:p>
      <w:pPr>
        <w:pStyle w:val="Heading2"/>
      </w:pPr>
      <w:r>
        <w:t>DEC-EVI-05 MEDIUM</w:t>
      </w:r>
    </w:p>
    <w:p>
      <w:r>
        <w:t xml:space="preserve">Block AI explanations without approved citations.</w:t>
      </w:r>
    </w:p>
    <w:p>
      <w:r>
        <w:t xml:space="preserve">Owner: Country Director / Programme Executive • Timeline: 6–18 months • Budget: Low — deliverable inside the current operating budget with light validation • Indicator: Number of agreed milestones for DEC-EVI-05 confirmed complete at each quarterly review</w:t>
      </w:r>
    </w:p>
    <w:p>
      <w:pPr>
        <w:pStyle w:val="Heading1"/>
      </w:pPr>
      <w:r>
        <w:t>Methodology</w:t>
      </w:r>
    </w:p>
    <w:p>
      <w:r>
        <w:t xml:space="preserve">research objectives: ["Assess citizen feedback performance and equity","Identify operational drivers and decision priorities"]</w:t>
      </w:r>
    </w:p>
    <w:p>
      <w:r>
        <w:t xml:space="preserve">evaluation questions: ["What outcomes are changing?","Who is being left behind?","Which actions are most likely to improve performance?"]</w:t>
      </w:r>
    </w:p>
    <w:p>
      <w:r>
        <w:t xml:space="preserve">sampling frame: Synthetic programme population frame for Tanzania</w:t>
      </w:r>
    </w:p>
    <w:p>
      <w:r>
        <w:t xml:space="preserve">sample size: 2353</w:t>
      </w:r>
    </w:p>
    <w:p>
      <w:r>
        <w:t xml:space="preserve">stratification: ["Region","Location type","Sex","Age","Disability"]</w:t>
      </w:r>
    </w:p>
    <w:p>
      <w:r>
        <w:t xml:space="preserve">weights: Normalized post-stratification weights</w:t>
      </w:r>
    </w:p>
    <w:p>
      <w:r>
        <w:t xml:space="preserve">confidence intervals: 95%</w:t>
      </w:r>
    </w:p>
    <w:p>
      <w:r>
        <w:t xml:space="preserve">design effect: 1.6</w:t>
      </w:r>
    </w:p>
    <w:p>
      <w:r>
        <w:t xml:space="preserve">missing data: Documented and sensitivity-tested</w:t>
      </w:r>
    </w:p>
    <w:p>
      <w:r>
        <w:t xml:space="preserve">reliability: Cronbach alpha 0.86</w:t>
      </w:r>
    </w:p>
    <w:p>
      <w:r>
        <w:t xml:space="preserve">validity: Content and construct validity checks</w:t>
      </w:r>
    </w:p>
    <w:p>
      <w:r>
        <w:t xml:space="preserve">metadata: Complete synthetic data dictionary and lineage registry</w:t>
      </w:r>
    </w:p>
    <w:p>
      <w:pPr>
        <w:pStyle w:val="Heading1"/>
      </w:pPr>
      <w:r>
        <w:t>Institutional &amp; Methodology Assurance</w:t>
      </w:r>
    </w:p>
    <w:p>
      <w:r>
        <w:t xml:space="preserve">protocol: Governed synthetic research protocol with sampling, weighting, reliability, validity and reproducibility controls</w:t>
      </w:r>
    </w:p>
    <w:p>
      <w:r>
        <w:t xml:space="preserve">ethics: Synthetic records only; no real participants or personal data</w:t>
      </w:r>
    </w:p>
    <w:p>
      <w:r>
        <w:t xml:space="preserve">peer review: Independent synthetic-publication review checklist completed</w:t>
      </w:r>
    </w:p>
    <w:p>
      <w:r>
        <w:t xml:space="preserve">reproducibility: Deterministic inputs, versioned dataset and export manifest</w:t>
      </w:r>
    </w:p>
    <w:p>
      <w:pPr>
        <w:pStyle w:val="Heading1"/>
      </w:pPr>
      <w:r>
        <w:t>Analytical Depth &amp; Reproducibility</w:t>
      </w:r>
    </w:p>
    <w:p>
      <w:r>
        <w:t xml:space="preserve">inferential statistics: Enabled where assumptions and design permit</w:t>
      </w:r>
    </w:p>
    <w:p>
      <w:r>
        <w:t xml:space="preserve">segmentation: Evidence-led segments</w:t>
      </w:r>
    </w:p>
    <w:p>
      <w:r>
        <w:t xml:space="preserve">trend analysis: Three-period synthetic series</w:t>
      </w:r>
    </w:p>
    <w:p>
      <w:pPr>
        <w:pStyle w:val="Heading1"/>
      </w:pPr>
      <w:r>
        <w:t>Decision Architecture</w:t>
      </w:r>
    </w:p>
    <w:p>
      <w:pPr>
        <w:pStyle w:val="Heading2"/>
      </w:pPr>
      <w:r>
        <w:t>DEC-EVI-01</w:t>
      </w:r>
    </w:p>
    <w:p>
      <w:r>
        <w:t xml:space="preserve">Require source lineage for every publishable claim.</w:t>
      </w:r>
    </w:p>
    <w:p>
      <w:r>
        <w:t xml:space="preserve">Owner: Country Director / Programme Executive • Window: 0–90 days • Cost: High — full business case and multi-year funding commitment required • Indicator: Share of the critical-tier delivery plan confirmed complete each quarter (DEC-EVI-01)</w:t>
      </w:r>
    </w:p>
    <w:p>
      <w:pPr>
        <w:pStyle w:val="Heading2"/>
      </w:pPr>
      <w:r>
        <w:t>DEC-EVI-02</w:t>
      </w:r>
    </w:p>
    <w:p>
      <w:r>
        <w:t xml:space="preserve">Triangulate high-risk findings across source types.</w:t>
      </w:r>
    </w:p>
    <w:p>
      <w:r>
        <w:t xml:space="preserve">Owner: Country Director / Programme Executive • Window: 3–12 months • Cost: Medium — detailed costing and fiduciary review required • Indicator: Milestone completion rate tracked against the DEC-EVI-02 delivery plan</w:t>
      </w:r>
    </w:p>
    <w:p>
      <w:pPr>
        <w:pStyle w:val="Heading2"/>
      </w:pPr>
      <w:r>
        <w:t>DEC-EVI-03</w:t>
      </w:r>
    </w:p>
    <w:p>
      <w:r>
        <w:t xml:space="preserve">Calibrate reviewer decisions with blinded cases.</w:t>
      </w:r>
    </w:p>
    <w:p>
      <w:r>
        <w:t xml:space="preserve">Owner: Country Director / Programme Executive • Window: 3–12 months • Cost: Low to medium — validate through the formal planning cycle • Indicator: Proportion of agreed implementation steps verified on schedule for DEC-EVI-03</w:t>
      </w:r>
    </w:p>
    <w:p>
      <w:pPr>
        <w:pStyle w:val="Heading2"/>
      </w:pPr>
      <w:r>
        <w:t>DEC-EVI-04</w:t>
      </w:r>
    </w:p>
    <w:p>
      <w:r>
        <w:t xml:space="preserve">Enforce disclosure checks before evidence download.</w:t>
      </w:r>
    </w:p>
    <w:p>
      <w:r>
        <w:t xml:space="preserve">Owner: Country Director / Programme Executive • Window: 3–12 months • Cost: Low — absorbable within existing allocations, subject to confirmation • Indicator: Quarterly-verified progress against the milestones agreed for this high-tier decision (DEC-EVI-04)</w:t>
      </w:r>
    </w:p>
    <w:p>
      <w:pPr>
        <w:pStyle w:val="Heading2"/>
      </w:pPr>
      <w:r>
        <w:t>DEC-EVI-05</w:t>
      </w:r>
    </w:p>
    <w:p>
      <w:r>
        <w:t xml:space="preserve">Block AI explanations without approved citations.</w:t>
      </w:r>
    </w:p>
    <w:p>
      <w:r>
        <w:t xml:space="preserve">Owner: Country Director / Programme Executive • Window: 6–18 months • Cost: Low — deliverable inside the current operating budget with light validation • Indicator: Number of agreed milestones for DEC-EVI-05 confirmed complete at each quarterly review</w:t>
      </w:r>
    </w:p>
    <w:p>
      <w:pPr>
        <w:pStyle w:val="Heading1"/>
      </w:pPr>
      <w:r>
        <w:t>Evidence Lineage &amp; Citation Registry</w:t>
      </w:r>
    </w:p>
    <w:p>
      <w:r>
        <w:t xml:space="preserve">EVI-EVI-001: [object Object] • APPROVED_SYNTHETIC_DEMONSTRATION • 92%</w:t>
      </w:r>
    </w:p>
    <w:p>
      <w:r>
        <w:t xml:space="preserve">EVI-EVI-002: [object Object] • APPROVED_SYNTHETIC_DEMONSTRATION • 93%</w:t>
      </w:r>
    </w:p>
    <w:p>
      <w:r>
        <w:t xml:space="preserve">EVI-EVI-003: [object Object] • APPROVED_SYNTHETIC_DEMONSTRATION • 94%</w:t>
      </w:r>
    </w:p>
    <w:p>
      <w:r>
        <w:t xml:space="preserve">EVI-EVI-004: [object Object] • APPROVED_SYNTHETIC_DEMONSTRATION • 95%</w:t>
      </w:r>
    </w:p>
    <w:p>
      <w:r>
        <w:t xml:space="preserve">EVI-EVI-005: [object Object] • APPROVED_SYNTHETIC_DEMONSTRATION • 96%</w:t>
      </w:r>
    </w:p>
    <w:p>
      <w:r>
        <w:t xml:space="preserve">EVI-EVI-006: [object Object] • APPROVED_SYNTHETIC_DEMONSTRATION • 97%</w:t>
      </w:r>
    </w:p>
    <w:p>
      <w:r>
        <w:t xml:space="preserve">EVI-EVI-007: [object Object] • APPROVED_SYNTHETIC_DEMONSTRATION • 98%</w:t>
      </w:r>
    </w:p>
    <w:p>
      <w:r>
        <w:t xml:space="preserve">EVI-EVI-008: [object Object] • APPROVED_SYNTHETIC_DEMONSTRATION • 88%</w:t>
      </w:r>
    </w:p>
    <w:p>
      <w:r>
        <w:t xml:space="preserve">EVI-EVI-009: [object Object] • APPROVED_SYNTHETIC_DEMONSTRATION • 89%</w:t>
      </w:r>
    </w:p>
    <w:p>
      <w:r>
        <w:t xml:space="preserve">EVI-EVI-010: [object Object] • APPROVED_SYNTHETIC_DEMONSTRATION • 90%</w:t>
      </w:r>
    </w:p>
    <w:p>
      <w:r>
        <w:t xml:space="preserve">CIT-EVI-EVI-001: VoiceInsights Africa. Evidence Explorer Report. synthetic-evidence-explorer-2026.1, EVI-EVI-001, Q1: How does claim traceability affect citizen feedback outcomes in Coastal Sample?</w:t>
      </w:r>
    </w:p>
    <w:p>
      <w:r>
        <w:t xml:space="preserve">CIT-EVI-EVI-002: VoiceInsights Africa. Evidence Explorer Report. synthetic-evidence-explorer-2026.1, EVI-EVI-002, Q2: How does source triangulation affect citizen feedback outcomes in Lake Sample?</w:t>
      </w:r>
    </w:p>
    <w:p>
      <w:r>
        <w:t xml:space="preserve">CIT-EVI-EVI-003: VoiceInsights Africa. Evidence Explorer Report. synthetic-evidence-explorer-2026.1, EVI-EVI-003, Q3: How does review consistency affect citizen feedback outcomes in Northern Sample?</w:t>
      </w:r>
    </w:p>
    <w:p>
      <w:r>
        <w:t xml:space="preserve">CIT-EVI-EVI-004: VoiceInsights Africa. Evidence Explorer Report. synthetic-evidence-explorer-2026.1, EVI-EVI-004, Q4: How does privacy-safe disclosure affect citizen feedback outcomes in Urban Sample?</w:t>
      </w:r>
    </w:p>
    <w:p>
      <w:r>
        <w:t xml:space="preserve">CIT-EVI-EVI-005: VoiceInsights Africa. Evidence Explorer Report. synthetic-evidence-explorer-2026.1, EVI-EVI-005, Q5: How does AI explanation grounding affect citizen feedback outcomes in Coastal Sample?</w:t>
      </w:r>
    </w:p>
    <w:p>
      <w:r>
        <w:t xml:space="preserve">CIT-EVI-EVI-006: VoiceInsights Africa. Evidence Explorer Report. synthetic-evidence-explorer-2026.1, EVI-EVI-006, Q6: How does claim traceability affect citizen feedback outcomes in Lake Sample?</w:t>
      </w:r>
    </w:p>
    <w:p>
      <w:r>
        <w:t xml:space="preserve">CIT-EVI-EVI-007: VoiceInsights Africa. Evidence Explorer Report. synthetic-evidence-explorer-2026.1, EVI-EVI-007, Q7: How does source triangulation affect citizen feedback outcomes in Northern Sample?</w:t>
      </w:r>
    </w:p>
    <w:p>
      <w:r>
        <w:t xml:space="preserve">CIT-EVI-EVI-008: VoiceInsights Africa. Evidence Explorer Report. synthetic-evidence-explorer-2026.1, EVI-EVI-008, Q8: How does review consistency affect citizen feedback outcomes in Urban Sample?</w:t>
      </w:r>
    </w:p>
    <w:p>
      <w:r>
        <w:t xml:space="preserve">CIT-EVI-EVI-009: VoiceInsights Africa. Evidence Explorer Report. synthetic-evidence-explorer-2026.1, EVI-EVI-009, Q9: How does privacy-safe disclosure affect citizen feedback outcomes in Coastal Sample?</w:t>
      </w:r>
    </w:p>
    <w:p>
      <w:r>
        <w:t xml:space="preserve">CIT-EVI-EVI-010: VoiceInsights Africa. Evidence Explorer Report. synthetic-evidence-explorer-2026.1, EVI-EVI-010, Q10: How does AI explanation grounding affect citizen feedback outcomes in Lake Sample?</w:t>
      </w:r>
    </w:p>
    <w:p>
      <w:pPr>
        <w:pStyle w:val="Heading1"/>
      </w:pPr>
      <w:r>
        <w:t>Publication Architecture</w:t>
      </w:r>
    </w:p>
    <w:p>
      <w:r>
        <w:t xml:space="preserve">Executive Intelligence Book (2–7): Executive brief; Decision snapshot; Risks; Opportunities; Budget implications</w:t>
      </w:r>
    </w:p>
    <w:p>
      <w:r>
        <w:t xml:space="preserve">Evidence Intelligence Book (8–15): Critical findings; Respondent voice; Evidence chains; Citation registry</w:t>
      </w:r>
    </w:p>
    <w:p>
      <w:r>
        <w:t xml:space="preserve">Statistical Intelligence Book (16–22): Sampling; Weighting; Uncertainty; Reliability; Model diagnostics</w:t>
      </w:r>
    </w:p>
    <w:p>
      <w:r>
        <w:t xml:space="preserve">Decision Intelligence Book (23–27): Decision matrix; Ownership; Budget; Roadmap; Management response</w:t>
      </w:r>
    </w:p>
    <w:p>
      <w:r>
        <w:t xml:space="preserve">Standards &amp; Assurance (28–31): Relevant frameworks; Safeguarding; Privacy; Responsible AI; Accessibility</w:t>
      </w:r>
    </w:p>
    <w:p>
      <w:r>
        <w:t xml:space="preserve">Technical Appendices (32–34): Data dictionary; Quality gate; Export manifest; Responsible-use notice</w:t>
      </w:r>
    </w:p>
    <w:p>
      <w:pPr>
        <w:pStyle w:val="Heading1"/>
      </w:pPr>
      <w:r>
        <w:t>Peer Review &amp; Accessibility</w:t>
      </w:r>
    </w:p>
    <w:p>
      <w:r>
        <w:t xml:space="preserve">wcag target: WCAG 2.2 AA</w:t>
      </w:r>
    </w:p>
    <w:p>
      <w:r>
        <w:t xml:space="preserve">tagged pdf required: true</w:t>
      </w:r>
    </w:p>
    <w:p>
      <w:r>
        <w:t xml:space="preserve">alt text required: true</w:t>
      </w:r>
    </w:p>
    <w:p>
      <w:r>
        <w:t xml:space="preserve">table fallback required: true</w:t>
      </w:r>
    </w:p>
    <w:p>
      <w:r>
        <w:t xml:space="preserve">keyboard navigation required: true</w:t>
      </w:r>
    </w:p>
    <w:p>
      <w:r>
        <w:t xml:space="preserve">colour independent labels required: true</w:t>
      </w:r>
    </w:p>
    <w:p>
      <w:pPr>
        <w:pStyle w:val="Heading1"/>
      </w:pPr>
      <w:r>
        <w:t>International Standards Alignment</w:t>
      </w:r>
    </w:p>
    <w:p>
      <w:r>
        <w:t xml:space="preserve">UNEG: APPLIED_WHERE_RELEVANT — Mapped to EVI-EVI-001, EVI-EVI-002; Synthetic demonstration mapping; institutional validation not implied</w:t>
      </w:r>
    </w:p>
    <w:p>
      <w:r>
        <w:t xml:space="preserve">Responsible AI: APPLIED_WHERE_RELEVANT — Mapped to EVI-EVI-002, EVI-EVI-003; Synthetic demonstration mapping; institutional validation not implied</w:t>
      </w:r>
    </w:p>
    <w:p>
      <w:r>
        <w:t xml:space="preserve">Privacy Controls: APPLIED_WHERE_RELEVANT — Mapped to EVI-EVI-003, EVI-EVI-004; Synthetic demonstration mapping; institutional validation not implied</w:t>
      </w:r>
    </w:p>
    <w:p>
      <w:r>
        <w:t xml:space="preserve">Safeguarding: APPLIED_WHERE_RELEVANT — Mapped to EVI-EVI-004, EVI-EVI-005; Synthetic demonstration mapping; institutional validation not implied</w:t>
      </w:r>
    </w:p>
    <w:p>
      <w:r>
        <w:t xml:space="preserve">Evidence Traceability: APPLIED — Control linked to EVI-EVI-001 and the deterministic publication gate.</w:t>
      </w:r>
    </w:p>
    <w:p>
      <w:r>
        <w:t xml:space="preserve">Research Ethics: APPLIED — Control linked to EVI-EVI-002 and the deterministic publication gate.</w:t>
      </w:r>
    </w:p>
    <w:p>
      <w:r>
        <w:t xml:space="preserve">Data Protection: APPLIED — Control linked to EVI-EVI-003 and the deterministic publication gate.</w:t>
      </w:r>
    </w:p>
    <w:p>
      <w:r>
        <w:t xml:space="preserve">Accessibility: APPLIED — Control linked to EVI-EVI-004 and the deterministic publication gate.</w:t>
      </w:r>
    </w:p>
    <w:p>
      <w:r>
        <w:t xml:space="preserve">Responsible AI: APPLIED — Control linked to EVI-EVI-005 and the deterministic publication gate.</w:t>
      </w:r>
    </w:p>
    <w:p>
      <w:r>
        <w:t xml:space="preserve">Publication Integrity: APPLIED — Control linked to EVI-EVI-006 and the deterministic publication gate.</w:t>
      </w:r>
    </w:p>
    <w:p>
      <w:pPr>
        <w:pStyle w:val="Heading1"/>
      </w:pPr>
      <w:r>
        <w:t>SDG Contribution</w:t>
      </w:r>
    </w:p>
    <w:p>
      <w:r>
        <w:t xml:space="preserve">SDG 16: undefined — Indicators —</w:t>
      </w:r>
    </w:p>
    <w:p>
      <w:r>
        <w:t xml:space="preserve">SDG 16: undefined — Indicators —</w:t>
      </w:r>
    </w:p>
    <w:p>
      <w:r>
        <w:t xml:space="preserve">SDG 17: undefined — Indicators —</w:t>
      </w:r>
    </w:p>
    <w:p>
      <w:pPr>
        <w:pStyle w:val="Heading1"/>
      </w:pPr>
      <w:r>
        <w:t>OECD-DAC Evaluation Criteria</w:t>
      </w:r>
    </w:p>
    <w:p>
      <w:r>
        <w:t xml:space="preserve">Relevance: Synthetic evidence indicates a strong relevance signal, subject to the stated design limitations. (81/100) — Review relevance evidence at the next formal management gate.</w:t>
      </w:r>
    </w:p>
    <w:p>
      <w:r>
        <w:t xml:space="preserve">Coherence: Synthetic evidence indicates a moderate-to-strong coherence signal, subject to the stated design limitations. (82/100) — Review coherence evidence at the next formal management gate.</w:t>
      </w:r>
    </w:p>
    <w:p>
      <w:r>
        <w:t xml:space="preserve">Effectiveness: Synthetic evidence indicates a strong effectiveness signal, subject to the stated design limitations. (83/100) — Review effectiveness evidence at the next formal management gate.</w:t>
      </w:r>
    </w:p>
    <w:p>
      <w:r>
        <w:t xml:space="preserve">Efficiency: Synthetic evidence indicates a moderate-to-strong efficiency signal, subject to the stated design limitations. (84/100) — Review efficiency evidence at the next formal management gate.</w:t>
      </w:r>
    </w:p>
    <w:p>
      <w:r>
        <w:t xml:space="preserve">Impact: Synthetic evidence indicates a strong impact signal, subject to the stated design limitations. (85/100) — Review impact evidence at the next formal management gate.</w:t>
      </w:r>
    </w:p>
    <w:p>
      <w:r>
        <w:t xml:space="preserve">Sustainability: Synthetic evidence indicates a moderate-to-strong sustainability signal, subject to the stated design limitations. (86/100) — Review sustainability evidence at the next formal management gate.</w:t>
      </w:r>
    </w:p>
    <w:p>
      <w:pPr>
        <w:pStyle w:val="Heading1"/>
      </w:pPr>
      <w:r>
        <w:t>Results-Based Management</w:t>
      </w:r>
    </w:p>
    <w:p>
      <w:r>
        <w:t xml:space="preserve">Impact: Sustained, equitable improvement in citizen feedback performance</w:t>
      </w:r>
    </w:p>
    <w:p>
      <w:r>
        <w:t xml:space="preserve">OC-01: Improved citizen feedback delivery and accountability — Indicators IND-01, IND-02</w:t>
      </w:r>
    </w:p>
    <w:p>
      <w:r>
        <w:t xml:space="preserve">OC-02: More equitable and durable outcomes — Indicators IND-03, IND-04</w:t>
      </w:r>
    </w:p>
    <w:p>
      <w:r>
        <w:t xml:space="preserve">OUT-01: Verified findings and interpreted decision products</w:t>
      </w:r>
    </w:p>
    <w:p>
      <w:r>
        <w:t xml:space="preserve">OUT-02: Assigned actions with monitoring indicators</w:t>
      </w:r>
    </w:p>
    <w:p>
      <w:pPr>
        <w:pStyle w:val="Heading1"/>
      </w:pPr>
      <w:r>
        <w:t>CHS Accountability Mapping</w:t>
      </w:r>
    </w:p>
    <w:p>
      <w:r>
        <w:t xml:space="preserve">Commitment 1: CHS Commitment 1 — CONTEXT_ONLY. Validate relevance and assign an accountable owner before live use.</w:t>
      </w:r>
    </w:p>
    <w:p>
      <w:r>
        <w:t xml:space="preserve">Commitment 2: CHS Commitment 2 — CONTEXT_ONLY. Validate relevance and assign an accountable owner before live use.</w:t>
      </w:r>
    </w:p>
    <w:p>
      <w:r>
        <w:t xml:space="preserve">Commitment 3: CHS Commitment 3 — CONTEXT_ONLY. Validate relevance and assign an accountable owner before live use.</w:t>
      </w:r>
    </w:p>
    <w:p>
      <w:r>
        <w:t xml:space="preserve">Commitment 4: CHS Commitment 4 — CONTEXT_ONLY. Validate relevance and assign an accountable owner before live use.</w:t>
      </w:r>
    </w:p>
    <w:p>
      <w:r>
        <w:t xml:space="preserve">Commitment 5: CHS Commitment 5 — CONTEXT_ONLY. Validate relevance and assign an accountable owner before live use.</w:t>
      </w:r>
    </w:p>
    <w:p>
      <w:r>
        <w:t xml:space="preserve">Commitment 6: CHS Commitment 6 — CONTEXT_ONLY. Validate relevance and assign an accountable owner before live use.</w:t>
      </w:r>
    </w:p>
    <w:p>
      <w:r>
        <w:t xml:space="preserve">Commitment 7: CHS Commitment 7 — CONTEXT_ONLY. Validate relevance and assign an accountable owner before live use.</w:t>
      </w:r>
    </w:p>
    <w:p>
      <w:r>
        <w:t xml:space="preserve">Commitment 8: CHS Commitment 8 — CONTEXT_ONLY. Validate relevance and assign an accountable owner before live use.</w:t>
      </w:r>
    </w:p>
    <w:p>
      <w:r>
        <w:t xml:space="preserve">Commitment 9: CHS Commitment 9 — CONTEXT_ONLY. Validate relevance and assign an accountable owner before live use.</w:t>
      </w:r>
    </w:p>
    <w:p>
      <w:pPr>
        <w:pStyle w:val="Heading1"/>
      </w:pPr>
      <w:r>
        <w:t>Evidence Register</w:t>
      </w:r>
    </w:p>
    <w:p>
      <w:r>
        <w:t xml:space="preserve">EVI-EVI-001 • survey • SYN-EVID-0001 • APPROVED • 92%</w:t>
      </w:r>
    </w:p>
    <w:p>
      <w:r>
        <w:t xml:space="preserve">EVI-EVI-002 • key_informant_interview • SYN-EVID-0002 • APPROVED • 93%</w:t>
      </w:r>
    </w:p>
    <w:p>
      <w:r>
        <w:t xml:space="preserve">EVI-EVI-003 • administrative_record • SYN-EVID-0003 • APPROVED • 94%</w:t>
      </w:r>
    </w:p>
    <w:p>
      <w:r>
        <w:t xml:space="preserve">EVI-EVI-004 • survey • SYN-EVID-0004 • APPROVED • 95%</w:t>
      </w:r>
    </w:p>
    <w:p>
      <w:r>
        <w:t xml:space="preserve">EVI-EVI-005 • key_informant_interview • SYN-EVID-0005 • APPROVED • 96%</w:t>
      </w:r>
    </w:p>
    <w:p>
      <w:r>
        <w:t xml:space="preserve">EVI-EVI-006 • administrative_record • SYN-EVID-0006 • APPROVED • 97%</w:t>
      </w:r>
    </w:p>
    <w:p>
      <w:r>
        <w:t xml:space="preserve">EVI-EVI-007 • survey • SYN-EVID-0007 • APPROVED • 98%</w:t>
      </w:r>
    </w:p>
    <w:p>
      <w:r>
        <w:t xml:space="preserve">EVI-EVI-008 • key_informant_interview • SYN-EVID-0008 • APPROVED • 88%</w:t>
      </w:r>
    </w:p>
    <w:p>
      <w:r>
        <w:t xml:space="preserve">EVI-EVI-009 • administrative_record • SYN-EVID-0009 • APPROVED • 89%</w:t>
      </w:r>
    </w:p>
    <w:p>
      <w:r>
        <w:t xml:space="preserve">EVI-EVI-010 • survey • SYN-EVID-0010 • APPROVED • 90%</w:t>
      </w:r>
    </w:p>
    <w:p>
      <w:pPr>
        <w:pStyle w:val="Heading1"/>
      </w:pPr>
      <w:r>
        <w:t>Data Dictionary</w:t>
      </w:r>
    </w:p>
    <w:p>
      <w:r>
        <w:t xml:space="preserve">indicator_1: Synthetic Citizen Feedback indicator 1; numeric; allowed: 0–100; missing: NA</w:t>
      </w:r>
    </w:p>
    <w:p>
      <w:r>
        <w:t xml:space="preserve">indicator_2: Synthetic Citizen Feedback indicator 2; categorical; allowed: Documented code list; missing: NA</w:t>
      </w:r>
    </w:p>
    <w:p>
      <w:r>
        <w:t xml:space="preserve">indicator_3: Synthetic Citizen Feedback indicator 3; categorical; allowed: Documented code list; missing: NA</w:t>
      </w:r>
    </w:p>
    <w:p>
      <w:r>
        <w:t xml:space="preserve">indicator_4: Synthetic Citizen Feedback indicator 4; numeric; allowed: 0–100; missing: NA</w:t>
      </w:r>
    </w:p>
    <w:p>
      <w:r>
        <w:t xml:space="preserve">indicator_5: Synthetic Citizen Feedback indicator 5; categorical; allowed: Documented code list; missing: NA</w:t>
      </w:r>
    </w:p>
    <w:p>
      <w:r>
        <w:t xml:space="preserve">indicator_6: Synthetic Citizen Feedback indicator 6; categorical; allowed: Documented code list; missing: NA</w:t>
      </w:r>
    </w:p>
    <w:p>
      <w:r>
        <w:t xml:space="preserve">indicator_7: Synthetic Citizen Feedback indicator 7; numeric; allowed: 0–100; missing: NA</w:t>
      </w:r>
    </w:p>
    <w:p>
      <w:r>
        <w:t xml:space="preserve">indicator_8: Synthetic Citizen Feedback indicator 8; categorical; allowed: Documented code list; missing: NA</w:t>
      </w:r>
    </w:p>
    <w:p>
      <w:r>
        <w:t xml:space="preserve">indicator_9: Synthetic Citizen Feedback indicator 9; categorical; allowed: Documented code list; missing: NA</w:t>
      </w:r>
    </w:p>
    <w:p>
      <w:r>
        <w:t xml:space="preserve">indicator_10: Synthetic Citizen Feedback indicator 10; numeric; allowed: 0–100; missing: NA</w:t>
      </w:r>
    </w:p>
    <w:p>
      <w:r>
        <w:t xml:space="preserve">indicator_11: Synthetic Citizen Feedback indicator 11; categorical; allowed: Documented code list; missing: NA</w:t>
      </w:r>
    </w:p>
    <w:p>
      <w:r>
        <w:t xml:space="preserve">indicator_12: Synthetic Citizen Feedback indicator 12; categorical; allowed: Documented code list; missing: NA</w:t>
      </w:r>
    </w:p>
    <w:p>
      <w:pPr>
        <w:pStyle w:val="Heading1"/>
      </w:pPr>
      <w:r>
        <w:t>Limitations &amp; Responsible Use</w:t>
      </w:r>
    </w:p>
    <w:p>
      <w:r>
        <w:t xml:space="preserve">All content is synthetic and must not be interpreted as official statistics</w:t>
      </w:r>
    </w:p>
    <w:p>
      <w:r>
        <w:t xml:space="preserve">Geographic references are illustrative</w:t>
      </w:r>
    </w:p>
    <w:p>
      <w:r>
        <w:t xml:space="preserve">Budget implications are directional and require formal costing</w:t>
      </w:r>
    </w:p>
    <w:p>
      <w:r>
        <w:t xml:space="preserve">Causal claims are not made without an appropriate design</w:t>
      </w:r>
    </w:p>
    <w:sectPr>
      <w:pgSz w:w="11906" w:h="16838"/>
      <w:pgMar w:top="1100" w:right="1100" w:bottom="1100" w:left="1100"/>
    </w:sectPr>
  </w:body>
</w:document>
</file>

<file path=word/styles.xml><?xml version="1.0" encoding="utf-8"?>
<w:styles xmlns:w="http://schemas.openxmlformats.org/wordprocessingml/2006/main">
  <w:style w:type="paragraph" w:default="1" w:styleId="Normal">
    <w:name w:val="Normal"/>
    <w:rPr>
      <w:rFonts w:ascii="Aptos"/>
      <w:sz w:val="22"/>
    </w:rPr>
  </w:style>
  <w:style w:type="paragraph" w:styleId="Heading1">
    <w:name w:val="heading 1"/>
    <w:basedOn w:val="Normal"/>
    <w:rPr>
      <w:b/>
      <w:color w:val="0B2E59"/>
      <w:sz w:val="32"/>
    </w:rPr>
  </w:style>
  <w:style w:type="paragraph" w:styleId="Heading2">
    <w:name w:val="heading 2"/>
    <w:basedOn w:val="Normal"/>
    <w:rPr>
      <w:b/>
      <w:color w:val="1C7ED6"/>
      <w:sz w:val="26"/>
    </w:rPr>
  </w:style>
</w:styles>
</file>

<file path=word/_rels/document.xml.rels><?xml version="1.0"?><Relationships xmlns="http://schemas.openxmlformats.org/package/2006/relationships"><Relationship Id="rId1" Type="http://schemas.openxmlformats.org/officeDocument/2006/relationships/styles" Target="styles.xml"/></Relationships>
</file>