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Financial Inclusion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What follows is a governed account of financial inclusion performance in Ghana: where it is working, where it is not, and what to do next. The evidence identifies uneven progress, concentrated risk, and a set of opportunities still open to act on. Every finding traces to a synthetic source record, every recommendation names an accountable owner, and every statistic in this publication is drawn from a single,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Dormant-account prevalence</w:t>
      </w:r>
    </w:p>
    <w:p>
      <w:r>
        <w:t xml:space="preserve">56%. That is the dormant-account prevalence signal recorded in Greater Accra Region, and the headline figure understates the problem: disaggregated by group, rural women sit well below it. The clearest gap sits in Greater Accra Region, concentrated among rural women. A twelve-month delay would let the gap compound into a harder, costlier problem.</w:t>
      </w:r>
    </w:p>
    <w:p>
      <w:r>
        <w:t xml:space="preserve">Evidence: EVI-FIN-001, EVI-FIN-004 • Confidence 92.5%</w:t>
      </w:r>
    </w:p>
    <w:p>
      <w:pPr>
        <w:pStyle w:val="Heading2"/>
      </w:pPr>
      <w:r>
        <w:t>Agent-network density gaps</w:t>
      </w:r>
    </w:p>
    <w:p>
      <w:r>
        <w:t xml:space="preserve">What would it take to fix agent-network density gaps? Start with Ashanti Region, where the signal sits at 57% and young adults carry most of the shortfall. The honest answer is sustained attention, not a single intervention. Ashanti Region shows the sharpest divide, where young adults carry the largest share of the gap. Left unaddressed for a year, the imbalance is likely to erode equity, delivery confidence and the durability of results.</w:t>
      </w:r>
    </w:p>
    <w:p>
      <w:r>
        <w:t xml:space="preserve">Evidence: EVI-FIN-002, EVI-FIN-005 • Confidence 93.5%</w:t>
      </w:r>
    </w:p>
    <w:p>
      <w:pPr>
        <w:pStyle w:val="Heading2"/>
      </w:pPr>
      <w:r>
        <w:t>Financial-literacy gaps among first-time account holders</w:t>
      </w:r>
    </w:p>
    <w:p>
      <w:r>
        <w:t xml:space="preserve">The aggregate result conceals a material implementation divide. Northern Region records a 58% signal for financial-literacy gaps among first-time account holders; the shortfall is concentrated among persons with disabilities, where service continuity and confidence move together. Of every study area examined in Ghana, financial-literacy gaps among first-time account holders shows up hardest there, and persons with disabilities feel it most. A year of inaction would turn a gap into a pattern that is far harder to reverse.</w:t>
      </w:r>
    </w:p>
    <w:p>
      <w:r>
        <w:t xml:space="preserve">Evidence: EVI-FIN-003, EVI-FIN-006 • Confidence 94.5%</w:t>
      </w:r>
    </w:p>
    <w:p>
      <w:pPr>
        <w:pStyle w:val="Heading2"/>
      </w:pPr>
      <w:r>
        <w:t>Usage barriers beyond account ownership</w:t>
      </w:r>
    </w:p>
    <w:p>
      <w:r>
        <w:t xml:space="preserve">Two things are true at once about usage barriers beyond account ownership. The national picture is improving, and Volta Region — where frontline workers report a 59% signal — is not improving fast enough to close the gap. Financial inclusion performance in Ghana looks stable in aggregate but splits sharply once usage barriers beyond account ownership is disaggregated. Volta Region anchors the low end, and frontline workers bear most of that shortfall — a pattern that risks compounding without intervention within the year.</w:t>
      </w:r>
    </w:p>
    <w:p>
      <w:r>
        <w:t xml:space="preserve">Evidence: EVI-FIN-004, EVI-FIN-007 • Confidence 95.5%</w:t>
      </w:r>
    </w:p>
    <w:p>
      <w:pPr>
        <w:pStyle w:val="Heading2"/>
      </w:pPr>
      <w:r>
        <w:t>Rural-urban access disparity</w:t>
      </w:r>
    </w:p>
    <w:p>
      <w:r>
        <w:t xml:space="preserve">The strategic opportunity lies in the variation, not the average. At 60%, Greater Accra Region's rural-urban access disparity signal shows where implementation can move quickly, while the experience of low-income households defines the safeguard that must accompany scale. The same gap that makes rural-urban access disparity a risk also makes it an opportunity: Greater Accra Region could close most of the distance to the rest of Ghana within a year if action starts now, with the clearest gains reaching low-income households first.</w:t>
      </w:r>
    </w:p>
    <w:p>
      <w:r>
        <w:t xml:space="preserve">Evidence: EVI-FIN-005, EVI-FIN-008 • Confidence 96.5%</w:t>
      </w:r>
    </w:p>
    <w:p>
      <w:pPr>
        <w:pStyle w:val="Heading1"/>
      </w:pPr>
      <w:r>
        <w:t>Regional Intelligence</w:t>
      </w:r>
    </w:p>
    <w:p>
      <w:r>
        <w:t xml:space="preserve">Greater Accra Region: 62% • 972 responses • Risk WATCH</w:t>
      </w:r>
    </w:p>
    <w:p>
      <w:r>
        <w:t xml:space="preserve">Ashanti Region: 63% • 845 responses • Risk WATCH</w:t>
      </w:r>
    </w:p>
    <w:p>
      <w:r>
        <w:t xml:space="preserve">Northern Region: 64% • 719 responses • Risk WATCH</w:t>
      </w:r>
    </w:p>
    <w:p>
      <w:r>
        <w:t xml:space="preserve">Volta Region: 65% • 594 responses • Risk WATCH</w:t>
      </w:r>
    </w:p>
    <w:p>
      <w:pPr>
        <w:pStyle w:val="Heading1"/>
      </w:pPr>
      <w:r>
        <w:t>Indicators and Target Gaps</w:t>
      </w:r>
    </w:p>
    <w:p>
      <w:r>
        <w:t xml:space="preserve">IND-01 Active account usage rate: 81% vs 88% — WATCH</w:t>
      </w:r>
    </w:p>
    <w:p>
      <w:r>
        <w:t xml:space="preserve">IND-02 Agent-network density per population: 82% vs 89% — WATCH</w:t>
      </w:r>
    </w:p>
    <w:p>
      <w:r>
        <w:t xml:space="preserve">IND-03 Financial-literacy assessment score: 49% vs 90% — OFF_TRACK</w:t>
      </w:r>
    </w:p>
    <w:p>
      <w:r>
        <w:t xml:space="preserve">IND-04 Rural-urban access gap: 50% vs 91% — OFF_TRACK</w:t>
      </w:r>
    </w:p>
    <w:p>
      <w:pPr>
        <w:pStyle w:val="Heading1"/>
      </w:pPr>
      <w:r>
        <w:t>Respondent Voice</w:t>
      </w:r>
    </w:p>
    <w:p>
      <w:r>
        <w:t xml:space="preserve">Greater Accra Region: “Why does Greater Accra Region lag behind? Ask rural women, and the answer comes back to dormant-account prevalence.”</w:t>
      </w:r>
    </w:p>
    <w:p>
      <w:r>
        <w:t xml:space="preserve">Ashanti Region: “Elsewhere, agent-network density gaps might be a footnote. For young adults in Ashanti Region, it is the whole story.”</w:t>
      </w:r>
    </w:p>
    <w:p>
      <w:r>
        <w:t xml:space="preserve">Northern Region: “Persons with disabilities in Northern Region frame it simply: when financial-literacy gaps among first-time account holders breaks down, everything else does too.”</w:t>
      </w:r>
    </w:p>
    <w:p>
      <w:r>
        <w:t xml:space="preserve">Volta Region: “In Volta Region, usage barriers beyond account ownership shapes whether frontline workers can turn services into lasting outcomes.”</w:t>
      </w:r>
    </w:p>
    <w:p>
      <w:r>
        <w:t xml:space="preserve">Greater Accra Region: “Low-income households in Greater Accra Region put it plainly: rural-urban access disparity is what decides whether progress holds or slips back.”</w:t>
      </w:r>
    </w:p>
    <w:p>
      <w:r>
        <w:t xml:space="preserve">Ashanti Region: “Why does Ashanti Region lag behind? Ask service managers, and the answer comes back to dormant-account prevalence.”</w:t>
      </w:r>
    </w:p>
    <w:p>
      <w:r>
        <w:t xml:space="preserve">Northern Region: “Elsewhere, agent-network density gaps might be a footnote. For community leaders in Northern Region, it is the whole story.”</w:t>
      </w:r>
    </w:p>
    <w:p>
      <w:r>
        <w:t xml:space="preserve">Volta Region: “Private-sector partners in Volta Region frame it simply: when financial-literacy gaps among first-time account holders breaks down, everything else does too.”</w:t>
      </w:r>
    </w:p>
    <w:p>
      <w:r>
        <w:t xml:space="preserve">Greater Accra Region: “In Greater Accra Region, usage barriers beyond account ownership shapes whether rural women can turn services into lasting outcomes.”</w:t>
      </w:r>
    </w:p>
    <w:p>
      <w:r>
        <w:t xml:space="preserve">Ashanti Region: “Young adults in Ashanti Region put it plainly: rural-urban access disparity is what decides whether progress holds or slips back.”</w:t>
      </w:r>
    </w:p>
    <w:p>
      <w:pPr>
        <w:pStyle w:val="Heading1"/>
      </w:pPr>
      <w:r>
        <w:t>Decision Intelligence</w:t>
      </w:r>
    </w:p>
    <w:p>
      <w:pPr>
        <w:pStyle w:val="Heading2"/>
      </w:pPr>
      <w:r>
        <w:t>DEC-FIN-01 CRITICAL</w:t>
      </w:r>
    </w:p>
    <w:p>
      <w:r>
        <w:t xml:space="preserve">Address the access barrier most limiting formal financial-service uptake.</w:t>
      </w:r>
    </w:p>
    <w:p>
      <w:r>
        <w:t xml:space="preserve">Owner: Country Director / Programme Executive • Timeline: 0–90 days • Budget: Medium — detailed costing and fiduciary review required • Indicator: Milestone completion rate tracked against the DEC-FIN-01 delivery plan</w:t>
      </w:r>
    </w:p>
    <w:p>
      <w:pPr>
        <w:pStyle w:val="Heading2"/>
      </w:pPr>
      <w:r>
        <w:t>DEC-FIN-02 CRITICAL</w:t>
      </w:r>
    </w:p>
    <w:p>
      <w:r>
        <w:t xml:space="preserve">Expand agent-network density in the least-served areas.</w:t>
      </w:r>
    </w:p>
    <w:p>
      <w:r>
        <w:t xml:space="preserve">Owner: Country Director / Programme Executive • Timeline: 3–12 months • Budget: Medium to high — requires a dedicated budget line and phased release • Indicator: Proportion of agreed implementation steps verified on schedule for DEC-FIN-02</w:t>
      </w:r>
    </w:p>
    <w:p>
      <w:pPr>
        <w:pStyle w:val="Heading2"/>
      </w:pPr>
      <w:r>
        <w:t>DEC-FIN-03 HIGH</w:t>
      </w:r>
    </w:p>
    <w:p>
      <w:r>
        <w:t xml:space="preserve">Fund targeted financial-literacy programmes for first-time account holders.</w:t>
      </w:r>
    </w:p>
    <w:p>
      <w:r>
        <w:t xml:space="preserve">Owner: Country Director / Programme Executive • Timeline: 3–12 months • Budget: Low — absorbable within existing allocations, subject to confirmation • Indicator: Quarterly-verified progress against the milestones agreed for this high-tier decision (DEC-FIN-03)</w:t>
      </w:r>
    </w:p>
    <w:p>
      <w:pPr>
        <w:pStyle w:val="Heading2"/>
      </w:pPr>
      <w:r>
        <w:t>DEC-FIN-04 HIGH</w:t>
      </w:r>
    </w:p>
    <w:p>
      <w:r>
        <w:t xml:space="preserve">Convert dormant accounts through targeted engagement campaigns.</w:t>
      </w:r>
    </w:p>
    <w:p>
      <w:r>
        <w:t xml:space="preserve">Owner: Country Director / Programme Executive • Timeline: 3–12 months • Budget: Low — deliverable inside the current operating budget with light validation • Indicator: Number of agreed milestones for DEC-FIN-04 confirmed complete at each quarterly review</w:t>
      </w:r>
    </w:p>
    <w:p>
      <w:pPr>
        <w:pStyle w:val="Heading2"/>
      </w:pPr>
      <w:r>
        <w:t>DEC-FIN-05 MEDIUM</w:t>
      </w:r>
    </w:p>
    <w:p>
      <w:r>
        <w:t xml:space="preserve">Close the rural-urban financial-access disparity.</w:t>
      </w:r>
    </w:p>
    <w:p>
      <w:r>
        <w:t xml:space="preserve">Owner: Country Director / Programme Executive • Timeline: 6–18 months • Budget: Medium — likely fundable from existing lines, pending confirmation • Indicator: Percentage of agreed milestones completed for DEC-FIN-05</w:t>
      </w:r>
    </w:p>
    <w:p>
      <w:pPr>
        <w:pStyle w:val="Heading1"/>
      </w:pPr>
      <w:r>
        <w:t>Methodology</w:t>
      </w:r>
    </w:p>
    <w:p>
      <w:r>
        <w:t xml:space="preserve">research objectives: ["Assess financial inclusion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Ghana</w:t>
      </w:r>
    </w:p>
    <w:p>
      <w:r>
        <w:t xml:space="preserve">sample size: 3130</w:t>
      </w:r>
    </w:p>
    <w:p>
      <w:r>
        <w:t xml:space="preserve">stratification: ["Region","Location type","Sex","Age","Disability"]</w:t>
      </w:r>
    </w:p>
    <w:p>
      <w:r>
        <w:t xml:space="preserve">weights: Normalized post-stratification weights</w:t>
      </w:r>
    </w:p>
    <w:p>
      <w:r>
        <w:t xml:space="preserve">confidence intervals: 95%</w:t>
      </w:r>
    </w:p>
    <w:p>
      <w:r>
        <w:t xml:space="preserve">design effect: 1.3</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DEC-FIN-01</w:t>
      </w:r>
    </w:p>
    <w:p>
      <w:r>
        <w:t xml:space="preserve">Address the access barrier most limiting formal financial-service uptake.</w:t>
      </w:r>
    </w:p>
    <w:p>
      <w:r>
        <w:t xml:space="preserve">Owner: Country Director / Programme Executive • Window: 0–90 days • Cost: Medium — detailed costing and fiduciary review required • Indicator: Milestone completion rate tracked against the DEC-FIN-01 delivery plan</w:t>
      </w:r>
    </w:p>
    <w:p>
      <w:pPr>
        <w:pStyle w:val="Heading2"/>
      </w:pPr>
      <w:r>
        <w:t>DEC-FIN-02</w:t>
      </w:r>
    </w:p>
    <w:p>
      <w:r>
        <w:t xml:space="preserve">Expand agent-network density in the least-served areas.</w:t>
      </w:r>
    </w:p>
    <w:p>
      <w:r>
        <w:t xml:space="preserve">Owner: Country Director / Programme Executive • Window: 3–12 months • Cost: Medium to high — requires a dedicated budget line and phased release • Indicator: Proportion of agreed implementation steps verified on schedule for DEC-FIN-02</w:t>
      </w:r>
    </w:p>
    <w:p>
      <w:pPr>
        <w:pStyle w:val="Heading2"/>
      </w:pPr>
      <w:r>
        <w:t>DEC-FIN-03</w:t>
      </w:r>
    </w:p>
    <w:p>
      <w:r>
        <w:t xml:space="preserve">Fund targeted financial-literacy programmes for first-time account holders.</w:t>
      </w:r>
    </w:p>
    <w:p>
      <w:r>
        <w:t xml:space="preserve">Owner: Country Director / Programme Executive • Window: 3–12 months • Cost: Low — absorbable within existing allocations, subject to confirmation • Indicator: Quarterly-verified progress against the milestones agreed for this high-tier decision (DEC-FIN-03)</w:t>
      </w:r>
    </w:p>
    <w:p>
      <w:pPr>
        <w:pStyle w:val="Heading2"/>
      </w:pPr>
      <w:r>
        <w:t>DEC-FIN-04</w:t>
      </w:r>
    </w:p>
    <w:p>
      <w:r>
        <w:t xml:space="preserve">Convert dormant accounts through targeted engagement campaigns.</w:t>
      </w:r>
    </w:p>
    <w:p>
      <w:r>
        <w:t xml:space="preserve">Owner: Country Director / Programme Executive • Window: 3–12 months • Cost: Low — deliverable inside the current operating budget with light validation • Indicator: Number of agreed milestones for DEC-FIN-04 confirmed complete at each quarterly review</w:t>
      </w:r>
    </w:p>
    <w:p>
      <w:pPr>
        <w:pStyle w:val="Heading2"/>
      </w:pPr>
      <w:r>
        <w:t>DEC-FIN-05</w:t>
      </w:r>
    </w:p>
    <w:p>
      <w:r>
        <w:t xml:space="preserve">Close the rural-urban financial-access disparity.</w:t>
      </w:r>
    </w:p>
    <w:p>
      <w:r>
        <w:t xml:space="preserve">Owner: Country Director / Programme Executive • Window: 6–18 months • Cost: Medium — likely fundable from existing lines, pending confirmation • Indicator: Percentage of agreed milestones completed for DEC-FIN-05</w:t>
      </w:r>
    </w:p>
    <w:p>
      <w:pPr>
        <w:pStyle w:val="Heading1"/>
      </w:pPr>
      <w:r>
        <w:t>Evidence Lineage &amp; Citation Registry</w:t>
      </w:r>
    </w:p>
    <w:p>
      <w:r>
        <w:t xml:space="preserve">EVI-FIN-001: [object Object] • APPROVED_SYNTHETIC_DEMONSTRATION • 91%</w:t>
      </w:r>
    </w:p>
    <w:p>
      <w:r>
        <w:t xml:space="preserve">EVI-FIN-002: [object Object] • APPROVED_SYNTHETIC_DEMONSTRATION • 92%</w:t>
      </w:r>
    </w:p>
    <w:p>
      <w:r>
        <w:t xml:space="preserve">EVI-FIN-003: [object Object] • APPROVED_SYNTHETIC_DEMONSTRATION • 93%</w:t>
      </w:r>
    </w:p>
    <w:p>
      <w:r>
        <w:t xml:space="preserve">EVI-FIN-004: [object Object] • APPROVED_SYNTHETIC_DEMONSTRATION • 94%</w:t>
      </w:r>
    </w:p>
    <w:p>
      <w:r>
        <w:t xml:space="preserve">EVI-FIN-005: [object Object] • APPROVED_SYNTHETIC_DEMONSTRATION • 95%</w:t>
      </w:r>
    </w:p>
    <w:p>
      <w:r>
        <w:t xml:space="preserve">EVI-FIN-006: [object Object] • APPROVED_SYNTHETIC_DEMONSTRATION • 96%</w:t>
      </w:r>
    </w:p>
    <w:p>
      <w:r>
        <w:t xml:space="preserve">EVI-FIN-007: [object Object] • APPROVED_SYNTHETIC_DEMONSTRATION • 97%</w:t>
      </w:r>
    </w:p>
    <w:p>
      <w:r>
        <w:t xml:space="preserve">EVI-FIN-008: [object Object] • APPROVED_SYNTHETIC_DEMONSTRATION • 98%</w:t>
      </w:r>
    </w:p>
    <w:p>
      <w:r>
        <w:t xml:space="preserve">EVI-FIN-009: [object Object] • APPROVED_SYNTHETIC_DEMONSTRATION • 88%</w:t>
      </w:r>
    </w:p>
    <w:p>
      <w:r>
        <w:t xml:space="preserve">EVI-FIN-010: [object Object] • APPROVED_SYNTHETIC_DEMONSTRATION • 89%</w:t>
      </w:r>
    </w:p>
    <w:p>
      <w:r>
        <w:t xml:space="preserve">CIT-EVI-FIN-001: VoiceInsights Africa. Financial Inclusion Intelligence Report. synthetic-financial-inclusion-intelligence-2026.1, EVI-FIN-001, Q1: How does dormant-account prevalence affect financial inclusion outcomes in Greater Accra Region?</w:t>
      </w:r>
    </w:p>
    <w:p>
      <w:r>
        <w:t xml:space="preserve">CIT-EVI-FIN-002: VoiceInsights Africa. Financial Inclusion Intelligence Report. synthetic-financial-inclusion-intelligence-2026.1, EVI-FIN-002, Q2: How does agent-network density gaps affect financial inclusion outcomes in Ashanti Region?</w:t>
      </w:r>
    </w:p>
    <w:p>
      <w:r>
        <w:t xml:space="preserve">CIT-EVI-FIN-003: VoiceInsights Africa. Financial Inclusion Intelligence Report. synthetic-financial-inclusion-intelligence-2026.1, EVI-FIN-003, Q3: How does financial-literacy gaps among first-time account holders affect financial inclusion outcomes in Northern Region?</w:t>
      </w:r>
    </w:p>
    <w:p>
      <w:r>
        <w:t xml:space="preserve">CIT-EVI-FIN-004: VoiceInsights Africa. Financial Inclusion Intelligence Report. synthetic-financial-inclusion-intelligence-2026.1, EVI-FIN-004, Q4: How does usage barriers beyond account ownership affect financial inclusion outcomes in Volta Region?</w:t>
      </w:r>
    </w:p>
    <w:p>
      <w:r>
        <w:t xml:space="preserve">CIT-EVI-FIN-005: VoiceInsights Africa. Financial Inclusion Intelligence Report. synthetic-financial-inclusion-intelligence-2026.1, EVI-FIN-005, Q5: How does rural-urban access disparity affect financial inclusion outcomes in Greater Accra Region?</w:t>
      </w:r>
    </w:p>
    <w:p>
      <w:r>
        <w:t xml:space="preserve">CIT-EVI-FIN-006: VoiceInsights Africa. Financial Inclusion Intelligence Report. synthetic-financial-inclusion-intelligence-2026.1, EVI-FIN-006, Q6: How does dormant-account prevalence affect financial inclusion outcomes in Ashanti Region?</w:t>
      </w:r>
    </w:p>
    <w:p>
      <w:r>
        <w:t xml:space="preserve">CIT-EVI-FIN-007: VoiceInsights Africa. Financial Inclusion Intelligence Report. synthetic-financial-inclusion-intelligence-2026.1, EVI-FIN-007, Q7: How does agent-network density gaps affect financial inclusion outcomes in Northern Region?</w:t>
      </w:r>
    </w:p>
    <w:p>
      <w:r>
        <w:t xml:space="preserve">CIT-EVI-FIN-008: VoiceInsights Africa. Financial Inclusion Intelligence Report. synthetic-financial-inclusion-intelligence-2026.1, EVI-FIN-008, Q8: How does financial-literacy gaps among first-time account holders affect financial inclusion outcomes in Volta Region?</w:t>
      </w:r>
    </w:p>
    <w:p>
      <w:r>
        <w:t xml:space="preserve">CIT-EVI-FIN-009: VoiceInsights Africa. Financial Inclusion Intelligence Report. synthetic-financial-inclusion-intelligence-2026.1, EVI-FIN-009, Q9: How does usage barriers beyond account ownership affect financial inclusion outcomes in Greater Accra Region?</w:t>
      </w:r>
    </w:p>
    <w:p>
      <w:r>
        <w:t xml:space="preserve">CIT-EVI-FIN-010: VoiceInsights Africa. Financial Inclusion Intelligence Report. synthetic-financial-inclusion-intelligence-2026.1, EVI-FIN-010, Q10: How does rural-urban access disparity affect financial inclusion outcomes in Ashanti Region?</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Data Protection: APPLIED_WHERE_RELEVANT — Mapped to EVI-FIN-001, EVI-FIN-002; Synthetic demonstration mapping; institutional validation not implied</w:t>
      </w:r>
    </w:p>
    <w:p>
      <w:r>
        <w:t xml:space="preserve">Privacy Controls: APPLIED_WHERE_RELEVANT — Mapped to EVI-FIN-002, EVI-FIN-003; Synthetic demonstration mapping; institutional validation not implied</w:t>
      </w:r>
    </w:p>
    <w:p>
      <w:r>
        <w:t xml:space="preserve">Leave No One Behind: APPLIED_WHERE_RELEVANT — Mapped to EVI-FIN-003, EVI-FIN-004; Synthetic demonstration mapping; institutional validation not implied</w:t>
      </w:r>
    </w:p>
    <w:p>
      <w:r>
        <w:t xml:space="preserve">Evidence Traceability: APPLIED — Control linked to EVI-FIN-001 and the deterministic publication gate.</w:t>
      </w:r>
    </w:p>
    <w:p>
      <w:r>
        <w:t xml:space="preserve">Research Ethics: APPLIED — Control linked to EVI-FIN-002 and the deterministic publication gate.</w:t>
      </w:r>
    </w:p>
    <w:p>
      <w:r>
        <w:t xml:space="preserve">Data Protection: APPLIED — Control linked to EVI-FIN-003 and the deterministic publication gate.</w:t>
      </w:r>
    </w:p>
    <w:p>
      <w:r>
        <w:t xml:space="preserve">Accessibility: APPLIED — Control linked to EVI-FIN-004 and the deterministic publication gate.</w:t>
      </w:r>
    </w:p>
    <w:p>
      <w:r>
        <w:t xml:space="preserve">Responsible AI: APPLIED — Control linked to EVI-FIN-005 and the deterministic publication gate.</w:t>
      </w:r>
    </w:p>
    <w:p>
      <w:r>
        <w:t xml:space="preserve">Publication Integrity: APPLIED — Control linked to EVI-FIN-006 and the deterministic publication gate.</w:t>
      </w:r>
    </w:p>
    <w:p>
      <w:pPr>
        <w:pStyle w:val="Heading1"/>
      </w:pPr>
      <w:r>
        <w:t>SDG Contribution</w:t>
      </w:r>
    </w:p>
    <w:p>
      <w:r>
        <w:t xml:space="preserve">SDG 8: undefined — Indicators —</w:t>
      </w:r>
    </w:p>
    <w:p>
      <w:r>
        <w:t xml:space="preserve">SDG 1: undefined — Indicators —</w:t>
      </w:r>
    </w:p>
    <w:p>
      <w:r>
        <w:t xml:space="preserve">SDG 9: undefined — Indicators —</w:t>
      </w:r>
    </w:p>
    <w:p>
      <w:pPr>
        <w:pStyle w:val="Heading1"/>
      </w:pPr>
      <w:r>
        <w:t>OECD-DAC Evaluation Criteria</w:t>
      </w:r>
    </w:p>
    <w:p>
      <w:r>
        <w:t xml:space="preserve">Relevance: Synthetic evidence indicates a strong relevance signal, subject to the stated design limitations. (84/100) — Review relevance evidence at the next formal management gate.</w:t>
      </w:r>
    </w:p>
    <w:p>
      <w:r>
        <w:t xml:space="preserve">Coherence: Synthetic evidence indicates a moderate-to-strong coherence signal, subject to the stated design limitations. (85/100) — Review coherence evidence at the next formal management gate.</w:t>
      </w:r>
    </w:p>
    <w:p>
      <w:r>
        <w:t xml:space="preserve">Effectiveness: Synthetic evidence indicates a strong effectiveness signal, subject to the stated design limitations. (86/100) — Review effectiveness evidence at the next formal management gate.</w:t>
      </w:r>
    </w:p>
    <w:p>
      <w:r>
        <w:t xml:space="preserve">Efficiency: Synthetic evidence indicates a moderate-to-strong efficiency signal, subject to the stated design limitations. (87/100) — Review efficiency evidence at the next formal management gate.</w:t>
      </w:r>
    </w:p>
    <w:p>
      <w:r>
        <w:t xml:space="preserve">Impact: Synthetic evidence indicates a strong impact signal, subject to the stated design limitations. (88/100) — Review impact evidence at the next formal management gate.</w:t>
      </w:r>
    </w:p>
    <w:p>
      <w:r>
        <w:t xml:space="preserve">Sustainability: Synthetic evidence indicates a moderate-to-strong sustainability signal, subject to the stated design limitations. (89/100) — Review sustainability evidence at the next formal management gate.</w:t>
      </w:r>
    </w:p>
    <w:p>
      <w:pPr>
        <w:pStyle w:val="Heading1"/>
      </w:pPr>
      <w:r>
        <w:t>Results-Based Management</w:t>
      </w:r>
    </w:p>
    <w:p>
      <w:r>
        <w:t xml:space="preserve">Impact: Sustained, equitable improvement in financial inclusion performance</w:t>
      </w:r>
    </w:p>
    <w:p>
      <w:r>
        <w:t xml:space="preserve">OC-01: Improved financial inclusion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EVI-FIN-001 • survey • SYN-FINA-0001 • APPROVED • 91%</w:t>
      </w:r>
    </w:p>
    <w:p>
      <w:r>
        <w:t xml:space="preserve">EVI-FIN-002 • key_informant_interview • SYN-FINA-0002 • APPROVED • 92%</w:t>
      </w:r>
    </w:p>
    <w:p>
      <w:r>
        <w:t xml:space="preserve">EVI-FIN-003 • administrative_record • SYN-FINA-0003 • APPROVED • 93%</w:t>
      </w:r>
    </w:p>
    <w:p>
      <w:r>
        <w:t xml:space="preserve">EVI-FIN-004 • survey • SYN-FINA-0004 • APPROVED • 94%</w:t>
      </w:r>
    </w:p>
    <w:p>
      <w:r>
        <w:t xml:space="preserve">EVI-FIN-005 • key_informant_interview • SYN-FINA-0005 • APPROVED • 95%</w:t>
      </w:r>
    </w:p>
    <w:p>
      <w:r>
        <w:t xml:space="preserve">EVI-FIN-006 • administrative_record • SYN-FINA-0006 • APPROVED • 96%</w:t>
      </w:r>
    </w:p>
    <w:p>
      <w:r>
        <w:t xml:space="preserve">EVI-FIN-007 • survey • SYN-FINA-0007 • APPROVED • 97%</w:t>
      </w:r>
    </w:p>
    <w:p>
      <w:r>
        <w:t xml:space="preserve">EVI-FIN-008 • key_informant_interview • SYN-FINA-0008 • APPROVED • 98%</w:t>
      </w:r>
    </w:p>
    <w:p>
      <w:r>
        <w:t xml:space="preserve">EVI-FIN-009 • administrative_record • SYN-FINA-0009 • APPROVED • 88%</w:t>
      </w:r>
    </w:p>
    <w:p>
      <w:r>
        <w:t xml:space="preserve">EVI-FIN-010 • survey • SYN-FINA-0010 • APPROVED • 89%</w:t>
      </w:r>
    </w:p>
    <w:p>
      <w:pPr>
        <w:pStyle w:val="Heading1"/>
      </w:pPr>
      <w:r>
        <w:t>Data Dictionary</w:t>
      </w:r>
    </w:p>
    <w:p>
      <w:r>
        <w:t xml:space="preserve">indicator_1: Synthetic Financial Inclusion indicator 1; numeric; allowed: 0–100; missing: NA</w:t>
      </w:r>
    </w:p>
    <w:p>
      <w:r>
        <w:t xml:space="preserve">indicator_2: Synthetic Financial Inclusion indicator 2; categorical; allowed: Documented code list; missing: NA</w:t>
      </w:r>
    </w:p>
    <w:p>
      <w:r>
        <w:t xml:space="preserve">indicator_3: Synthetic Financial Inclusion indicator 3; categorical; allowed: Documented code list; missing: NA</w:t>
      </w:r>
    </w:p>
    <w:p>
      <w:r>
        <w:t xml:space="preserve">indicator_4: Synthetic Financial Inclusion indicator 4; numeric; allowed: 0–100; missing: NA</w:t>
      </w:r>
    </w:p>
    <w:p>
      <w:r>
        <w:t xml:space="preserve">indicator_5: Synthetic Financial Inclusion indicator 5; categorical; allowed: Documented code list; missing: NA</w:t>
      </w:r>
    </w:p>
    <w:p>
      <w:r>
        <w:t xml:space="preserve">indicator_6: Synthetic Financial Inclusion indicator 6; categorical; allowed: Documented code list; missing: NA</w:t>
      </w:r>
    </w:p>
    <w:p>
      <w:r>
        <w:t xml:space="preserve">indicator_7: Synthetic Financial Inclusion indicator 7; numeric; allowed: 0–100; missing: NA</w:t>
      </w:r>
    </w:p>
    <w:p>
      <w:r>
        <w:t xml:space="preserve">indicator_8: Synthetic Financial Inclusion indicator 8; categorical; allowed: Documented code list; missing: NA</w:t>
      </w:r>
    </w:p>
    <w:p>
      <w:r>
        <w:t xml:space="preserve">indicator_9: Synthetic Financial Inclusion indicator 9; categorical; allowed: Documented code list; missing: NA</w:t>
      </w:r>
    </w:p>
    <w:p>
      <w:r>
        <w:t xml:space="preserve">indicator_10: Synthetic Financial Inclusion indicator 10; numeric; allowed: 0–100; missing: NA</w:t>
      </w:r>
    </w:p>
    <w:p>
      <w:r>
        <w:t xml:space="preserve">indicator_11: Synthetic Financial Inclusion indicator 11; categorical; allowed: Documented code list; missing: NA</w:t>
      </w:r>
    </w:p>
    <w:p>
      <w:r>
        <w:t xml:space="preserve">indicator_12: Synthetic Financial Inclusion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