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2200"/>
      </w:pPr>
      <w:r>
        <w:rPr>
          <w:b/>
          <w:sz w:val="42"/>
        </w:rPr>
        <w:t>Government Policy Intelligence Report</w:t>
      </w:r>
    </w:p>
    <w:p>
      <w:r>
        <w:t xml:space="preserve">VoiceInsights Africa — Full Synthetic Demonstration Publication</w:t>
      </w:r>
    </w:p>
    <w:p>
      <w:r>
        <w:t xml:space="preserve">Synthetic Demonstration Publication produced by VoiceInsights Africa. All people, quotations, locations and statistics are synthetic, internally governed demonstration content and are not official statistics.</w:t>
      </w:r>
    </w:p>
    <w:p>
      <w:pPr>
        <w:pStyle w:val="Heading1"/>
      </w:pPr>
      <w:r>
        <w:t>Executive Intelligence</w:t>
      </w:r>
    </w:p>
    <w:p>
      <w:r>
        <w:t xml:space="preserve">What follows is a governed account of public service delivery performance in Kenya: where it is working, where it is not, and what to do next. The evidence identifies uneven progress, concentrated risk, and a set of opportunities still open to act on. Every finding traces to a synthetic source record, every recommendation names an accountable owner, and every statistic in this publication is drawn from a single, internally consistent dataset.</w:t>
      </w:r>
    </w:p>
    <w:p>
      <w:pPr>
        <w:pStyle w:val="Heading1"/>
      </w:pPr>
      <w:r>
        <w:t>Table of Contents</w:t>
      </w:r>
    </w:p>
    <w:p>
      <w:r>
        <w:t xml:space="preserve">undefined — undefined</w:t>
      </w:r>
    </w:p>
    <w:p>
      <w:r>
        <w:t xml:space="preserve">undefined — undefined</w:t>
      </w:r>
    </w:p>
    <w:p>
      <w:r>
        <w:t xml:space="preserve">undefined — undefined</w:t>
      </w:r>
    </w:p>
    <w:p>
      <w:r>
        <w:t xml:space="preserve">undefined — undefined</w:t>
      </w:r>
    </w:p>
    <w:p>
      <w:r>
        <w:t xml:space="preserve">undefined — undefined</w:t>
      </w:r>
    </w:p>
    <w:p>
      <w:r>
        <w:t xml:space="preserve">undefined — undefined</w:t>
      </w:r>
    </w:p>
    <w:p>
      <w:pPr>
        <w:pStyle w:val="Heading1"/>
      </w:pPr>
      <w:r>
        <w:t>Critical Findings</w:t>
      </w:r>
    </w:p>
    <w:p>
      <w:pPr>
        <w:pStyle w:val="Heading2"/>
      </w:pPr>
      <w:r>
        <w:t>Policy reach</w:t>
      </w:r>
    </w:p>
    <w:p>
      <w:r>
        <w:t xml:space="preserve">The aggregate result conceals a material implementation divide. Nairobi Metro records a 82% signal for policy reach; the shortfall is concentrated among rural women, where service continuity and confidence move together. Of every study area examined in Kenya, policy reach shows up hardest there, and rural women feel it most. A year of inaction would turn a gap into a pattern that is far harder to reverse.</w:t>
      </w:r>
    </w:p>
    <w:p>
      <w:r>
        <w:t xml:space="preserve">Evidence: EVI-GOV-001, EVI-GOV-004 • Confidence 90.5%</w:t>
      </w:r>
    </w:p>
    <w:p>
      <w:pPr>
        <w:pStyle w:val="Heading2"/>
      </w:pPr>
      <w:r>
        <w:t>Administrative burden</w:t>
      </w:r>
    </w:p>
    <w:p>
      <w:r>
        <w:t xml:space="preserve">Progress on administrative burden remains visible but not yet durable. The 83% result in Coast Counties weakens after disaggregation, particularly for young adults, suggesting that current gains depend on delivery conditions that remain fragile. The clearest signal in this dataset — though not the only one — is administrative burden in Coast Counties, where young adults sit furthest from parity.</w:t>
      </w:r>
    </w:p>
    <w:p>
      <w:r>
        <w:t xml:space="preserve">Evidence: EVI-GOV-002, EVI-GOV-005 • Confidence 91.5%</w:t>
      </w:r>
    </w:p>
    <w:p>
      <w:pPr>
        <w:pStyle w:val="Heading2"/>
      </w:pPr>
      <w:r>
        <w:t>County implementation variance</w:t>
      </w:r>
    </w:p>
    <w:p>
      <w:r>
        <w:t xml:space="preserve">84%. That is the county implementation variance signal recorded in Western Counties, and the headline figure understates the problem: disaggregated by group, persons with disabilities sit well below it. The clearest gap sits in Western Counties, concentrated among persons with disabilities. A twelve-month delay would let the gap compound into a harder, costlier problem.</w:t>
      </w:r>
    </w:p>
    <w:p>
      <w:r>
        <w:t xml:space="preserve">Evidence: EVI-GOV-003, EVI-GOV-006 • Confidence 92.5%</w:t>
      </w:r>
    </w:p>
    <w:p>
      <w:pPr>
        <w:pStyle w:val="Heading2"/>
      </w:pPr>
      <w:r>
        <w:t>Citizen trust</w:t>
      </w:r>
    </w:p>
    <w:p>
      <w:r>
        <w:t xml:space="preserve">What would it take to fix citizen trust? Start with Arid and Semi-Arid Counties, where the signal sits at 85% and frontline workers carry most of the shortfall. The honest answer is sustained attention, not a single intervention. Arid and Semi-Arid Counties shows the sharpest divide, where frontline workers carry the largest share of the gap. Left unaddressed for a year, the imbalance is likely to erode equity, delivery confidence and the durability of results.</w:t>
      </w:r>
    </w:p>
    <w:p>
      <w:r>
        <w:t xml:space="preserve">Evidence: EVI-GOV-004, EVI-GOV-007 • Confidence 93.5%</w:t>
      </w:r>
    </w:p>
    <w:p>
      <w:pPr>
        <w:pStyle w:val="Heading2"/>
      </w:pPr>
      <w:r>
        <w:t>Grievance resolution</w:t>
      </w:r>
    </w:p>
    <w:p>
      <w:r>
        <w:t xml:space="preserve">Grievance resolution has become an accountability question rather than a measurement question. Evidence from Nairobi Metro places the signal at 86% and shows that low-income households experience the largest gap between policy intent and lived delivery. Of every study area examined in Kenya, grievance resolution shows up hardest there, and low-income households feel it most. A year of inaction would turn a gap into a pattern that is far harder to reverse.</w:t>
      </w:r>
    </w:p>
    <w:p>
      <w:r>
        <w:t xml:space="preserve">Evidence: EVI-GOV-005, EVI-GOV-008 • Confidence 94.5%</w:t>
      </w:r>
    </w:p>
    <w:p>
      <w:pPr>
        <w:pStyle w:val="Heading1"/>
      </w:pPr>
      <w:r>
        <w:t>Regional Intelligence</w:t>
      </w:r>
    </w:p>
    <w:p>
      <w:r>
        <w:t xml:space="preserve">Nairobi Metro: 61% • 1437 responses • Risk WATCH</w:t>
      </w:r>
    </w:p>
    <w:p>
      <w:r>
        <w:t xml:space="preserve">Coast Counties: 62% • 1249 responses • Risk WATCH</w:t>
      </w:r>
    </w:p>
    <w:p>
      <w:r>
        <w:t xml:space="preserve">Western Counties: 63% • 1064 responses • Risk WATCH</w:t>
      </w:r>
    </w:p>
    <w:p>
      <w:r>
        <w:t xml:space="preserve">Arid and Semi-Arid Counties: 64% • 879 responses • Risk WATCH</w:t>
      </w:r>
    </w:p>
    <w:p>
      <w:pPr>
        <w:pStyle w:val="Heading1"/>
      </w:pPr>
      <w:r>
        <w:t>Indicators and Target Gaps</w:t>
      </w:r>
    </w:p>
    <w:p>
      <w:r>
        <w:t xml:space="preserve">IND-01 Policy reach rate: 67% vs 91% — OFF_TRACK</w:t>
      </w:r>
    </w:p>
    <w:p>
      <w:r>
        <w:t xml:space="preserve">IND-02 Administrative burden score: 68% vs 92% — OFF_TRACK</w:t>
      </w:r>
    </w:p>
    <w:p>
      <w:r>
        <w:t xml:space="preserve">IND-03 Implementation fidelity: 69% vs 76% — WATCH</w:t>
      </w:r>
    </w:p>
    <w:p>
      <w:r>
        <w:t xml:space="preserve">IND-04 Grievance resolution rate: 70% vs 77% — WATCH</w:t>
      </w:r>
    </w:p>
    <w:p>
      <w:pPr>
        <w:pStyle w:val="Heading1"/>
      </w:pPr>
      <w:r>
        <w:t>Respondent Voice</w:t>
      </w:r>
    </w:p>
    <w:p>
      <w:r>
        <w:t xml:space="preserve">Nairobi Metro: “Elsewhere, policy reach might be a footnote. For rural women in Nairobi Metro, it is the whole story.”</w:t>
      </w:r>
    </w:p>
    <w:p>
      <w:r>
        <w:t xml:space="preserve">Coast Counties: “Young adults in Coast Counties frame it simply: when administrative burden breaks down, everything else does too.”</w:t>
      </w:r>
    </w:p>
    <w:p>
      <w:r>
        <w:t xml:space="preserve">Western Counties: “In Western Counties, county implementation variance shapes whether persons with disabilities can turn services into lasting outcomes.”</w:t>
      </w:r>
    </w:p>
    <w:p>
      <w:r>
        <w:t xml:space="preserve">Arid and Semi-Arid Counties: “Frontline workers in Arid and Semi-Arid Counties put it plainly: citizen trust is what decides whether progress holds or slips back.”</w:t>
      </w:r>
    </w:p>
    <w:p>
      <w:r>
        <w:t xml:space="preserve">Nairobi Metro: “Why does Nairobi Metro lag behind? Ask low-income households, and the answer comes back to grievance resolution.”</w:t>
      </w:r>
    </w:p>
    <w:p>
      <w:r>
        <w:t xml:space="preserve">Coast Counties: “Elsewhere, policy reach might be a footnote. For service managers in Coast Counties, it is the whole story.”</w:t>
      </w:r>
    </w:p>
    <w:p>
      <w:r>
        <w:t xml:space="preserve">Western Counties: “Community leaders in Western Counties frame it simply: when administrative burden breaks down, everything else does too.”</w:t>
      </w:r>
    </w:p>
    <w:p>
      <w:r>
        <w:t xml:space="preserve">Arid and Semi-Arid Counties: “In Arid and Semi-Arid Counties, county implementation variance shapes whether private-sector partners can turn services into lasting outcomes.”</w:t>
      </w:r>
    </w:p>
    <w:p>
      <w:r>
        <w:t xml:space="preserve">Nairobi Metro: “Rural women in Nairobi Metro put it plainly: citizen trust is what decides whether progress holds or slips back.”</w:t>
      </w:r>
    </w:p>
    <w:p>
      <w:r>
        <w:t xml:space="preserve">Coast Counties: “Why does Coast Counties lag behind? Ask young adults, and the answer comes back to grievance resolution.”</w:t>
      </w:r>
    </w:p>
    <w:p>
      <w:pPr>
        <w:pStyle w:val="Heading1"/>
      </w:pPr>
      <w:r>
        <w:t>Decision Intelligence</w:t>
      </w:r>
    </w:p>
    <w:p>
      <w:pPr>
        <w:pStyle w:val="Heading2"/>
      </w:pPr>
      <w:r>
        <w:t>DEC-GOV-01 HIGH</w:t>
      </w:r>
    </w:p>
    <w:p>
      <w:r>
        <w:t xml:space="preserve">Issue a cabinet delivery directive with named accountabilities.</w:t>
      </w:r>
    </w:p>
    <w:p>
      <w:r>
        <w:t xml:space="preserve">Owner: Permanent Secretary • Timeline: 3–12 months • Budget: Low — absorbable within existing allocations, subject to confirmation • Indicator: Milestone completion rate tracked against the DEC-GOV-01 delivery plan</w:t>
      </w:r>
    </w:p>
    <w:p>
      <w:pPr>
        <w:pStyle w:val="Heading2"/>
      </w:pPr>
      <w:r>
        <w:t>DEC-GOV-02 MEDIUM</w:t>
      </w:r>
    </w:p>
    <w:p>
      <w:r>
        <w:t xml:space="preserve">Simplify the highest-burden service procedures.</w:t>
      </w:r>
    </w:p>
    <w:p>
      <w:r>
        <w:t xml:space="preserve">Owner: Permanent Secretary • Timeline: 6–18 months • Budget: Low — deliverable inside the current operating budget with light validation • Indicator: Proportion of agreed implementation steps verified on schedule for DEC-GOV-02</w:t>
      </w:r>
    </w:p>
    <w:p>
      <w:pPr>
        <w:pStyle w:val="Heading2"/>
      </w:pPr>
      <w:r>
        <w:t>DEC-GOV-03 CRITICAL</w:t>
      </w:r>
    </w:p>
    <w:p>
      <w:r>
        <w:t xml:space="preserve">Deploy county implementation support teams.</w:t>
      </w:r>
    </w:p>
    <w:p>
      <w:r>
        <w:t xml:space="preserve">Owner: Permanent Secretary • Timeline: 0–90 days • Budget: High — full business case and multi-year funding commitment required • Indicator: Quarterly-verified progress against the milestones agreed for this critical-tier decision (DEC-GOV-03)</w:t>
      </w:r>
    </w:p>
    <w:p>
      <w:pPr>
        <w:pStyle w:val="Heading2"/>
      </w:pPr>
      <w:r>
        <w:t>DEC-GOV-04 CRITICAL</w:t>
      </w:r>
    </w:p>
    <w:p>
      <w:r>
        <w:t xml:space="preserve">Publish a citizen trust and service recovery dashboard.</w:t>
      </w:r>
    </w:p>
    <w:p>
      <w:r>
        <w:t xml:space="preserve">Owner: Permanent Secretary • Timeline: 3–12 months • Budget: Medium — detailed costing and fiduciary review required • Indicator: Number of agreed milestones for DEC-GOV-04 confirmed complete at each quarterly review</w:t>
      </w:r>
    </w:p>
    <w:p>
      <w:pPr>
        <w:pStyle w:val="Heading2"/>
      </w:pPr>
      <w:r>
        <w:t>DEC-GOV-05 HIGH</w:t>
      </w:r>
    </w:p>
    <w:p>
      <w:r>
        <w:t xml:space="preserve">Set statutory grievance-resolution service levels.</w:t>
      </w:r>
    </w:p>
    <w:p>
      <w:r>
        <w:t xml:space="preserve">Owner: Permanent Secretary • Timeline: 3–12 months • Budget: Low — absorbable within existing allocations, subject to confirmation • Indicator: Percentage of agreed milestones completed for DEC-GOV-05</w:t>
      </w:r>
    </w:p>
    <w:p>
      <w:pPr>
        <w:pStyle w:val="Heading1"/>
      </w:pPr>
      <w:r>
        <w:t>Methodology</w:t>
      </w:r>
    </w:p>
    <w:p>
      <w:r>
        <w:t xml:space="preserve">research objectives: ["Assess public service delivery performance and equity","Identify operational drivers and decision priorities"]</w:t>
      </w:r>
    </w:p>
    <w:p>
      <w:r>
        <w:t xml:space="preserve">evaluation questions: ["What outcomes are changing?","Who is being left behind?","Which actions are most likely to improve performance?"]</w:t>
      </w:r>
    </w:p>
    <w:p>
      <w:r>
        <w:t xml:space="preserve">sampling frame: Synthetic programme population frame for Kenya</w:t>
      </w:r>
    </w:p>
    <w:p>
      <w:r>
        <w:t xml:space="preserve">sample size: 4629</w:t>
      </w:r>
    </w:p>
    <w:p>
      <w:r>
        <w:t xml:space="preserve">stratification: ["Region","Location type","Sex","Age","Disability"]</w:t>
      </w:r>
    </w:p>
    <w:p>
      <w:r>
        <w:t xml:space="preserve">weights: Normalized post-stratification weights</w:t>
      </w:r>
    </w:p>
    <w:p>
      <w:r>
        <w:t xml:space="preserve">confidence intervals: 95%</w:t>
      </w:r>
    </w:p>
    <w:p>
      <w:r>
        <w:t xml:space="preserve">design effect: 1.8</w:t>
      </w:r>
    </w:p>
    <w:p>
      <w:r>
        <w:t xml:space="preserve">missing data: Documented and sensitivity-tested</w:t>
      </w:r>
    </w:p>
    <w:p>
      <w:r>
        <w:t xml:space="preserve">reliability: Cronbach alpha 0.86</w:t>
      </w:r>
    </w:p>
    <w:p>
      <w:r>
        <w:t xml:space="preserve">validity: Content and construct validity checks</w:t>
      </w:r>
    </w:p>
    <w:p>
      <w:r>
        <w:t xml:space="preserve">metadata: Complete synthetic data dictionary and lineage registry</w:t>
      </w:r>
    </w:p>
    <w:p>
      <w:pPr>
        <w:pStyle w:val="Heading1"/>
      </w:pPr>
      <w:r>
        <w:t>Institutional &amp; Methodology Assurance</w:t>
      </w:r>
    </w:p>
    <w:p>
      <w:r>
        <w:t xml:space="preserve">protocol: Governed synthetic research protocol with sampling, weighting, reliability, validity and reproducibility controls</w:t>
      </w:r>
    </w:p>
    <w:p>
      <w:r>
        <w:t xml:space="preserve">ethics: Synthetic records only; no real participants or personal data</w:t>
      </w:r>
    </w:p>
    <w:p>
      <w:r>
        <w:t xml:space="preserve">peer review: Independent synthetic-publication review checklist completed</w:t>
      </w:r>
    </w:p>
    <w:p>
      <w:r>
        <w:t xml:space="preserve">reproducibility: Deterministic inputs, versioned dataset and export manifest</w:t>
      </w:r>
    </w:p>
    <w:p>
      <w:pPr>
        <w:pStyle w:val="Heading1"/>
      </w:pPr>
      <w:r>
        <w:t>Analytical Depth &amp; Reproducibility</w:t>
      </w:r>
    </w:p>
    <w:p>
      <w:r>
        <w:t xml:space="preserve">inferential statistics: Enabled where assumptions and design permit</w:t>
      </w:r>
    </w:p>
    <w:p>
      <w:r>
        <w:t xml:space="preserve">segmentation: Evidence-led segments</w:t>
      </w:r>
    </w:p>
    <w:p>
      <w:r>
        <w:t xml:space="preserve">trend analysis: Three-period synthetic series</w:t>
      </w:r>
    </w:p>
    <w:p>
      <w:pPr>
        <w:pStyle w:val="Heading1"/>
      </w:pPr>
      <w:r>
        <w:t>Decision Architecture</w:t>
      </w:r>
    </w:p>
    <w:p>
      <w:pPr>
        <w:pStyle w:val="Heading2"/>
      </w:pPr>
      <w:r>
        <w:t>DEC-GOV-01</w:t>
      </w:r>
    </w:p>
    <w:p>
      <w:r>
        <w:t xml:space="preserve">Issue a cabinet delivery directive with named accountabilities.</w:t>
      </w:r>
    </w:p>
    <w:p>
      <w:r>
        <w:t xml:space="preserve">Owner: Permanent Secretary • Window: 3–12 months • Cost: Low — absorbable within existing allocations, subject to confirmation • Indicator: Milestone completion rate tracked against the DEC-GOV-01 delivery plan</w:t>
      </w:r>
    </w:p>
    <w:p>
      <w:pPr>
        <w:pStyle w:val="Heading2"/>
      </w:pPr>
      <w:r>
        <w:t>DEC-GOV-02</w:t>
      </w:r>
    </w:p>
    <w:p>
      <w:r>
        <w:t xml:space="preserve">Simplify the highest-burden service procedures.</w:t>
      </w:r>
    </w:p>
    <w:p>
      <w:r>
        <w:t xml:space="preserve">Owner: Permanent Secretary • Window: 6–18 months • Cost: Low — deliverable inside the current operating budget with light validation • Indicator: Proportion of agreed implementation steps verified on schedule for DEC-GOV-02</w:t>
      </w:r>
    </w:p>
    <w:p>
      <w:pPr>
        <w:pStyle w:val="Heading2"/>
      </w:pPr>
      <w:r>
        <w:t>DEC-GOV-03</w:t>
      </w:r>
    </w:p>
    <w:p>
      <w:r>
        <w:t xml:space="preserve">Deploy county implementation support teams.</w:t>
      </w:r>
    </w:p>
    <w:p>
      <w:r>
        <w:t xml:space="preserve">Owner: Permanent Secretary • Window: 0–90 days • Cost: High — full business case and multi-year funding commitment required • Indicator: Quarterly-verified progress against the milestones agreed for this critical-tier decision (DEC-GOV-03)</w:t>
      </w:r>
    </w:p>
    <w:p>
      <w:pPr>
        <w:pStyle w:val="Heading2"/>
      </w:pPr>
      <w:r>
        <w:t>DEC-GOV-04</w:t>
      </w:r>
    </w:p>
    <w:p>
      <w:r>
        <w:t xml:space="preserve">Publish a citizen trust and service recovery dashboard.</w:t>
      </w:r>
    </w:p>
    <w:p>
      <w:r>
        <w:t xml:space="preserve">Owner: Permanent Secretary • Window: 3–12 months • Cost: Medium — detailed costing and fiduciary review required • Indicator: Number of agreed milestones for DEC-GOV-04 confirmed complete at each quarterly review</w:t>
      </w:r>
    </w:p>
    <w:p>
      <w:pPr>
        <w:pStyle w:val="Heading2"/>
      </w:pPr>
      <w:r>
        <w:t>DEC-GOV-05</w:t>
      </w:r>
    </w:p>
    <w:p>
      <w:r>
        <w:t xml:space="preserve">Set statutory grievance-resolution service levels.</w:t>
      </w:r>
    </w:p>
    <w:p>
      <w:r>
        <w:t xml:space="preserve">Owner: Permanent Secretary • Window: 3–12 months • Cost: Low — absorbable within existing allocations, subject to confirmation • Indicator: Percentage of agreed milestones completed for DEC-GOV-05</w:t>
      </w:r>
    </w:p>
    <w:p>
      <w:pPr>
        <w:pStyle w:val="Heading1"/>
      </w:pPr>
      <w:r>
        <w:t>Evidence Lineage &amp; Citation Registry</w:t>
      </w:r>
    </w:p>
    <w:p>
      <w:r>
        <w:t xml:space="preserve">EVI-GOV-001: [object Object] • APPROVED_SYNTHETIC_DEMONSTRATION • 89%</w:t>
      </w:r>
    </w:p>
    <w:p>
      <w:r>
        <w:t xml:space="preserve">EVI-GOV-002: [object Object] • APPROVED_SYNTHETIC_DEMONSTRATION • 90%</w:t>
      </w:r>
    </w:p>
    <w:p>
      <w:r>
        <w:t xml:space="preserve">EVI-GOV-003: [object Object] • APPROVED_SYNTHETIC_DEMONSTRATION • 91%</w:t>
      </w:r>
    </w:p>
    <w:p>
      <w:r>
        <w:t xml:space="preserve">EVI-GOV-004: [object Object] • APPROVED_SYNTHETIC_DEMONSTRATION • 92%</w:t>
      </w:r>
    </w:p>
    <w:p>
      <w:r>
        <w:t xml:space="preserve">EVI-GOV-005: [object Object] • APPROVED_SYNTHETIC_DEMONSTRATION • 93%</w:t>
      </w:r>
    </w:p>
    <w:p>
      <w:r>
        <w:t xml:space="preserve">EVI-GOV-006: [object Object] • APPROVED_SYNTHETIC_DEMONSTRATION • 94%</w:t>
      </w:r>
    </w:p>
    <w:p>
      <w:r>
        <w:t xml:space="preserve">EVI-GOV-007: [object Object] • APPROVED_SYNTHETIC_DEMONSTRATION • 95%</w:t>
      </w:r>
    </w:p>
    <w:p>
      <w:r>
        <w:t xml:space="preserve">EVI-GOV-008: [object Object] • APPROVED_SYNTHETIC_DEMONSTRATION • 96%</w:t>
      </w:r>
    </w:p>
    <w:p>
      <w:r>
        <w:t xml:space="preserve">EVI-GOV-009: [object Object] • APPROVED_SYNTHETIC_DEMONSTRATION • 97%</w:t>
      </w:r>
    </w:p>
    <w:p>
      <w:r>
        <w:t xml:space="preserve">EVI-GOV-010: [object Object] • APPROVED_SYNTHETIC_DEMONSTRATION • 98%</w:t>
      </w:r>
    </w:p>
    <w:p>
      <w:r>
        <w:t xml:space="preserve">CIT-EVI-GOV-001: VoiceInsights Africa. Government Policy Intelligence Report. synthetic-government-policy-intelligence-2026.1, EVI-GOV-001, Q1: How does policy reach affect public service delivery outcomes in Nairobi Metro?</w:t>
      </w:r>
    </w:p>
    <w:p>
      <w:r>
        <w:t xml:space="preserve">CIT-EVI-GOV-002: VoiceInsights Africa. Government Policy Intelligence Report. synthetic-government-policy-intelligence-2026.1, EVI-GOV-002, Q2: How does administrative burden affect public service delivery outcomes in Coast Counties?</w:t>
      </w:r>
    </w:p>
    <w:p>
      <w:r>
        <w:t xml:space="preserve">CIT-EVI-GOV-003: VoiceInsights Africa. Government Policy Intelligence Report. synthetic-government-policy-intelligence-2026.1, EVI-GOV-003, Q3: How does county implementation variance affect public service delivery outcomes in Western Counties?</w:t>
      </w:r>
    </w:p>
    <w:p>
      <w:r>
        <w:t xml:space="preserve">CIT-EVI-GOV-004: VoiceInsights Africa. Government Policy Intelligence Report. synthetic-government-policy-intelligence-2026.1, EVI-GOV-004, Q4: How does citizen trust affect public service delivery outcomes in Arid and Semi-Arid Counties?</w:t>
      </w:r>
    </w:p>
    <w:p>
      <w:r>
        <w:t xml:space="preserve">CIT-EVI-GOV-005: VoiceInsights Africa. Government Policy Intelligence Report. synthetic-government-policy-intelligence-2026.1, EVI-GOV-005, Q5: How does grievance resolution affect public service delivery outcomes in Nairobi Metro?</w:t>
      </w:r>
    </w:p>
    <w:p>
      <w:r>
        <w:t xml:space="preserve">CIT-EVI-GOV-006: VoiceInsights Africa. Government Policy Intelligence Report. synthetic-government-policy-intelligence-2026.1, EVI-GOV-006, Q6: How does policy reach affect public service delivery outcomes in Coast Counties?</w:t>
      </w:r>
    </w:p>
    <w:p>
      <w:r>
        <w:t xml:space="preserve">CIT-EVI-GOV-007: VoiceInsights Africa. Government Policy Intelligence Report. synthetic-government-policy-intelligence-2026.1, EVI-GOV-007, Q7: How does administrative burden affect public service delivery outcomes in Western Counties?</w:t>
      </w:r>
    </w:p>
    <w:p>
      <w:r>
        <w:t xml:space="preserve">CIT-EVI-GOV-008: VoiceInsights Africa. Government Policy Intelligence Report. synthetic-government-policy-intelligence-2026.1, EVI-GOV-008, Q8: How does county implementation variance affect public service delivery outcomes in Arid and Semi-Arid Counties?</w:t>
      </w:r>
    </w:p>
    <w:p>
      <w:r>
        <w:t xml:space="preserve">CIT-EVI-GOV-009: VoiceInsights Africa. Government Policy Intelligence Report. synthetic-government-policy-intelligence-2026.1, EVI-GOV-009, Q9: How does citizen trust affect public service delivery outcomes in Nairobi Metro?</w:t>
      </w:r>
    </w:p>
    <w:p>
      <w:r>
        <w:t xml:space="preserve">CIT-EVI-GOV-010: VoiceInsights Africa. Government Policy Intelligence Report. synthetic-government-policy-intelligence-2026.1, EVI-GOV-010, Q10: How does grievance resolution affect public service delivery outcomes in Coast Counties?</w:t>
      </w:r>
    </w:p>
    <w:p>
      <w:pPr>
        <w:pStyle w:val="Heading1"/>
      </w:pPr>
      <w:r>
        <w:t>Publication Architecture</w:t>
      </w:r>
    </w:p>
    <w:p>
      <w:r>
        <w:t xml:space="preserve">Executive Intelligence Book (2–7): Executive brief; Decision snapshot; Risks; Opportunities; Budget implications</w:t>
      </w:r>
    </w:p>
    <w:p>
      <w:r>
        <w:t xml:space="preserve">Evidence Intelligence Book (8–15): Critical findings; Respondent voice; Evidence chains; Citation registry</w:t>
      </w:r>
    </w:p>
    <w:p>
      <w:r>
        <w:t xml:space="preserve">Statistical Intelligence Book (16–22): Sampling; Weighting; Uncertainty; Reliability; Model diagnostics</w:t>
      </w:r>
    </w:p>
    <w:p>
      <w:r>
        <w:t xml:space="preserve">Decision Intelligence Book (23–27): Decision matrix; Ownership; Budget; Roadmap; Management response</w:t>
      </w:r>
    </w:p>
    <w:p>
      <w:r>
        <w:t xml:space="preserve">Standards &amp; Assurance (28–31): Relevant frameworks; Safeguarding; Privacy; Responsible AI; Accessibility</w:t>
      </w:r>
    </w:p>
    <w:p>
      <w:r>
        <w:t xml:space="preserve">Technical Appendices (32–34): Data dictionary; Quality gate; Export manifest; Responsible-use notice</w:t>
      </w:r>
    </w:p>
    <w:p>
      <w:pPr>
        <w:pStyle w:val="Heading1"/>
      </w:pPr>
      <w:r>
        <w:t>Peer Review &amp; Accessibility</w:t>
      </w:r>
    </w:p>
    <w:p>
      <w:r>
        <w:t xml:space="preserve">wcag target: WCAG 2.2 AA</w:t>
      </w:r>
    </w:p>
    <w:p>
      <w:r>
        <w:t xml:space="preserve">tagged pdf required: true</w:t>
      </w:r>
    </w:p>
    <w:p>
      <w:r>
        <w:t xml:space="preserve">alt text required: true</w:t>
      </w:r>
    </w:p>
    <w:p>
      <w:r>
        <w:t xml:space="preserve">table fallback required: true</w:t>
      </w:r>
    </w:p>
    <w:p>
      <w:r>
        <w:t xml:space="preserve">keyboard navigation required: true</w:t>
      </w:r>
    </w:p>
    <w:p>
      <w:r>
        <w:t xml:space="preserve">colour independent labels required: true</w:t>
      </w:r>
    </w:p>
    <w:p>
      <w:pPr>
        <w:pStyle w:val="Heading1"/>
      </w:pPr>
      <w:r>
        <w:t>International Standards Alignment</w:t>
      </w:r>
    </w:p>
    <w:p>
      <w:r>
        <w:t xml:space="preserve">RBM: APPLIED_WHERE_RELEVANT — Mapped to EVI-GOV-001, EVI-GOV-002; Synthetic demonstration mapping; institutional validation not implied</w:t>
      </w:r>
    </w:p>
    <w:p>
      <w:r>
        <w:t xml:space="preserve">SDG 16: APPLIED_WHERE_RELEVANT — Mapped to EVI-GOV-002, EVI-GOV-003; Synthetic demonstration mapping; institutional validation not implied</w:t>
      </w:r>
    </w:p>
    <w:p>
      <w:r>
        <w:t xml:space="preserve">Leave No One Behind: APPLIED_WHERE_RELEVANT — Mapped to EVI-GOV-003, EVI-GOV-004; Synthetic demonstration mapping; institutional validation not implied</w:t>
      </w:r>
    </w:p>
    <w:p>
      <w:r>
        <w:t xml:space="preserve">Data Protection: APPLIED_WHERE_RELEVANT — Mapped to EVI-GOV-004, EVI-GOV-005; Synthetic demonstration mapping; institutional validation not implied</w:t>
      </w:r>
    </w:p>
    <w:p>
      <w:r>
        <w:t xml:space="preserve">Evidence Traceability: APPLIED — Control linked to EVI-GOV-001 and the deterministic publication gate.</w:t>
      </w:r>
    </w:p>
    <w:p>
      <w:r>
        <w:t xml:space="preserve">Research Ethics: APPLIED — Control linked to EVI-GOV-002 and the deterministic publication gate.</w:t>
      </w:r>
    </w:p>
    <w:p>
      <w:r>
        <w:t xml:space="preserve">Data Protection: APPLIED — Control linked to EVI-GOV-003 and the deterministic publication gate.</w:t>
      </w:r>
    </w:p>
    <w:p>
      <w:r>
        <w:t xml:space="preserve">Accessibility: APPLIED — Control linked to EVI-GOV-004 and the deterministic publication gate.</w:t>
      </w:r>
    </w:p>
    <w:p>
      <w:r>
        <w:t xml:space="preserve">Responsible AI: APPLIED — Control linked to EVI-GOV-005 and the deterministic publication gate.</w:t>
      </w:r>
    </w:p>
    <w:p>
      <w:r>
        <w:t xml:space="preserve">Publication Integrity: APPLIED — Control linked to EVI-GOV-006 and the deterministic publication gate.</w:t>
      </w:r>
    </w:p>
    <w:p>
      <w:pPr>
        <w:pStyle w:val="Heading1"/>
      </w:pPr>
      <w:r>
        <w:t>SDG Contribution</w:t>
      </w:r>
    </w:p>
    <w:p>
      <w:r>
        <w:t xml:space="preserve">SDG 10: undefined — Indicators —</w:t>
      </w:r>
    </w:p>
    <w:p>
      <w:r>
        <w:t xml:space="preserve">SDG 16: undefined — Indicators —</w:t>
      </w:r>
    </w:p>
    <w:p>
      <w:r>
        <w:t xml:space="preserve">SDG 16: undefined — Indicators —</w:t>
      </w:r>
    </w:p>
    <w:p>
      <w:pPr>
        <w:pStyle w:val="Heading1"/>
      </w:pPr>
      <w:r>
        <w:t>OECD-DAC Evaluation Criteria</w:t>
      </w:r>
    </w:p>
    <w:p>
      <w:r>
        <w:t xml:space="preserve">Relevance: Synthetic evidence indicates a strong relevance signal, subject to the stated design limitations. (90/100) — Review relevance evidence at the next formal management gate.</w:t>
      </w:r>
    </w:p>
    <w:p>
      <w:r>
        <w:t xml:space="preserve">Coherence: Synthetic evidence indicates a moderate-to-strong coherence signal, subject to the stated design limitations. (91/100) — Review coherence evidence at the next formal management gate.</w:t>
      </w:r>
    </w:p>
    <w:p>
      <w:r>
        <w:t xml:space="preserve">Effectiveness: Synthetic evidence indicates a strong effectiveness signal, subject to the stated design limitations. (72/100) — Review effectiveness evidence at the next formal management gate.</w:t>
      </w:r>
    </w:p>
    <w:p>
      <w:r>
        <w:t xml:space="preserve">Efficiency: Synthetic evidence indicates a moderate-to-strong efficiency signal, subject to the stated design limitations. (73/100) — Review efficiency evidence at the next formal management gate.</w:t>
      </w:r>
    </w:p>
    <w:p>
      <w:r>
        <w:t xml:space="preserve">Impact: Synthetic evidence indicates a strong impact signal, subject to the stated design limitations. (74/100) — Review impact evidence at the next formal management gate.</w:t>
      </w:r>
    </w:p>
    <w:p>
      <w:r>
        <w:t xml:space="preserve">Sustainability: Synthetic evidence indicates a moderate-to-strong sustainability signal, subject to the stated design limitations. (75/100) — Review sustainability evidence at the next formal management gate.</w:t>
      </w:r>
    </w:p>
    <w:p>
      <w:pPr>
        <w:pStyle w:val="Heading1"/>
      </w:pPr>
      <w:r>
        <w:t>Results-Based Management</w:t>
      </w:r>
    </w:p>
    <w:p>
      <w:r>
        <w:t xml:space="preserve">Impact: Sustained, equitable improvement in public service delivery performance</w:t>
      </w:r>
    </w:p>
    <w:p>
      <w:r>
        <w:t xml:space="preserve">OC-01: Improved public service delivery and accountability — Indicators IND-01, IND-02</w:t>
      </w:r>
    </w:p>
    <w:p>
      <w:r>
        <w:t xml:space="preserve">OC-02: More equitable and durable outcomes — Indicators IND-03, IND-04</w:t>
      </w:r>
    </w:p>
    <w:p>
      <w:r>
        <w:t xml:space="preserve">OUT-01: Verified findings and interpreted decision products</w:t>
      </w:r>
    </w:p>
    <w:p>
      <w:r>
        <w:t xml:space="preserve">OUT-02: Assigned actions with monitoring indicators</w:t>
      </w:r>
    </w:p>
    <w:p>
      <w:pPr>
        <w:pStyle w:val="Heading1"/>
      </w:pPr>
      <w:r>
        <w:t>CHS Accountability Mapping</w:t>
      </w:r>
    </w:p>
    <w:p>
      <w:r>
        <w:t xml:space="preserve">Commitment 1: CHS Commitment 1 — CONTEXT_ONLY. Validate relevance and assign an accountable owner before live use.</w:t>
      </w:r>
    </w:p>
    <w:p>
      <w:r>
        <w:t xml:space="preserve">Commitment 2: CHS Commitment 2 — CONTEXT_ONLY. Validate relevance and assign an accountable owner before live use.</w:t>
      </w:r>
    </w:p>
    <w:p>
      <w:r>
        <w:t xml:space="preserve">Commitment 3: CHS Commitment 3 — CONTEXT_ONLY. Validate relevance and assign an accountable owner before live use.</w:t>
      </w:r>
    </w:p>
    <w:p>
      <w:r>
        <w:t xml:space="preserve">Commitment 4: CHS Commitment 4 — CONTEXT_ONLY. Validate relevance and assign an accountable owner before live use.</w:t>
      </w:r>
    </w:p>
    <w:p>
      <w:r>
        <w:t xml:space="preserve">Commitment 5: CHS Commitment 5 — CONTEXT_ONLY. Validate relevance and assign an accountable owner before live use.</w:t>
      </w:r>
    </w:p>
    <w:p>
      <w:r>
        <w:t xml:space="preserve">Commitment 6: CHS Commitment 6 — CONTEXT_ONLY. Validate relevance and assign an accountable owner before live use.</w:t>
      </w:r>
    </w:p>
    <w:p>
      <w:r>
        <w:t xml:space="preserve">Commitment 7: CHS Commitment 7 — CONTEXT_ONLY. Validate relevance and assign an accountable owner before live use.</w:t>
      </w:r>
    </w:p>
    <w:p>
      <w:r>
        <w:t xml:space="preserve">Commitment 8: CHS Commitment 8 — CONTEXT_ONLY. Validate relevance and assign an accountable owner before live use.</w:t>
      </w:r>
    </w:p>
    <w:p>
      <w:r>
        <w:t xml:space="preserve">Commitment 9: CHS Commitment 9 — CONTEXT_ONLY. Validate relevance and assign an accountable owner before live use.</w:t>
      </w:r>
    </w:p>
    <w:p>
      <w:pPr>
        <w:pStyle w:val="Heading1"/>
      </w:pPr>
      <w:r>
        <w:t>Evidence Register</w:t>
      </w:r>
    </w:p>
    <w:p>
      <w:r>
        <w:t xml:space="preserve">EVI-GOV-001 • survey • SYN-GOVE-0001 • APPROVED • 89%</w:t>
      </w:r>
    </w:p>
    <w:p>
      <w:r>
        <w:t xml:space="preserve">EVI-GOV-002 • key_informant_interview • SYN-GOVE-0002 • APPROVED • 90%</w:t>
      </w:r>
    </w:p>
    <w:p>
      <w:r>
        <w:t xml:space="preserve">EVI-GOV-003 • administrative_record • SYN-GOVE-0003 • APPROVED • 91%</w:t>
      </w:r>
    </w:p>
    <w:p>
      <w:r>
        <w:t xml:space="preserve">EVI-GOV-004 • survey • SYN-GOVE-0004 • APPROVED • 92%</w:t>
      </w:r>
    </w:p>
    <w:p>
      <w:r>
        <w:t xml:space="preserve">EVI-GOV-005 • key_informant_interview • SYN-GOVE-0005 • APPROVED • 93%</w:t>
      </w:r>
    </w:p>
    <w:p>
      <w:r>
        <w:t xml:space="preserve">EVI-GOV-006 • administrative_record • SYN-GOVE-0006 • APPROVED • 94%</w:t>
      </w:r>
    </w:p>
    <w:p>
      <w:r>
        <w:t xml:space="preserve">EVI-GOV-007 • survey • SYN-GOVE-0007 • APPROVED • 95%</w:t>
      </w:r>
    </w:p>
    <w:p>
      <w:r>
        <w:t xml:space="preserve">EVI-GOV-008 • key_informant_interview • SYN-GOVE-0008 • APPROVED • 96%</w:t>
      </w:r>
    </w:p>
    <w:p>
      <w:r>
        <w:t xml:space="preserve">EVI-GOV-009 • administrative_record • SYN-GOVE-0009 • APPROVED • 97%</w:t>
      </w:r>
    </w:p>
    <w:p>
      <w:r>
        <w:t xml:space="preserve">EVI-GOV-010 • survey • SYN-GOVE-0010 • APPROVED • 98%</w:t>
      </w:r>
    </w:p>
    <w:p>
      <w:pPr>
        <w:pStyle w:val="Heading1"/>
      </w:pPr>
      <w:r>
        <w:t>Data Dictionary</w:t>
      </w:r>
    </w:p>
    <w:p>
      <w:r>
        <w:t xml:space="preserve">indicator_1: Synthetic Public Service Delivery indicator 1; numeric; allowed: 0–100; missing: NA</w:t>
      </w:r>
    </w:p>
    <w:p>
      <w:r>
        <w:t xml:space="preserve">indicator_2: Synthetic Public Service Delivery indicator 2; categorical; allowed: Documented code list; missing: NA</w:t>
      </w:r>
    </w:p>
    <w:p>
      <w:r>
        <w:t xml:space="preserve">indicator_3: Synthetic Public Service Delivery indicator 3; categorical; allowed: Documented code list; missing: NA</w:t>
      </w:r>
    </w:p>
    <w:p>
      <w:r>
        <w:t xml:space="preserve">indicator_4: Synthetic Public Service Delivery indicator 4; numeric; allowed: 0–100; missing: NA</w:t>
      </w:r>
    </w:p>
    <w:p>
      <w:r>
        <w:t xml:space="preserve">indicator_5: Synthetic Public Service Delivery indicator 5; categorical; allowed: Documented code list; missing: NA</w:t>
      </w:r>
    </w:p>
    <w:p>
      <w:r>
        <w:t xml:space="preserve">indicator_6: Synthetic Public Service Delivery indicator 6; categorical; allowed: Documented code list; missing: NA</w:t>
      </w:r>
    </w:p>
    <w:p>
      <w:r>
        <w:t xml:space="preserve">indicator_7: Synthetic Public Service Delivery indicator 7; numeric; allowed: 0–100; missing: NA</w:t>
      </w:r>
    </w:p>
    <w:p>
      <w:r>
        <w:t xml:space="preserve">indicator_8: Synthetic Public Service Delivery indicator 8; categorical; allowed: Documented code list; missing: NA</w:t>
      </w:r>
    </w:p>
    <w:p>
      <w:r>
        <w:t xml:space="preserve">indicator_9: Synthetic Public Service Delivery indicator 9; categorical; allowed: Documented code list; missing: NA</w:t>
      </w:r>
    </w:p>
    <w:p>
      <w:r>
        <w:t xml:space="preserve">indicator_10: Synthetic Public Service Delivery indicator 10; numeric; allowed: 0–100; missing: NA</w:t>
      </w:r>
    </w:p>
    <w:p>
      <w:r>
        <w:t xml:space="preserve">indicator_11: Synthetic Public Service Delivery indicator 11; categorical; allowed: Documented code list; missing: NA</w:t>
      </w:r>
    </w:p>
    <w:p>
      <w:r>
        <w:t xml:space="preserve">indicator_12: Synthetic Public Service Delivery indicator 12; categorical; allowed: Documented code list; missing: NA</w:t>
      </w:r>
    </w:p>
    <w:p>
      <w:pPr>
        <w:pStyle w:val="Heading1"/>
      </w:pPr>
      <w:r>
        <w:t>Limitations &amp; Responsible Use</w:t>
      </w:r>
    </w:p>
    <w:p>
      <w:r>
        <w:t xml:space="preserve">All content is synthetic and must not be interpreted as official statistics</w:t>
      </w:r>
    </w:p>
    <w:p>
      <w:r>
        <w:t xml:space="preserve">Geographic references are illustrative</w:t>
      </w:r>
    </w:p>
    <w:p>
      <w:r>
        <w:t xml:space="preserve">Budget implications are directional and require formal costing</w:t>
      </w:r>
    </w:p>
    <w:p>
      <w:r>
        <w:t xml:space="preserve">Causal claims are not made without an appropriate design</w:t>
      </w:r>
    </w:p>
    <w:sectPr>
      <w:pgSz w:w="11906" w:h="16838"/>
      <w:pgMar w:top="1100" w:right="1100" w:bottom="1100" w:left="1100"/>
    </w:sectPr>
  </w:body>
</w:document>
</file>

<file path=word/styles.xml><?xml version="1.0" encoding="utf-8"?>
<w:styles xmlns:w="http://schemas.openxmlformats.org/wordprocessingml/2006/main">
  <w:style w:type="paragraph" w:default="1" w:styleId="Normal">
    <w:name w:val="Normal"/>
    <w:rPr>
      <w:rFonts w:ascii="Aptos"/>
      <w:sz w:val="22"/>
    </w:rPr>
  </w:style>
  <w:style w:type="paragraph" w:styleId="Heading1">
    <w:name w:val="heading 1"/>
    <w:basedOn w:val="Normal"/>
    <w:rPr>
      <w:b/>
      <w:color w:val="0B2E59"/>
      <w:sz w:val="32"/>
    </w:rPr>
  </w:style>
  <w:style w:type="paragraph" w:styleId="Heading2">
    <w:name w:val="heading 2"/>
    <w:basedOn w:val="Normal"/>
    <w:rPr>
      <w:b/>
      <w:color w:val="1C7ED6"/>
      <w:sz w:val="26"/>
    </w:rPr>
  </w:style>
</w:styles>
</file>

<file path=word/_rels/document.xml.rels><?xml version="1.0"?><Relationships xmlns="http://schemas.openxmlformats.org/package/2006/relationships"><Relationship Id="rId1" Type="http://schemas.openxmlformats.org/officeDocument/2006/relationships/styles" Target="styles.xml"/></Relationships>
</file>