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Types>
</file>

<file path=_rels/.rels><?xml version="1.0"?><Relationships xmlns="http://schemas.openxmlformats.org/package/2006/relationships"><Relationship Id="rId1" Type="http://schemas.openxmlformats.org/officeDocument/2006/relationships/officeDocument" Target="word/document.xml"/></Relationships>
</file>

<file path=word/document.xml><?xml version="1.0" encoding="utf-8"?>
<w:document xmlns:w="http://schemas.openxmlformats.org/wordprocessingml/2006/main">
  <w:body>
    <w:p>
      <w:pPr>
        <w:jc w:val="center"/>
        <w:spacing w:before="2200"/>
      </w:pPr>
      <w:r>
        <w:rPr>
          <w:b/>
          <w:sz w:val="42"/>
        </w:rPr>
        <w:t>Hospital Performance &amp; Patient Safety Intelligence Report</w:t>
      </w:r>
    </w:p>
    <w:p>
      <w:r>
        <w:t xml:space="preserve">VoiceInsights Africa — Full Synthetic Demonstration Publication</w:t>
      </w:r>
    </w:p>
    <w:p>
      <w:r>
        <w:t xml:space="preserve">Synthetic Demonstration Publication produced by VoiceInsights Africa. All people, quotations, locations and statistics are synthetic, internally governed demonstration content and are not official statistics.</w:t>
      </w:r>
    </w:p>
    <w:p>
      <w:pPr>
        <w:pStyle w:val="Heading1"/>
      </w:pPr>
      <w:r>
        <w:t>Executive Intelligence</w:t>
      </w:r>
    </w:p>
    <w:p>
      <w:r>
        <w:t xml:space="preserve">Progress on hospital performance in Kenya is real, but it is not evenly shared. This publication traces where the gains are holding, where the risk is concentrated, and what remains within reach. Findings are linked to synthetic source records, recommendations carry named accountability fields, and all statistical claims are generated from one internally consistent dataset.</w:t>
      </w:r>
    </w:p>
    <w:p>
      <w:pPr>
        <w:pStyle w:val="Heading1"/>
      </w:pPr>
      <w:r>
        <w:t>Table of Contents</w:t>
      </w:r>
    </w:p>
    <w:p>
      <w:r>
        <w:t xml:space="preserve">undefined — undefined</w:t>
      </w:r>
    </w:p>
    <w:p>
      <w:r>
        <w:t xml:space="preserve">undefined — undefined</w:t>
      </w:r>
    </w:p>
    <w:p>
      <w:r>
        <w:t xml:space="preserve">undefined — undefined</w:t>
      </w:r>
    </w:p>
    <w:p>
      <w:r>
        <w:t xml:space="preserve">undefined — undefined</w:t>
      </w:r>
    </w:p>
    <w:p>
      <w:r>
        <w:t xml:space="preserve">undefined — undefined</w:t>
      </w:r>
    </w:p>
    <w:p>
      <w:r>
        <w:t xml:space="preserve">undefined — undefined</w:t>
      </w:r>
    </w:p>
    <w:p>
      <w:pPr>
        <w:pStyle w:val="Heading1"/>
      </w:pPr>
      <w:r>
        <w:t>Critical Findings</w:t>
      </w:r>
    </w:p>
    <w:p>
      <w:pPr>
        <w:pStyle w:val="Heading2"/>
      </w:pPr>
      <w:r>
        <w:t>Emergency bed occupancy pressure</w:t>
      </w:r>
    </w:p>
    <w:p>
      <w:r>
        <w:t xml:space="preserve">Emergency bed occupancy pressure has become an accountability question rather than a measurement question. Evidence from Nairobi Metro Hospitals places the signal at 60% and shows that rural women experience the largest gap between policy intent and lived delivery. The choice facing hospital performance leadership in Kenya is straightforward even if the fix is not: act on emergency bed occupancy pressure now, concentrated in Nairobi Metro Hospitals where rural women carry the largest share of the gap, or accept a wider gap in a year's time.</w:t>
      </w:r>
    </w:p>
    <w:p>
      <w:r>
        <w:t xml:space="preserve">Evidence: EVI-HOS-001, EVI-HOS-004 • Confidence 92.5%</w:t>
      </w:r>
    </w:p>
    <w:p>
      <w:pPr>
        <w:pStyle w:val="Heading2"/>
      </w:pPr>
      <w:r>
        <w:t>Surgical waitlist backlogs</w:t>
      </w:r>
    </w:p>
    <w:p>
      <w:r>
        <w:t xml:space="preserve">61%. That is the surgical waitlist backlogs signal recorded in Coast Referral Cluster, and the headline figure understates the problem: disaggregated by group, young adults sit well below it. The clearest gap sits in Coast Referral Cluster, concentrated among young adults. A twelve-month delay would let the gap compound into a harder, costlier problem.</w:t>
      </w:r>
    </w:p>
    <w:p>
      <w:r>
        <w:t xml:space="preserve">Evidence: EVI-HOS-002, EVI-HOS-005 • Confidence 93.5%</w:t>
      </w:r>
    </w:p>
    <w:p>
      <w:pPr>
        <w:pStyle w:val="Heading2"/>
      </w:pPr>
      <w:r>
        <w:t>Staff-to-patient ratios during peak admission</w:t>
      </w:r>
    </w:p>
    <w:p>
      <w:r>
        <w:t xml:space="preserve">The aggregate result conceals a material implementation divide. Western Referral Cluster records a 62% signal for staff-to-patient ratios during peak admission; the shortfall is concentrated among persons with disabilities, where service continuity and confidence move together. Of every study area examined in Kenya, staff-to-patient ratios during peak admission shows up hardest there, and persons with disabilities feel it most. A year of inaction would turn a gap into a pattern that is far harder to reverse.</w:t>
      </w:r>
    </w:p>
    <w:p>
      <w:r>
        <w:t xml:space="preserve">Evidence: EVI-HOS-003, EVI-HOS-006 • Confidence 94.5%</w:t>
      </w:r>
    </w:p>
    <w:p>
      <w:pPr>
        <w:pStyle w:val="Heading2"/>
      </w:pPr>
      <w:r>
        <w:t>Equipment downtime at referral level</w:t>
      </w:r>
    </w:p>
    <w:p>
      <w:r>
        <w:t xml:space="preserve">Two things are true at once about equipment downtime at referral level. The national picture is improving, and Rift Valley Referral Cluster — where frontline workers report a 63% signal — is not improving fast enough to close the gap. Hospital performance in Kenya looks stable in aggregate but splits sharply once equipment downtime at referral level is disaggregated. Rift Valley Referral Cluster anchors the low end, and frontline workers bear most of that shortfall — a pattern that risks compounding without intervention within the year.</w:t>
      </w:r>
    </w:p>
    <w:p>
      <w:r>
        <w:t xml:space="preserve">Evidence: EVI-HOS-004, EVI-HOS-007 • Confidence 95.5%</w:t>
      </w:r>
    </w:p>
    <w:p>
      <w:pPr>
        <w:pStyle w:val="Heading2"/>
      </w:pPr>
      <w:r>
        <w:t>Patient-safety incident reporting</w:t>
      </w:r>
    </w:p>
    <w:p>
      <w:r>
        <w:t xml:space="preserve">Progress on patient-safety incident reporting remains visible but not yet durable. The 64% result in Nairobi Metro Hospitals weakens after disaggregation, particularly for low-income households, suggesting that current gains depend on delivery conditions that remain fragile. The clearest signal in this dataset — though not the only one — is patient-safety incident reporting in Nairobi Metro Hospitals, where low-income households sit furthest from parity.</w:t>
      </w:r>
    </w:p>
    <w:p>
      <w:r>
        <w:t xml:space="preserve">Evidence: EVI-HOS-005, EVI-HOS-008 • Confidence 96.5%</w:t>
      </w:r>
    </w:p>
    <w:p>
      <w:pPr>
        <w:pStyle w:val="Heading1"/>
      </w:pPr>
      <w:r>
        <w:t>Regional Intelligence</w:t>
      </w:r>
    </w:p>
    <w:p>
      <w:r>
        <w:t xml:space="preserve">Nairobi Metro Hospitals: 64% • 900 responses • Risk WATCH</w:t>
      </w:r>
    </w:p>
    <w:p>
      <w:r>
        <w:t xml:space="preserve">Coast Referral Cluster: 65% • 782 responses • Risk WATCH</w:t>
      </w:r>
    </w:p>
    <w:p>
      <w:r>
        <w:t xml:space="preserve">Western Referral Cluster: 66% • 666 responses • Risk WATCH</w:t>
      </w:r>
    </w:p>
    <w:p>
      <w:r>
        <w:t xml:space="preserve">Rift Valley Referral Cluster: 67% • 550 responses • Risk WATCH</w:t>
      </w:r>
    </w:p>
    <w:p>
      <w:pPr>
        <w:pStyle w:val="Heading1"/>
      </w:pPr>
      <w:r>
        <w:t>Indicators and Target Gaps</w:t>
      </w:r>
    </w:p>
    <w:p>
      <w:r>
        <w:t xml:space="preserve">IND-01 Emergency bed occupancy rate: 70% vs 77% — WATCH</w:t>
      </w:r>
    </w:p>
    <w:p>
      <w:r>
        <w:t xml:space="preserve">IND-02 Surgical waitlist clearance time: 71% vs 78% — WATCH</w:t>
      </w:r>
    </w:p>
    <w:p>
      <w:r>
        <w:t xml:space="preserve">IND-03 Staff-to-patient ratio: 72% vs 79% — WATCH</w:t>
      </w:r>
    </w:p>
    <w:p>
      <w:r>
        <w:t xml:space="preserve">IND-04 Patient-safety incident rate: 73% vs 80% — WATCH</w:t>
      </w:r>
    </w:p>
    <w:p>
      <w:pPr>
        <w:pStyle w:val="Heading1"/>
      </w:pPr>
      <w:r>
        <w:t>Respondent Voice</w:t>
      </w:r>
    </w:p>
    <w:p>
      <w:r>
        <w:t xml:space="preserve">Nairobi Metro Hospitals: “In Nairobi Metro Hospitals, emergency bed occupancy pressure shapes whether rural women can turn services into lasting outcomes.”</w:t>
      </w:r>
    </w:p>
    <w:p>
      <w:r>
        <w:t xml:space="preserve">Coast Referral Cluster: “Young adults in Coast Referral Cluster put it plainly: surgical waitlist backlogs is what decides whether progress holds or slips back.”</w:t>
      </w:r>
    </w:p>
    <w:p>
      <w:r>
        <w:t xml:space="preserve">Western Referral Cluster: “Why does Western Referral Cluster lag behind? Ask persons with disabilities, and the answer comes back to staff-to-patient ratios during peak admission.”</w:t>
      </w:r>
    </w:p>
    <w:p>
      <w:r>
        <w:t xml:space="preserve">Rift Valley Referral Cluster: “Elsewhere, equipment downtime at referral level might be a footnote. For frontline workers in Rift Valley Referral Cluster, it is the whole story.”</w:t>
      </w:r>
    </w:p>
    <w:p>
      <w:r>
        <w:t xml:space="preserve">Nairobi Metro Hospitals: “Low-income households in Nairobi Metro Hospitals frame it simply: when patient-safety incident reporting breaks down, everything else does too.”</w:t>
      </w:r>
    </w:p>
    <w:p>
      <w:r>
        <w:t xml:space="preserve">Coast Referral Cluster: “In Coast Referral Cluster, emergency bed occupancy pressure shapes whether service managers can turn services into lasting outcomes.”</w:t>
      </w:r>
    </w:p>
    <w:p>
      <w:r>
        <w:t xml:space="preserve">Western Referral Cluster: “Community leaders in Western Referral Cluster put it plainly: surgical waitlist backlogs is what decides whether progress holds or slips back.”</w:t>
      </w:r>
    </w:p>
    <w:p>
      <w:r>
        <w:t xml:space="preserve">Rift Valley Referral Cluster: “Why does Rift Valley Referral Cluster lag behind? Ask private-sector partners, and the answer comes back to staff-to-patient ratios during peak admission.”</w:t>
      </w:r>
    </w:p>
    <w:p>
      <w:r>
        <w:t xml:space="preserve">Nairobi Metro Hospitals: “Elsewhere, equipment downtime at referral level might be a footnote. For rural women in Nairobi Metro Hospitals, it is the whole story.”</w:t>
      </w:r>
    </w:p>
    <w:p>
      <w:r>
        <w:t xml:space="preserve">Coast Referral Cluster: “Young adults in Coast Referral Cluster frame it simply: when patient-safety incident reporting breaks down, everything else does too.”</w:t>
      </w:r>
    </w:p>
    <w:p>
      <w:pPr>
        <w:pStyle w:val="Heading1"/>
      </w:pPr>
      <w:r>
        <w:t>Decision Intelligence</w:t>
      </w:r>
    </w:p>
    <w:p>
      <w:pPr>
        <w:pStyle w:val="Heading2"/>
      </w:pPr>
      <w:r>
        <w:t>DEC-HOS-01 CRITICAL</w:t>
      </w:r>
    </w:p>
    <w:p>
      <w:r>
        <w:t xml:space="preserve">Reclassify or reinforce the three most capacity-constrained referral hospitals.</w:t>
      </w:r>
    </w:p>
    <w:p>
      <w:r>
        <w:t xml:space="preserve">Owner: Permanent Secretary • Timeline: 0–90 days • Budget: High — full business case and multi-year funding commitment required • Indicator: Share of the critical-tier delivery plan confirmed complete each quarter (DEC-HOS-01)</w:t>
      </w:r>
    </w:p>
    <w:p>
      <w:pPr>
        <w:pStyle w:val="Heading2"/>
      </w:pPr>
      <w:r>
        <w:t>DEC-HOS-02 CRITICAL</w:t>
      </w:r>
    </w:p>
    <w:p>
      <w:r>
        <w:t xml:space="preserve">Fund a targeted surgical backlog clearance programme.</w:t>
      </w:r>
    </w:p>
    <w:p>
      <w:r>
        <w:t xml:space="preserve">Owner: Permanent Secretary • Timeline: 3–12 months • Budget: Medium — detailed costing and fiduciary review required • Indicator: Milestone completion rate tracked against the DEC-HOS-02 delivery plan</w:t>
      </w:r>
    </w:p>
    <w:p>
      <w:pPr>
        <w:pStyle w:val="Heading2"/>
      </w:pPr>
      <w:r>
        <w:t>DEC-HOS-03 HIGH</w:t>
      </w:r>
    </w:p>
    <w:p>
      <w:r>
        <w:t xml:space="preserve">Set minimum staff-to-patient ratios for peak-admission wards.</w:t>
      </w:r>
    </w:p>
    <w:p>
      <w:r>
        <w:t xml:space="preserve">Owner: Permanent Secretary • Timeline: 3–12 months • Budget: Low — deliverable inside the current operating budget with light validation • Indicator: Proportion of agreed implementation steps verified on schedule for DEC-HOS-03</w:t>
      </w:r>
    </w:p>
    <w:p>
      <w:pPr>
        <w:pStyle w:val="Heading2"/>
      </w:pPr>
      <w:r>
        <w:t>DEC-HOS-04 HIGH</w:t>
      </w:r>
    </w:p>
    <w:p>
      <w:r>
        <w:t xml:space="preserve">Prioritise equipment maintenance financing at referral facilities.</w:t>
      </w:r>
    </w:p>
    <w:p>
      <w:r>
        <w:t xml:space="preserve">Owner: Permanent Secretary • Timeline: 3–12 months • Budget: Medium — likely fundable from existing lines, pending confirmation • Indicator: Quarterly-verified progress against the milestones agreed for this high-tier decision (DEC-HOS-04)</w:t>
      </w:r>
    </w:p>
    <w:p>
      <w:pPr>
        <w:pStyle w:val="Heading2"/>
      </w:pPr>
      <w:r>
        <w:t>DEC-HOS-05 MEDIUM</w:t>
      </w:r>
    </w:p>
    <w:p>
      <w:r>
        <w:t xml:space="preserve">Mandate standardised patient-safety incident reporting across referral hospitals.</w:t>
      </w:r>
    </w:p>
    <w:p>
      <w:r>
        <w:t xml:space="preserve">Owner: Permanent Secretary • Timeline: 6–18 months • Budget: Low to medium — validate through the formal planning cycle • Indicator: Number of agreed milestones for DEC-HOS-05 confirmed complete at each quarterly review</w:t>
      </w:r>
    </w:p>
    <w:p>
      <w:pPr>
        <w:pStyle w:val="Heading1"/>
      </w:pPr>
      <w:r>
        <w:t>Methodology</w:t>
      </w:r>
    </w:p>
    <w:p>
      <w:r>
        <w:t xml:space="preserve">research objectives: ["Assess hospital performance and equity","Identify operational drivers and decision priorities"]</w:t>
      </w:r>
    </w:p>
    <w:p>
      <w:r>
        <w:t xml:space="preserve">evaluation questions: ["What outcomes are changing?","Who is being left behind?","Which actions are most likely to improve performance?"]</w:t>
      </w:r>
    </w:p>
    <w:p>
      <w:r>
        <w:t xml:space="preserve">sampling frame: Synthetic programme population frame for Kenya</w:t>
      </w:r>
    </w:p>
    <w:p>
      <w:r>
        <w:t xml:space="preserve">sample size: 2898</w:t>
      </w:r>
    </w:p>
    <w:p>
      <w:r>
        <w:t xml:space="preserve">stratification: ["Region","Location type","Sex","Age","Disability"]</w:t>
      </w:r>
    </w:p>
    <w:p>
      <w:r>
        <w:t xml:space="preserve">weights: Normalized post-stratification weights</w:t>
      </w:r>
    </w:p>
    <w:p>
      <w:r>
        <w:t xml:space="preserve">confidence intervals: 95%</w:t>
      </w:r>
    </w:p>
    <w:p>
      <w:r>
        <w:t xml:space="preserve">design effect: 1.2</w:t>
      </w:r>
    </w:p>
    <w:p>
      <w:r>
        <w:t xml:space="preserve">missing data: Documented and sensitivity-tested</w:t>
      </w:r>
    </w:p>
    <w:p>
      <w:r>
        <w:t xml:space="preserve">reliability: Cronbach alpha 0.86</w:t>
      </w:r>
    </w:p>
    <w:p>
      <w:r>
        <w:t xml:space="preserve">validity: Content and construct validity checks</w:t>
      </w:r>
    </w:p>
    <w:p>
      <w:r>
        <w:t xml:space="preserve">metadata: Complete synthetic data dictionary and lineage registry</w:t>
      </w:r>
    </w:p>
    <w:p>
      <w:pPr>
        <w:pStyle w:val="Heading1"/>
      </w:pPr>
      <w:r>
        <w:t>Institutional &amp; Methodology Assurance</w:t>
      </w:r>
    </w:p>
    <w:p>
      <w:r>
        <w:t xml:space="preserve">protocol: Governed synthetic research protocol with sampling, weighting, reliability, validity and reproducibility controls</w:t>
      </w:r>
    </w:p>
    <w:p>
      <w:r>
        <w:t xml:space="preserve">ethics: Synthetic records only; no real participants or personal data</w:t>
      </w:r>
    </w:p>
    <w:p>
      <w:r>
        <w:t xml:space="preserve">peer review: Independent synthetic-publication review checklist completed</w:t>
      </w:r>
    </w:p>
    <w:p>
      <w:r>
        <w:t xml:space="preserve">reproducibility: Deterministic inputs, versioned dataset and export manifest</w:t>
      </w:r>
    </w:p>
    <w:p>
      <w:pPr>
        <w:pStyle w:val="Heading1"/>
      </w:pPr>
      <w:r>
        <w:t>Analytical Depth &amp; Reproducibility</w:t>
      </w:r>
    </w:p>
    <w:p>
      <w:r>
        <w:t xml:space="preserve">inferential statistics: Enabled where assumptions and design permit</w:t>
      </w:r>
    </w:p>
    <w:p>
      <w:r>
        <w:t xml:space="preserve">segmentation: Evidence-led segments</w:t>
      </w:r>
    </w:p>
    <w:p>
      <w:r>
        <w:t xml:space="preserve">trend analysis: Three-period synthetic series</w:t>
      </w:r>
    </w:p>
    <w:p>
      <w:pPr>
        <w:pStyle w:val="Heading1"/>
      </w:pPr>
      <w:r>
        <w:t>Decision Architecture</w:t>
      </w:r>
    </w:p>
    <w:p>
      <w:pPr>
        <w:pStyle w:val="Heading2"/>
      </w:pPr>
      <w:r>
        <w:t>DEC-HOS-01</w:t>
      </w:r>
    </w:p>
    <w:p>
      <w:r>
        <w:t xml:space="preserve">Reclassify or reinforce the three most capacity-constrained referral hospitals.</w:t>
      </w:r>
    </w:p>
    <w:p>
      <w:r>
        <w:t xml:space="preserve">Owner: Permanent Secretary • Window: 0–90 days • Cost: High — full business case and multi-year funding commitment required • Indicator: Share of the critical-tier delivery plan confirmed complete each quarter (DEC-HOS-01)</w:t>
      </w:r>
    </w:p>
    <w:p>
      <w:pPr>
        <w:pStyle w:val="Heading2"/>
      </w:pPr>
      <w:r>
        <w:t>DEC-HOS-02</w:t>
      </w:r>
    </w:p>
    <w:p>
      <w:r>
        <w:t xml:space="preserve">Fund a targeted surgical backlog clearance programme.</w:t>
      </w:r>
    </w:p>
    <w:p>
      <w:r>
        <w:t xml:space="preserve">Owner: Permanent Secretary • Window: 3–12 months • Cost: Medium — detailed costing and fiduciary review required • Indicator: Milestone completion rate tracked against the DEC-HOS-02 delivery plan</w:t>
      </w:r>
    </w:p>
    <w:p>
      <w:pPr>
        <w:pStyle w:val="Heading2"/>
      </w:pPr>
      <w:r>
        <w:t>DEC-HOS-03</w:t>
      </w:r>
    </w:p>
    <w:p>
      <w:r>
        <w:t xml:space="preserve">Set minimum staff-to-patient ratios for peak-admission wards.</w:t>
      </w:r>
    </w:p>
    <w:p>
      <w:r>
        <w:t xml:space="preserve">Owner: Permanent Secretary • Window: 3–12 months • Cost: Low — deliverable inside the current operating budget with light validation • Indicator: Proportion of agreed implementation steps verified on schedule for DEC-HOS-03</w:t>
      </w:r>
    </w:p>
    <w:p>
      <w:pPr>
        <w:pStyle w:val="Heading2"/>
      </w:pPr>
      <w:r>
        <w:t>DEC-HOS-04</w:t>
      </w:r>
    </w:p>
    <w:p>
      <w:r>
        <w:t xml:space="preserve">Prioritise equipment maintenance financing at referral facilities.</w:t>
      </w:r>
    </w:p>
    <w:p>
      <w:r>
        <w:t xml:space="preserve">Owner: Permanent Secretary • Window: 3–12 months • Cost: Medium — likely fundable from existing lines, pending confirmation • Indicator: Quarterly-verified progress against the milestones agreed for this high-tier decision (DEC-HOS-04)</w:t>
      </w:r>
    </w:p>
    <w:p>
      <w:pPr>
        <w:pStyle w:val="Heading2"/>
      </w:pPr>
      <w:r>
        <w:t>DEC-HOS-05</w:t>
      </w:r>
    </w:p>
    <w:p>
      <w:r>
        <w:t xml:space="preserve">Mandate standardised patient-safety incident reporting across referral hospitals.</w:t>
      </w:r>
    </w:p>
    <w:p>
      <w:r>
        <w:t xml:space="preserve">Owner: Permanent Secretary • Window: 6–18 months • Cost: Low to medium — validate through the formal planning cycle • Indicator: Number of agreed milestones for DEC-HOS-05 confirmed complete at each quarterly review</w:t>
      </w:r>
    </w:p>
    <w:p>
      <w:pPr>
        <w:pStyle w:val="Heading1"/>
      </w:pPr>
      <w:r>
        <w:t>Evidence Lineage &amp; Citation Registry</w:t>
      </w:r>
    </w:p>
    <w:p>
      <w:r>
        <w:t xml:space="preserve">EVI-HOS-001: [object Object] • APPROVED_SYNTHETIC_DEMONSTRATION • 91%</w:t>
      </w:r>
    </w:p>
    <w:p>
      <w:r>
        <w:t xml:space="preserve">EVI-HOS-002: [object Object] • APPROVED_SYNTHETIC_DEMONSTRATION • 92%</w:t>
      </w:r>
    </w:p>
    <w:p>
      <w:r>
        <w:t xml:space="preserve">EVI-HOS-003: [object Object] • APPROVED_SYNTHETIC_DEMONSTRATION • 93%</w:t>
      </w:r>
    </w:p>
    <w:p>
      <w:r>
        <w:t xml:space="preserve">EVI-HOS-004: [object Object] • APPROVED_SYNTHETIC_DEMONSTRATION • 94%</w:t>
      </w:r>
    </w:p>
    <w:p>
      <w:r>
        <w:t xml:space="preserve">EVI-HOS-005: [object Object] • APPROVED_SYNTHETIC_DEMONSTRATION • 95%</w:t>
      </w:r>
    </w:p>
    <w:p>
      <w:r>
        <w:t xml:space="preserve">EVI-HOS-006: [object Object] • APPROVED_SYNTHETIC_DEMONSTRATION • 96%</w:t>
      </w:r>
    </w:p>
    <w:p>
      <w:r>
        <w:t xml:space="preserve">EVI-HOS-007: [object Object] • APPROVED_SYNTHETIC_DEMONSTRATION • 97%</w:t>
      </w:r>
    </w:p>
    <w:p>
      <w:r>
        <w:t xml:space="preserve">EVI-HOS-008: [object Object] • APPROVED_SYNTHETIC_DEMONSTRATION • 98%</w:t>
      </w:r>
    </w:p>
    <w:p>
      <w:r>
        <w:t xml:space="preserve">EVI-HOS-009: [object Object] • APPROVED_SYNTHETIC_DEMONSTRATION • 88%</w:t>
      </w:r>
    </w:p>
    <w:p>
      <w:r>
        <w:t xml:space="preserve">EVI-HOS-010: [object Object] • APPROVED_SYNTHETIC_DEMONSTRATION • 89%</w:t>
      </w:r>
    </w:p>
    <w:p>
      <w:r>
        <w:t xml:space="preserve">CIT-EVI-HOS-001: VoiceInsights Africa. Hospital Performance &amp; Patient Safety Intelligence Report. synthetic-hospital-performance-intelligence-2026.1, EVI-HOS-001, Q1: How does emergency bed occupancy pressure affect hospital performance outcomes in Nairobi Metro Hospitals?</w:t>
      </w:r>
    </w:p>
    <w:p>
      <w:r>
        <w:t xml:space="preserve">CIT-EVI-HOS-002: VoiceInsights Africa. Hospital Performance &amp; Patient Safety Intelligence Report. synthetic-hospital-performance-intelligence-2026.1, EVI-HOS-002, Q2: How does surgical waitlist backlogs affect hospital performance outcomes in Coast Referral Cluster?</w:t>
      </w:r>
    </w:p>
    <w:p>
      <w:r>
        <w:t xml:space="preserve">CIT-EVI-HOS-003: VoiceInsights Africa. Hospital Performance &amp; Patient Safety Intelligence Report. synthetic-hospital-performance-intelligence-2026.1, EVI-HOS-003, Q3: How does staff-to-patient ratios during peak admission affect hospital performance outcomes in Western Referral Cluster?</w:t>
      </w:r>
    </w:p>
    <w:p>
      <w:r>
        <w:t xml:space="preserve">CIT-EVI-HOS-004: VoiceInsights Africa. Hospital Performance &amp; Patient Safety Intelligence Report. synthetic-hospital-performance-intelligence-2026.1, EVI-HOS-004, Q4: How does equipment downtime at referral level affect hospital performance outcomes in Rift Valley Referral Cluster?</w:t>
      </w:r>
    </w:p>
    <w:p>
      <w:r>
        <w:t xml:space="preserve">CIT-EVI-HOS-005: VoiceInsights Africa. Hospital Performance &amp; Patient Safety Intelligence Report. synthetic-hospital-performance-intelligence-2026.1, EVI-HOS-005, Q5: How does patient-safety incident reporting affect hospital performance outcomes in Nairobi Metro Hospitals?</w:t>
      </w:r>
    </w:p>
    <w:p>
      <w:r>
        <w:t xml:space="preserve">CIT-EVI-HOS-006: VoiceInsights Africa. Hospital Performance &amp; Patient Safety Intelligence Report. synthetic-hospital-performance-intelligence-2026.1, EVI-HOS-006, Q6: How does emergency bed occupancy pressure affect hospital performance outcomes in Coast Referral Cluster?</w:t>
      </w:r>
    </w:p>
    <w:p>
      <w:r>
        <w:t xml:space="preserve">CIT-EVI-HOS-007: VoiceInsights Africa. Hospital Performance &amp; Patient Safety Intelligence Report. synthetic-hospital-performance-intelligence-2026.1, EVI-HOS-007, Q7: How does surgical waitlist backlogs affect hospital performance outcomes in Western Referral Cluster?</w:t>
      </w:r>
    </w:p>
    <w:p>
      <w:r>
        <w:t xml:space="preserve">CIT-EVI-HOS-008: VoiceInsights Africa. Hospital Performance &amp; Patient Safety Intelligence Report. synthetic-hospital-performance-intelligence-2026.1, EVI-HOS-008, Q8: How does staff-to-patient ratios during peak admission affect hospital performance outcomes in Rift Valley Referral Cluster?</w:t>
      </w:r>
    </w:p>
    <w:p>
      <w:r>
        <w:t xml:space="preserve">CIT-EVI-HOS-009: VoiceInsights Africa. Hospital Performance &amp; Patient Safety Intelligence Report. synthetic-hospital-performance-intelligence-2026.1, EVI-HOS-009, Q9: How does equipment downtime at referral level affect hospital performance outcomes in Nairobi Metro Hospitals?</w:t>
      </w:r>
    </w:p>
    <w:p>
      <w:r>
        <w:t xml:space="preserve">CIT-EVI-HOS-010: VoiceInsights Africa. Hospital Performance &amp; Patient Safety Intelligence Report. synthetic-hospital-performance-intelligence-2026.1, EVI-HOS-010, Q10: How does patient-safety incident reporting affect hospital performance outcomes in Coast Referral Cluster?</w:t>
      </w:r>
    </w:p>
    <w:p>
      <w:pPr>
        <w:pStyle w:val="Heading1"/>
      </w:pPr>
      <w:r>
        <w:t>Publication Architecture</w:t>
      </w:r>
    </w:p>
    <w:p>
      <w:r>
        <w:t xml:space="preserve">Executive Intelligence Book (2–7): Executive brief; Decision snapshot; Risks; Opportunities; Budget implications</w:t>
      </w:r>
    </w:p>
    <w:p>
      <w:r>
        <w:t xml:space="preserve">Evidence Intelligence Book (8–15): Critical findings; Respondent voice; Evidence chains; Citation registry</w:t>
      </w:r>
    </w:p>
    <w:p>
      <w:r>
        <w:t xml:space="preserve">Statistical Intelligence Book (16–22): Sampling; Weighting; Uncertainty; Reliability; Model diagnostics</w:t>
      </w:r>
    </w:p>
    <w:p>
      <w:r>
        <w:t xml:space="preserve">Decision Intelligence Book (23–27): Decision matrix; Ownership; Budget; Roadmap; Management response</w:t>
      </w:r>
    </w:p>
    <w:p>
      <w:r>
        <w:t xml:space="preserve">Standards &amp; Assurance (28–31): Relevant frameworks; Safeguarding; Privacy; Responsible AI; Accessibility</w:t>
      </w:r>
    </w:p>
    <w:p>
      <w:r>
        <w:t xml:space="preserve">Technical Appendices (32–34): Data dictionary; Quality gate; Export manifest; Responsible-use notice</w:t>
      </w:r>
    </w:p>
    <w:p>
      <w:pPr>
        <w:pStyle w:val="Heading1"/>
      </w:pPr>
      <w:r>
        <w:t>Peer Review &amp; Accessibility</w:t>
      </w:r>
    </w:p>
    <w:p>
      <w:r>
        <w:t xml:space="preserve">wcag target: WCAG 2.2 AA</w:t>
      </w:r>
    </w:p>
    <w:p>
      <w:r>
        <w:t xml:space="preserve">tagged pdf required: true</w:t>
      </w:r>
    </w:p>
    <w:p>
      <w:r>
        <w:t xml:space="preserve">alt text required: true</w:t>
      </w:r>
    </w:p>
    <w:p>
      <w:r>
        <w:t xml:space="preserve">table fallback required: true</w:t>
      </w:r>
    </w:p>
    <w:p>
      <w:r>
        <w:t xml:space="preserve">keyboard navigation required: true</w:t>
      </w:r>
    </w:p>
    <w:p>
      <w:r>
        <w:t xml:space="preserve">colour independent labels required: true</w:t>
      </w:r>
    </w:p>
    <w:p>
      <w:pPr>
        <w:pStyle w:val="Heading1"/>
      </w:pPr>
      <w:r>
        <w:t>International Standards Alignment</w:t>
      </w:r>
    </w:p>
    <w:p>
      <w:r>
        <w:t xml:space="preserve">SDG 3: APPLIED_WHERE_RELEVANT — Mapped to EVI-HOS-001, EVI-HOS-002; Synthetic demonstration mapping; institutional validation not implied</w:t>
      </w:r>
    </w:p>
    <w:p>
      <w:r>
        <w:t xml:space="preserve">WHO Patient Safety Framework: APPLIED_WHERE_RELEVANT — Mapped to EVI-HOS-002, EVI-HOS-003; Synthetic demonstration mapping; institutional validation not implied</w:t>
      </w:r>
    </w:p>
    <w:p>
      <w:r>
        <w:t xml:space="preserve">Quality of Care Standards: APPLIED_WHERE_RELEVANT — Mapped to EVI-HOS-003, EVI-HOS-004; Synthetic demonstration mapping; institutional validation not implied</w:t>
      </w:r>
    </w:p>
    <w:p>
      <w:r>
        <w:t xml:space="preserve">Evidence Traceability: APPLIED — Control linked to EVI-HOS-001 and the deterministic publication gate.</w:t>
      </w:r>
    </w:p>
    <w:p>
      <w:r>
        <w:t xml:space="preserve">Research Ethics: APPLIED — Control linked to EVI-HOS-002 and the deterministic publication gate.</w:t>
      </w:r>
    </w:p>
    <w:p>
      <w:r>
        <w:t xml:space="preserve">Data Protection: APPLIED — Control linked to EVI-HOS-003 and the deterministic publication gate.</w:t>
      </w:r>
    </w:p>
    <w:p>
      <w:r>
        <w:t xml:space="preserve">Accessibility: APPLIED — Control linked to EVI-HOS-004 and the deterministic publication gate.</w:t>
      </w:r>
    </w:p>
    <w:p>
      <w:r>
        <w:t xml:space="preserve">Responsible AI: APPLIED — Control linked to EVI-HOS-005 and the deterministic publication gate.</w:t>
      </w:r>
    </w:p>
    <w:p>
      <w:r>
        <w:t xml:space="preserve">Publication Integrity: APPLIED — Control linked to EVI-HOS-006 and the deterministic publication gate.</w:t>
      </w:r>
    </w:p>
    <w:p>
      <w:pPr>
        <w:pStyle w:val="Heading1"/>
      </w:pPr>
      <w:r>
        <w:t>SDG Contribution</w:t>
      </w:r>
    </w:p>
    <w:p>
      <w:r>
        <w:t xml:space="preserve">SDG 3: undefined — Indicators —</w:t>
      </w:r>
    </w:p>
    <w:p>
      <w:r>
        <w:t xml:space="preserve">SDG 3: undefined — Indicators —</w:t>
      </w:r>
    </w:p>
    <w:p>
      <w:r>
        <w:t xml:space="preserve">SDG 9: undefined — Indicators —</w:t>
      </w:r>
    </w:p>
    <w:p>
      <w:pPr>
        <w:pStyle w:val="Heading1"/>
      </w:pPr>
      <w:r>
        <w:t>OECD-DAC Evaluation Criteria</w:t>
      </w:r>
    </w:p>
    <w:p>
      <w:r>
        <w:t xml:space="preserve">Relevance: Synthetic evidence indicates a strong relevance signal, subject to the stated design limitations. (87/100) — Review relevance evidence at the next formal management gate.</w:t>
      </w:r>
    </w:p>
    <w:p>
      <w:r>
        <w:t xml:space="preserve">Coherence: Synthetic evidence indicates a moderate-to-strong coherence signal, subject to the stated design limitations. (88/100) — Review coherence evidence at the next formal management gate.</w:t>
      </w:r>
    </w:p>
    <w:p>
      <w:r>
        <w:t xml:space="preserve">Effectiveness: Synthetic evidence indicates a strong effectiveness signal, subject to the stated design limitations. (89/100) — Review effectiveness evidence at the next formal management gate.</w:t>
      </w:r>
    </w:p>
    <w:p>
      <w:r>
        <w:t xml:space="preserve">Efficiency: Synthetic evidence indicates a moderate-to-strong efficiency signal, subject to the stated design limitations. (90/100) — Review efficiency evidence at the next formal management gate.</w:t>
      </w:r>
    </w:p>
    <w:p>
      <w:r>
        <w:t xml:space="preserve">Impact: Synthetic evidence indicates a strong impact signal, subject to the stated design limitations. (91/100) — Review impact evidence at the next formal management gate.</w:t>
      </w:r>
    </w:p>
    <w:p>
      <w:r>
        <w:t xml:space="preserve">Sustainability: Synthetic evidence indicates a moderate-to-strong sustainability signal, subject to the stated design limitations. (72/100) — Review sustainability evidence at the next formal management gate.</w:t>
      </w:r>
    </w:p>
    <w:p>
      <w:pPr>
        <w:pStyle w:val="Heading1"/>
      </w:pPr>
      <w:r>
        <w:t>Results-Based Management</w:t>
      </w:r>
    </w:p>
    <w:p>
      <w:r>
        <w:t xml:space="preserve">Impact: Sustained, equitable improvement in hospital performance</w:t>
      </w:r>
    </w:p>
    <w:p>
      <w:r>
        <w:t xml:space="preserve">OC-01: Improved hospital performance delivery and accountability — Indicators IND-01, IND-02</w:t>
      </w:r>
    </w:p>
    <w:p>
      <w:r>
        <w:t xml:space="preserve">OC-02: More equitable and durable outcomes — Indicators IND-03, IND-04</w:t>
      </w:r>
    </w:p>
    <w:p>
      <w:r>
        <w:t xml:space="preserve">OUT-01: Verified findings and interpreted decision products</w:t>
      </w:r>
    </w:p>
    <w:p>
      <w:r>
        <w:t xml:space="preserve">OUT-02: Assigned actions with monitoring indicators</w:t>
      </w:r>
    </w:p>
    <w:p>
      <w:pPr>
        <w:pStyle w:val="Heading1"/>
      </w:pPr>
      <w:r>
        <w:t>CHS Accountability Mapping</w:t>
      </w:r>
    </w:p>
    <w:p>
      <w:r>
        <w:t xml:space="preserve">Commitment 1: CHS Commitment 1 — CONTEXT_ONLY. Validate relevance and assign an accountable owner before live use.</w:t>
      </w:r>
    </w:p>
    <w:p>
      <w:r>
        <w:t xml:space="preserve">Commitment 2: CHS Commitment 2 — CONTEXT_ONLY. Validate relevance and assign an accountable owner before live use.</w:t>
      </w:r>
    </w:p>
    <w:p>
      <w:r>
        <w:t xml:space="preserve">Commitment 3: CHS Commitment 3 — CONTEXT_ONLY. Validate relevance and assign an accountable owner before live use.</w:t>
      </w:r>
    </w:p>
    <w:p>
      <w:r>
        <w:t xml:space="preserve">Commitment 4: CHS Commitment 4 — CONTEXT_ONLY. Validate relevance and assign an accountable owner before live use.</w:t>
      </w:r>
    </w:p>
    <w:p>
      <w:r>
        <w:t xml:space="preserve">Commitment 5: CHS Commitment 5 — CONTEXT_ONLY. Validate relevance and assign an accountable owner before live use.</w:t>
      </w:r>
    </w:p>
    <w:p>
      <w:r>
        <w:t xml:space="preserve">Commitment 6: CHS Commitment 6 — CONTEXT_ONLY. Validate relevance and assign an accountable owner before live use.</w:t>
      </w:r>
    </w:p>
    <w:p>
      <w:r>
        <w:t xml:space="preserve">Commitment 7: CHS Commitment 7 — CONTEXT_ONLY. Validate relevance and assign an accountable owner before live use.</w:t>
      </w:r>
    </w:p>
    <w:p>
      <w:r>
        <w:t xml:space="preserve">Commitment 8: CHS Commitment 8 — CONTEXT_ONLY. Validate relevance and assign an accountable owner before live use.</w:t>
      </w:r>
    </w:p>
    <w:p>
      <w:r>
        <w:t xml:space="preserve">Commitment 9: CHS Commitment 9 — CONTEXT_ONLY. Validate relevance and assign an accountable owner before live use.</w:t>
      </w:r>
    </w:p>
    <w:p>
      <w:pPr>
        <w:pStyle w:val="Heading1"/>
      </w:pPr>
      <w:r>
        <w:t>Evidence Register</w:t>
      </w:r>
    </w:p>
    <w:p>
      <w:r>
        <w:t xml:space="preserve">EVI-HOS-001 • survey • SYN-HOSP-0001 • APPROVED • 91%</w:t>
      </w:r>
    </w:p>
    <w:p>
      <w:r>
        <w:t xml:space="preserve">EVI-HOS-002 • key_informant_interview • SYN-HOSP-0002 • APPROVED • 92%</w:t>
      </w:r>
    </w:p>
    <w:p>
      <w:r>
        <w:t xml:space="preserve">EVI-HOS-003 • administrative_record • SYN-HOSP-0003 • APPROVED • 93%</w:t>
      </w:r>
    </w:p>
    <w:p>
      <w:r>
        <w:t xml:space="preserve">EVI-HOS-004 • survey • SYN-HOSP-0004 • APPROVED • 94%</w:t>
      </w:r>
    </w:p>
    <w:p>
      <w:r>
        <w:t xml:space="preserve">EVI-HOS-005 • key_informant_interview • SYN-HOSP-0005 • APPROVED • 95%</w:t>
      </w:r>
    </w:p>
    <w:p>
      <w:r>
        <w:t xml:space="preserve">EVI-HOS-006 • administrative_record • SYN-HOSP-0006 • APPROVED • 96%</w:t>
      </w:r>
    </w:p>
    <w:p>
      <w:r>
        <w:t xml:space="preserve">EVI-HOS-007 • survey • SYN-HOSP-0007 • APPROVED • 97%</w:t>
      </w:r>
    </w:p>
    <w:p>
      <w:r>
        <w:t xml:space="preserve">EVI-HOS-008 • key_informant_interview • SYN-HOSP-0008 • APPROVED • 98%</w:t>
      </w:r>
    </w:p>
    <w:p>
      <w:r>
        <w:t xml:space="preserve">EVI-HOS-009 • administrative_record • SYN-HOSP-0009 • APPROVED • 88%</w:t>
      </w:r>
    </w:p>
    <w:p>
      <w:r>
        <w:t xml:space="preserve">EVI-HOS-010 • survey • SYN-HOSP-0010 • APPROVED • 89%</w:t>
      </w:r>
    </w:p>
    <w:p>
      <w:pPr>
        <w:pStyle w:val="Heading1"/>
      </w:pPr>
      <w:r>
        <w:t>Data Dictionary</w:t>
      </w:r>
    </w:p>
    <w:p>
      <w:r>
        <w:t xml:space="preserve">indicator_1: Synthetic Hospital Performance indicator 1; numeric; allowed: 0–100; missing: NA</w:t>
      </w:r>
    </w:p>
    <w:p>
      <w:r>
        <w:t xml:space="preserve">indicator_2: Synthetic Hospital Performance indicator 2; categorical; allowed: Documented code list; missing: NA</w:t>
      </w:r>
    </w:p>
    <w:p>
      <w:r>
        <w:t xml:space="preserve">indicator_3: Synthetic Hospital Performance indicator 3; categorical; allowed: Documented code list; missing: NA</w:t>
      </w:r>
    </w:p>
    <w:p>
      <w:r>
        <w:t xml:space="preserve">indicator_4: Synthetic Hospital Performance indicator 4; numeric; allowed: 0–100; missing: NA</w:t>
      </w:r>
    </w:p>
    <w:p>
      <w:r>
        <w:t xml:space="preserve">indicator_5: Synthetic Hospital Performance indicator 5; categorical; allowed: Documented code list; missing: NA</w:t>
      </w:r>
    </w:p>
    <w:p>
      <w:r>
        <w:t xml:space="preserve">indicator_6: Synthetic Hospital Performance indicator 6; categorical; allowed: Documented code list; missing: NA</w:t>
      </w:r>
    </w:p>
    <w:p>
      <w:r>
        <w:t xml:space="preserve">indicator_7: Synthetic Hospital Performance indicator 7; numeric; allowed: 0–100; missing: NA</w:t>
      </w:r>
    </w:p>
    <w:p>
      <w:r>
        <w:t xml:space="preserve">indicator_8: Synthetic Hospital Performance indicator 8; categorical; allowed: Documented code list; missing: NA</w:t>
      </w:r>
    </w:p>
    <w:p>
      <w:r>
        <w:t xml:space="preserve">indicator_9: Synthetic Hospital Performance indicator 9; categorical; allowed: Documented code list; missing: NA</w:t>
      </w:r>
    </w:p>
    <w:p>
      <w:r>
        <w:t xml:space="preserve">indicator_10: Synthetic Hospital Performance indicator 10; numeric; allowed: 0–100; missing: NA</w:t>
      </w:r>
    </w:p>
    <w:p>
      <w:r>
        <w:t xml:space="preserve">indicator_11: Synthetic Hospital Performance indicator 11; categorical; allowed: Documented code list; missing: NA</w:t>
      </w:r>
    </w:p>
    <w:p>
      <w:r>
        <w:t xml:space="preserve">indicator_12: Synthetic Hospital Performance indicator 12; categorical; allowed: Documented code list; missing: NA</w:t>
      </w:r>
    </w:p>
    <w:p>
      <w:pPr>
        <w:pStyle w:val="Heading1"/>
      </w:pPr>
      <w:r>
        <w:t>Limitations &amp; Responsible Use</w:t>
      </w:r>
    </w:p>
    <w:p>
      <w:r>
        <w:t xml:space="preserve">All content is synthetic and must not be interpreted as official statistics</w:t>
      </w:r>
    </w:p>
    <w:p>
      <w:r>
        <w:t xml:space="preserve">Geographic references are illustrative</w:t>
      </w:r>
    </w:p>
    <w:p>
      <w:r>
        <w:t xml:space="preserve">Budget implications are directional and require formal costing</w:t>
      </w:r>
    </w:p>
    <w:p>
      <w:r>
        <w:t xml:space="preserve">Causal claims are not made without an appropriate design</w:t>
      </w:r>
    </w:p>
    <w:sectPr>
      <w:pgSz w:w="11906" w:h="16838"/>
      <w:pgMar w:top="1100" w:right="1100" w:bottom="1100" w:left="1100"/>
    </w:sectPr>
  </w:body>
</w:document>
</file>

<file path=word/styles.xml><?xml version="1.0" encoding="utf-8"?>
<w:styles xmlns:w="http://schemas.openxmlformats.org/wordprocessingml/2006/main">
  <w:style w:type="paragraph" w:default="1" w:styleId="Normal">
    <w:name w:val="Normal"/>
    <w:rPr>
      <w:rFonts w:ascii="Aptos"/>
      <w:sz w:val="22"/>
    </w:rPr>
  </w:style>
  <w:style w:type="paragraph" w:styleId="Heading1">
    <w:name w:val="heading 1"/>
    <w:basedOn w:val="Normal"/>
    <w:rPr>
      <w:b/>
      <w:color w:val="0B2E59"/>
      <w:sz w:val="32"/>
    </w:rPr>
  </w:style>
  <w:style w:type="paragraph" w:styleId="Heading2">
    <w:name w:val="heading 2"/>
    <w:basedOn w:val="Normal"/>
    <w:rPr>
      <w:b/>
      <w:color w:val="1C7ED6"/>
      <w:sz w:val="26"/>
    </w:rPr>
  </w:style>
</w:styles>
</file>

<file path=word/_rels/document.xml.rels><?xml version="1.0"?><Relationships xmlns="http://schemas.openxmlformats.org/package/2006/relationships"><Relationship Id="rId1" Type="http://schemas.openxmlformats.org/officeDocument/2006/relationships/styles" Target="styles.xml"/></Relationships>
</file>